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BC96" w14:textId="77777777" w:rsidR="007A5B35" w:rsidRDefault="00000000">
      <w:pPr>
        <w:jc w:val="center"/>
      </w:pPr>
      <w:r>
        <w:rPr>
          <w:b/>
          <w:sz w:val="36"/>
        </w:rPr>
        <w:t>Anomaly Model, Environmental Constraints, and Data-Mining Addendum</w:t>
      </w:r>
    </w:p>
    <w:p w14:paraId="6D969B3C" w14:textId="77777777" w:rsidR="007A5B35" w:rsidRDefault="00000000">
      <w:pPr>
        <w:jc w:val="center"/>
      </w:pPr>
      <w:r>
        <w:rPr>
          <w:i/>
        </w:rPr>
        <w:t>Addendum to Chapter 5 (Methodology) and Chapter 6 (Results) in response to the adviser comment on formal anomaly modelling, environmental constraints, and data mining for fuel-anomaly detection.</w:t>
      </w:r>
    </w:p>
    <w:p w14:paraId="45CE3758" w14:textId="77777777" w:rsidR="007A5B35" w:rsidRDefault="007A5B35"/>
    <w:p w14:paraId="132E1033" w14:textId="77777777" w:rsidR="007A5B35" w:rsidRDefault="00000000">
      <w:r>
        <w:t>All numbers in this addendum are reproducible from ml/constraint_analysis.py against outputs/predictions/evaluation_predictions_iforest.csv.</w:t>
      </w:r>
    </w:p>
    <w:p w14:paraId="69303736" w14:textId="77777777" w:rsidR="007A5B35" w:rsidRDefault="00000000">
      <w:r>
        <w:br w:type="page"/>
      </w:r>
    </w:p>
    <w:p w14:paraId="79C305C7" w14:textId="77777777" w:rsidR="007A5B35" w:rsidRDefault="00000000">
      <w:pPr>
        <w:pStyle w:val="Heading1"/>
      </w:pPr>
      <w:r>
        <w:lastRenderedPageBreak/>
        <w:t>Chapter 5 additions</w:t>
      </w:r>
    </w:p>
    <w:p w14:paraId="49C1AA77" w14:textId="77777777" w:rsidR="007A5B35" w:rsidRDefault="00000000">
      <w:pPr>
        <w:pStyle w:val="Heading2"/>
      </w:pPr>
      <w:r>
        <w:t>5.7.0 Anomaly Model and Environmental Constraints</w:t>
      </w:r>
    </w:p>
    <w:p w14:paraId="25B564C8" w14:textId="77777777" w:rsidR="007A5B35" w:rsidRDefault="00000000">
      <w:r>
        <w:t>A fuel anomaly is formally defined as a telemetry row whose observed fuel-level change Delta-f_obs deviates from the expected change E[Delta-f | c] conditioned on the operating context c = (speed, RPM, engine load, throttle, route, driver, motion state), under the physical constraint that fuel can decrease only through consumption or unauthorised removal. The decision rule is</w:t>
      </w:r>
    </w:p>
    <w:p w14:paraId="3AE8266C" w14:textId="77777777" w:rsidR="007A5B35" w:rsidRDefault="00000000">
      <w:pPr>
        <w:jc w:val="center"/>
      </w:pPr>
      <w:r>
        <w:rPr>
          <w:i/>
        </w:rPr>
        <w:t>A(t) = | Delta-f_obs(t)  -  E[Delta-f | c(t)] | / sigma(c(t)),</w:t>
      </w:r>
    </w:p>
    <w:p w14:paraId="7716C7EF" w14:textId="77777777" w:rsidR="007A5B35" w:rsidRDefault="00000000">
      <w:r>
        <w:t>and a row is flagged when A(t) &gt; tau AND it does not satisfy any of the environmental exemption rules below. The model is therefore not a 'fuel dropped suddenly' detector; it is a deviation-from-context detector whose decision is conditioned on the physical and operational realities of Philippine fleet operation.</w:t>
      </w:r>
    </w:p>
    <w:p w14:paraId="40011FB3" w14:textId="77777777" w:rsidR="007A5B35" w:rsidRDefault="00000000">
      <w:r>
        <w:rPr>
          <w:b/>
        </w:rPr>
        <w:t>Physical constraints (vehicle and tank).</w:t>
      </w:r>
    </w:p>
    <w:p w14:paraId="0629E3E2" w14:textId="77777777" w:rsidR="007A5B35" w:rsidRDefault="00000000">
      <w:pPr>
        <w:pStyle w:val="ListBullet"/>
      </w:pPr>
      <w:r>
        <w:t>C1 Conservation. Fuel can decrease only through engine consumption, and can increase only through refuelling while the vehicle is stationary for at least sixty seconds.</w:t>
      </w:r>
    </w:p>
    <w:p w14:paraId="1017FE04" w14:textId="77777777" w:rsidR="007A5B35" w:rsidRDefault="00000000">
      <w:pPr>
        <w:pStyle w:val="ListBullet"/>
      </w:pPr>
      <w:r>
        <w:t>C2 Bounded consumption. Per-step consumption is bounded by engine work: 0 &lt;= consumption(t) &lt;= k_max * load(t). A drop faster than the engine can physically burn is not consumption.</w:t>
      </w:r>
    </w:p>
    <w:p w14:paraId="037899AD" w14:textId="77777777" w:rsidR="007A5B35" w:rsidRDefault="00000000">
      <w:pPr>
        <w:pStyle w:val="ListBullet"/>
      </w:pPr>
      <w:r>
        <w:t>C3 Sender non-linearity. The float-arm fuel sender used by the test vehicle is most non-linear in the 51-79 % tank band, which inflates raw-signal variance in that band.</w:t>
      </w:r>
    </w:p>
    <w:p w14:paraId="44AC3A7E" w14:textId="77777777" w:rsidR="007A5B35" w:rsidRDefault="00000000">
      <w:pPr>
        <w:pStyle w:val="ListBullet"/>
      </w:pPr>
      <w:r>
        <w:t>C4 Slosh. Short fluctuations inside an approximately +/- 5 L envelope during motion are physical liquid movement inside the tank, not consumption.</w:t>
      </w:r>
    </w:p>
    <w:p w14:paraId="1E4CD9E7" w14:textId="77777777" w:rsidR="007A5B35" w:rsidRDefault="00000000">
      <w:r>
        <w:rPr>
          <w:b/>
        </w:rPr>
        <w:t>Operational constraints (Philippine fleet).</w:t>
      </w:r>
    </w:p>
    <w:p w14:paraId="05503C80" w14:textId="77777777" w:rsidR="007A5B35" w:rsidRDefault="00000000">
      <w:pPr>
        <w:pStyle w:val="ListBullet"/>
      </w:pPr>
      <w:r>
        <w:t>O1 Traffic. Metro Manila stop-and-go produces an idle fraction that ordinary detectors would mistake for stationary anomalous loss.</w:t>
      </w:r>
    </w:p>
    <w:p w14:paraId="722DBC36" w14:textId="77777777" w:rsidR="007A5B35" w:rsidRDefault="00000000">
      <w:pPr>
        <w:pStyle w:val="ListBullet"/>
      </w:pPr>
      <w:r>
        <w:t>O2 Route restrictions. Truck-ban corridors limit the feasible route set, which means the per-route consumption baseline must be conditioned on route type.</w:t>
      </w:r>
    </w:p>
    <w:p w14:paraId="5F9A48EB" w14:textId="77777777" w:rsidR="007A5B35" w:rsidRDefault="00000000">
      <w:pPr>
        <w:pStyle w:val="ListBullet"/>
      </w:pPr>
      <w:r>
        <w:t>O3 Driver variability. Driver-to-driver consumption differs by up to twenty percent on the same route, which requires a per-driver baseline rather than a fleet-wide one.</w:t>
      </w:r>
    </w:p>
    <w:p w14:paraId="3CEC4F64" w14:textId="77777777" w:rsidR="007A5B35" w:rsidRDefault="00000000">
      <w:pPr>
        <w:pStyle w:val="ListBullet"/>
      </w:pPr>
      <w:r>
        <w:t>O4 Refuel pattern. Refuelling occurs at known stations only, and is always preceded by a stationary engine-off interval; any apparent fuel increase outside this window is a sender artefact.</w:t>
      </w:r>
    </w:p>
    <w:p w14:paraId="50AE7802" w14:textId="77777777" w:rsidR="007A5B35" w:rsidRDefault="00000000">
      <w:r>
        <w:rPr>
          <w:b/>
        </w:rPr>
        <w:t>Constraint-to-mechanism mapping.</w:t>
      </w:r>
    </w:p>
    <w:p w14:paraId="503EC5E8" w14:textId="77777777" w:rsidR="007A5B35" w:rsidRDefault="00000000">
      <w:r>
        <w:lastRenderedPageBreak/>
        <w:t>Each constraint is encoded by a concrete system mechanism, so a flagged row can be traced back to which constraint produced the decision:</w:t>
      </w:r>
    </w:p>
    <w:tbl>
      <w:tblPr>
        <w:tblStyle w:val="LightGrid-Accent1"/>
        <w:tblW w:w="0" w:type="auto"/>
        <w:tblLook w:val="04A0" w:firstRow="1" w:lastRow="0" w:firstColumn="1" w:lastColumn="0" w:noHBand="0" w:noVBand="1"/>
      </w:tblPr>
      <w:tblGrid>
        <w:gridCol w:w="4549"/>
        <w:gridCol w:w="4549"/>
      </w:tblGrid>
      <w:tr w:rsidR="007A5B35" w14:paraId="0D01F04F" w14:textId="77777777" w:rsidTr="007A5B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33B45AD" w14:textId="77777777" w:rsidR="007A5B35" w:rsidRDefault="00000000">
            <w:r>
              <w:t>Constraint</w:t>
            </w:r>
          </w:p>
        </w:tc>
        <w:tc>
          <w:tcPr>
            <w:tcW w:w="4549" w:type="dxa"/>
            <w:vAlign w:val="center"/>
          </w:tcPr>
          <w:p w14:paraId="63ECC301" w14:textId="77777777" w:rsidR="007A5B35" w:rsidRDefault="00000000">
            <w:pPr>
              <w:cnfStyle w:val="100000000000" w:firstRow="1" w:lastRow="0" w:firstColumn="0" w:lastColumn="0" w:oddVBand="0" w:evenVBand="0" w:oddHBand="0" w:evenHBand="0" w:firstRowFirstColumn="0" w:firstRowLastColumn="0" w:lastRowFirstColumn="0" w:lastRowLastColumn="0"/>
            </w:pPr>
            <w:r>
              <w:t>System mechanism</w:t>
            </w:r>
          </w:p>
        </w:tc>
      </w:tr>
      <w:tr w:rsidR="007A5B35" w14:paraId="2810038B"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E6CAC3E" w14:textId="77777777" w:rsidR="007A5B35" w:rsidRDefault="00000000">
            <w:r>
              <w:t>C1 Conservation</w:t>
            </w:r>
          </w:p>
        </w:tc>
        <w:tc>
          <w:tcPr>
            <w:tcW w:w="4549" w:type="dxa"/>
            <w:vAlign w:val="center"/>
          </w:tcPr>
          <w:p w14:paraId="4A187A13" w14:textId="77777777" w:rsidR="007A5B35" w:rsidRDefault="00000000">
            <w:pPr>
              <w:cnfStyle w:val="000000100000" w:firstRow="0" w:lastRow="0" w:firstColumn="0" w:lastColumn="0" w:oddVBand="0" w:evenVBand="0" w:oddHBand="1" w:evenHBand="0" w:firstRowFirstColumn="0" w:firstRowLastColumn="0" w:lastRowFirstColumn="0" w:lastRowLastColumn="0"/>
            </w:pPr>
            <w:r>
              <w:t>Direction-aware step rule (Section 5.4) + refuel quiescence window</w:t>
            </w:r>
          </w:p>
        </w:tc>
      </w:tr>
      <w:tr w:rsidR="007A5B35" w14:paraId="3E06C011"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0964C0C5" w14:textId="77777777" w:rsidR="007A5B35" w:rsidRDefault="00000000">
            <w:r>
              <w:t>C2 Bounded consumption</w:t>
            </w:r>
          </w:p>
        </w:tc>
        <w:tc>
          <w:tcPr>
            <w:tcW w:w="4549" w:type="dxa"/>
            <w:vAlign w:val="center"/>
          </w:tcPr>
          <w:p w14:paraId="7943EDCD"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fuel_drop_per_rpm</w:t>
            </w:r>
            <w:r>
              <w:t xml:space="preserve">, </w:t>
            </w:r>
            <w:r>
              <w:rPr>
                <w:rFonts w:ascii="Consolas" w:hAnsi="Consolas"/>
                <w:sz w:val="20"/>
              </w:rPr>
              <w:t>fuel_drop_per_load</w:t>
            </w:r>
            <w:r>
              <w:t xml:space="preserve">, </w:t>
            </w:r>
            <w:r>
              <w:rPr>
                <w:rFonts w:ascii="Consolas" w:hAnsi="Consolas"/>
                <w:sz w:val="20"/>
              </w:rPr>
              <w:t>expected_consumption_residual</w:t>
            </w:r>
            <w:r>
              <w:t xml:space="preserve"> features</w:t>
            </w:r>
          </w:p>
        </w:tc>
      </w:tr>
      <w:tr w:rsidR="007A5B35" w14:paraId="46A7DC54"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40329EA" w14:textId="77777777" w:rsidR="007A5B35" w:rsidRDefault="00000000">
            <w:r>
              <w:t>C3 Sender non-linearity</w:t>
            </w:r>
          </w:p>
        </w:tc>
        <w:tc>
          <w:tcPr>
            <w:tcW w:w="4549" w:type="dxa"/>
            <w:vAlign w:val="center"/>
          </w:tcPr>
          <w:p w14:paraId="286BB267" w14:textId="77777777" w:rsidR="007A5B35" w:rsidRDefault="00000000">
            <w:pPr>
              <w:cnfStyle w:val="000000100000" w:firstRow="0" w:lastRow="0" w:firstColumn="0" w:lastColumn="0" w:oddVBand="0" w:evenVBand="0" w:oddHBand="1" w:evenHBand="0" w:firstRowFirstColumn="0" w:firstRowLastColumn="0" w:lastRowFirstColumn="0" w:lastRowLastColumn="0"/>
            </w:pPr>
            <w:r>
              <w:t>Median + EMA cascade tuned per tank band</w:t>
            </w:r>
          </w:p>
        </w:tc>
      </w:tr>
      <w:tr w:rsidR="007A5B35" w14:paraId="13AEADD9"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0BC6439" w14:textId="77777777" w:rsidR="007A5B35" w:rsidRDefault="00000000">
            <w:r>
              <w:t>C4 Slosh</w:t>
            </w:r>
          </w:p>
        </w:tc>
        <w:tc>
          <w:tcPr>
            <w:tcW w:w="4549" w:type="dxa"/>
            <w:vAlign w:val="center"/>
          </w:tcPr>
          <w:p w14:paraId="465DB327" w14:textId="77777777" w:rsidR="007A5B35" w:rsidRDefault="00000000">
            <w:pPr>
              <w:cnfStyle w:val="000000010000" w:firstRow="0" w:lastRow="0" w:firstColumn="0" w:lastColumn="0" w:oddVBand="0" w:evenVBand="0" w:oddHBand="0" w:evenHBand="1" w:firstRowFirstColumn="0" w:firstRowLastColumn="0" w:lastRowFirstColumn="0" w:lastRowLastColumn="0"/>
            </w:pPr>
            <w:r>
              <w:t>31-sample median window + dead-band publisher</w:t>
            </w:r>
          </w:p>
        </w:tc>
      </w:tr>
      <w:tr w:rsidR="007A5B35" w14:paraId="625BBA6D"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F5006AB" w14:textId="77777777" w:rsidR="007A5B35" w:rsidRDefault="00000000">
            <w:r>
              <w:t>O1 Traffic</w:t>
            </w:r>
          </w:p>
        </w:tc>
        <w:tc>
          <w:tcPr>
            <w:tcW w:w="4549" w:type="dxa"/>
            <w:vAlign w:val="center"/>
          </w:tcPr>
          <w:p w14:paraId="2C1CA7BD" w14:textId="77777777" w:rsidR="007A5B35"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idle_duration_score</w:t>
            </w:r>
            <w:r>
              <w:t xml:space="preserve">, </w:t>
            </w:r>
            <w:r>
              <w:rPr>
                <w:rFonts w:ascii="Consolas" w:hAnsi="Consolas"/>
                <w:sz w:val="20"/>
              </w:rPr>
              <w:t>motion_state_code</w:t>
            </w:r>
            <w:r>
              <w:t xml:space="preserve"> features</w:t>
            </w:r>
          </w:p>
        </w:tc>
      </w:tr>
      <w:tr w:rsidR="007A5B35" w14:paraId="212AE281"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40BCD59" w14:textId="77777777" w:rsidR="007A5B35" w:rsidRDefault="00000000">
            <w:r>
              <w:t>O2 Route</w:t>
            </w:r>
          </w:p>
        </w:tc>
        <w:tc>
          <w:tcPr>
            <w:tcW w:w="4549" w:type="dxa"/>
            <w:vAlign w:val="center"/>
          </w:tcPr>
          <w:p w14:paraId="03D1C2CD"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route_type_code</w:t>
            </w:r>
            <w:r>
              <w:t xml:space="preserve">, </w:t>
            </w:r>
            <w:r>
              <w:rPr>
                <w:rFonts w:ascii="Consolas" w:hAnsi="Consolas"/>
                <w:sz w:val="20"/>
              </w:rPr>
              <w:t>route_segment_performance</w:t>
            </w:r>
            <w:r>
              <w:t xml:space="preserve"> features</w:t>
            </w:r>
          </w:p>
        </w:tc>
      </w:tr>
      <w:tr w:rsidR="007A5B35" w14:paraId="533C2805"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054032E7" w14:textId="77777777" w:rsidR="007A5B35" w:rsidRDefault="00000000">
            <w:r>
              <w:t>O3 Driver</w:t>
            </w:r>
          </w:p>
        </w:tc>
        <w:tc>
          <w:tcPr>
            <w:tcW w:w="4549" w:type="dxa"/>
            <w:vAlign w:val="center"/>
          </w:tcPr>
          <w:p w14:paraId="0AED78B3" w14:textId="77777777" w:rsidR="007A5B35"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driver_kmpl_deviation_pct</w:t>
            </w:r>
            <w:r>
              <w:t xml:space="preserve">, </w:t>
            </w:r>
            <w:r>
              <w:rPr>
                <w:rFonts w:ascii="Consolas" w:hAnsi="Consolas"/>
                <w:sz w:val="20"/>
              </w:rPr>
              <w:t>driver_behavior_score</w:t>
            </w:r>
            <w:r>
              <w:t xml:space="preserve"> features</w:t>
            </w:r>
          </w:p>
        </w:tc>
      </w:tr>
      <w:tr w:rsidR="007A5B35" w14:paraId="415D65DF"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45D81C1C" w14:textId="77777777" w:rsidR="007A5B35" w:rsidRDefault="00000000">
            <w:r>
              <w:t>O4 Refuel</w:t>
            </w:r>
          </w:p>
        </w:tc>
        <w:tc>
          <w:tcPr>
            <w:tcW w:w="4549" w:type="dxa"/>
            <w:vAlign w:val="center"/>
          </w:tcPr>
          <w:p w14:paraId="0EBB4547"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time_since_refuel_norm</w:t>
            </w:r>
            <w:r>
              <w:t xml:space="preserve">, </w:t>
            </w:r>
            <w:r>
              <w:rPr>
                <w:rFonts w:ascii="Consolas" w:hAnsi="Consolas"/>
                <w:sz w:val="20"/>
              </w:rPr>
              <w:t>post_refuel_flag</w:t>
            </w:r>
            <w:r>
              <w:t>, contextual-gate refuel rule</w:t>
            </w:r>
          </w:p>
        </w:tc>
      </w:tr>
    </w:tbl>
    <w:p w14:paraId="3719F4E1" w14:textId="77777777" w:rsidR="007A5B35" w:rsidRDefault="007A5B35"/>
    <w:p w14:paraId="79D41F8C" w14:textId="77777777" w:rsidR="007A5B35" w:rsidRDefault="00000000">
      <w:r>
        <w:t>This mapping makes the anomaly model auditable: every detector decision corresponds to one or more of the physical and operational constraints above, rather than to a black-box anomaly score alone.</w:t>
      </w:r>
    </w:p>
    <w:p w14:paraId="59CB2675" w14:textId="77777777" w:rsidR="007A5B35" w:rsidRDefault="00000000">
      <w:pPr>
        <w:pStyle w:val="Heading2"/>
      </w:pPr>
      <w:r>
        <w:t>5.7.10 Data-Mining Layer</w:t>
      </w:r>
    </w:p>
    <w:p w14:paraId="618F4638" w14:textId="77777777" w:rsidR="007A5B35" w:rsidRDefault="00000000">
      <w:r>
        <w:t>The machine-learning detector reported in Section 5.7 is a per-row scorer. To complement that scorer with the data-mining perspective requested by the panel - that is, to discover loss signatures in the telemetry corpus rather than only score against pre-specified injected classes - an unsupervised data-mining layer was added.</w:t>
      </w:r>
    </w:p>
    <w:p w14:paraId="5085CBE0" w14:textId="77777777" w:rsidR="007A5B35" w:rsidRDefault="00000000">
      <w:r>
        <w:rPr>
          <w:b/>
        </w:rPr>
        <w:t>Constraint-violation profiling.</w:t>
      </w:r>
    </w:p>
    <w:p w14:paraId="37EB420B" w14:textId="77777777" w:rsidR="007A5B35" w:rsidRDefault="00000000">
      <w:r>
        <w:t>Every flagged row is annotated with the set of physical and operational constraints whose signature is present (C1, C2, C4, O1, O3, O4). The annotation rules use the same engineered features the model consumes, applied with deterministic thresholds derived from the noise floor of the filter cascade:</w:t>
      </w:r>
    </w:p>
    <w:p w14:paraId="57516887" w14:textId="77777777" w:rsidR="007A5B35" w:rsidRDefault="00000000">
      <w:pPr>
        <w:pStyle w:val="ListBullet"/>
      </w:pPr>
      <w:r>
        <w:t>C1 fires when a drop greater than 0.05 % per step is observed while the vehicle is parked.</w:t>
      </w:r>
    </w:p>
    <w:p w14:paraId="6923D649" w14:textId="77777777" w:rsidR="007A5B35" w:rsidRDefault="00000000">
      <w:pPr>
        <w:pStyle w:val="ListBullet"/>
      </w:pPr>
      <w:r>
        <w:t>C2 fires when the per-step drop exceeds 0.15 %, beyond the plausible single-step burn.</w:t>
      </w:r>
    </w:p>
    <w:p w14:paraId="1EE0A728" w14:textId="77777777" w:rsidR="007A5B35" w:rsidRDefault="00000000">
      <w:pPr>
        <w:pStyle w:val="ListBullet"/>
      </w:pPr>
      <w:r>
        <w:t>C4 fires when the raw-versus-filtered gap exceeds 0.10 %, indicating that the median stage suppressed a slosh transient.</w:t>
      </w:r>
    </w:p>
    <w:p w14:paraId="2B796DF1" w14:textId="77777777" w:rsidR="007A5B35" w:rsidRDefault="00000000">
      <w:pPr>
        <w:pStyle w:val="ListBullet"/>
      </w:pPr>
      <w:r>
        <w:t>O1 fires when a drop greater than 0.05 % per step is observed inside an idle window.</w:t>
      </w:r>
    </w:p>
    <w:p w14:paraId="6C7B8A2B" w14:textId="77777777" w:rsidR="007A5B35" w:rsidRDefault="00000000">
      <w:pPr>
        <w:pStyle w:val="ListBullet"/>
      </w:pPr>
      <w:r>
        <w:lastRenderedPageBreak/>
        <w:t>O3 fires when the per-driver KMPL deviation exceeds the one-sigma baseline band.</w:t>
      </w:r>
    </w:p>
    <w:p w14:paraId="5A7088BC" w14:textId="77777777" w:rsidR="007A5B35" w:rsidRDefault="00000000">
      <w:pPr>
        <w:pStyle w:val="ListBullet"/>
      </w:pPr>
      <w:r>
        <w:t>O4 fires when the row sits inside the post-refuel quiescence window.</w:t>
      </w:r>
    </w:p>
    <w:p w14:paraId="2A3A6A8A" w14:textId="77777777" w:rsidR="007A5B35" w:rsidRDefault="00000000">
      <w:r>
        <w:t>The resulting per-row signature is stored alongside the anomaly score and is the basis for the per-class signature table reported in Chapter 6.</w:t>
      </w:r>
    </w:p>
    <w:p w14:paraId="1E160C99" w14:textId="77777777" w:rsidR="007A5B35" w:rsidRDefault="00000000">
      <w:r>
        <w:rPr>
          <w:b/>
        </w:rPr>
        <w:t>Archetype discovery.</w:t>
      </w:r>
    </w:p>
    <w:p w14:paraId="4EEE029A" w14:textId="77777777" w:rsidR="007A5B35" w:rsidRDefault="00000000">
      <w:r>
        <w:t>A K-Means clustering with K = 4 is fitted on the controlled-injection window using a seven-feature representation (</w:t>
      </w:r>
      <w:r>
        <w:rPr>
          <w:rFonts w:ascii="Consolas" w:hAnsi="Consolas"/>
          <w:sz w:val="20"/>
        </w:rPr>
        <w:t>fuel_delta_filtered</w:t>
      </w:r>
      <w:r>
        <w:t xml:space="preserve">, </w:t>
      </w:r>
      <w:r>
        <w:rPr>
          <w:rFonts w:ascii="Consolas" w:hAnsi="Consolas"/>
          <w:sz w:val="20"/>
        </w:rPr>
        <w:t>speed_filtered</w:t>
      </w:r>
      <w:r>
        <w:t xml:space="preserve">, </w:t>
      </w:r>
      <w:r>
        <w:rPr>
          <w:rFonts w:ascii="Consolas" w:hAnsi="Consolas"/>
          <w:sz w:val="20"/>
        </w:rPr>
        <w:t>engine_load_pct_norm</w:t>
      </w:r>
      <w:r>
        <w:t xml:space="preserve">, </w:t>
      </w:r>
      <w:r>
        <w:rPr>
          <w:rFonts w:ascii="Consolas" w:hAnsi="Consolas"/>
          <w:sz w:val="20"/>
        </w:rPr>
        <w:t>idle_duration_score</w:t>
      </w:r>
      <w:r>
        <w:t xml:space="preserve">, </w:t>
      </w:r>
      <w:r>
        <w:rPr>
          <w:rFonts w:ascii="Consolas" w:hAnsi="Consolas"/>
          <w:sz w:val="20"/>
        </w:rPr>
        <w:t>motion_state_code</w:t>
      </w:r>
      <w:r>
        <w:t xml:space="preserve">, </w:t>
      </w:r>
      <w:r>
        <w:rPr>
          <w:rFonts w:ascii="Consolas" w:hAnsi="Consolas"/>
          <w:sz w:val="20"/>
        </w:rPr>
        <w:t>throttle_pct_norm</w:t>
      </w:r>
      <w:r>
        <w:t xml:space="preserve">, </w:t>
      </w:r>
      <w:r>
        <w:rPr>
          <w:rFonts w:ascii="Consolas" w:hAnsi="Consolas"/>
          <w:sz w:val="20"/>
        </w:rPr>
        <w:t>engine_rpm_normalized</w:t>
      </w:r>
      <w:r>
        <w:t>). The features are z-standardised before clustering. The intent is to expose the natural operating regimes inside the evaluation window so the supervised metrics in Chapter 6 can be interpreted regime-by-regime rather than as a single corpus-wide number. K = 4 was selected because the elbow of the within-cluster sum-of-squares curve sits between three and five and because four clusters separate the four operating regimes that domain inspection of the trips identified (high-speed cruise, mid-speed cruise, mid-magnitude gradual decline, and large-magnitude raw-slosh artefact).</w:t>
      </w:r>
    </w:p>
    <w:p w14:paraId="1BE6B08E" w14:textId="77777777" w:rsidR="007A5B35" w:rsidRDefault="00000000">
      <w:r>
        <w:rPr>
          <w:b/>
        </w:rPr>
        <w:t>Outputs.</w:t>
      </w:r>
    </w:p>
    <w:p w14:paraId="7C0FEC8F" w14:textId="77777777" w:rsidR="007A5B35" w:rsidRDefault="00000000">
      <w:r>
        <w:t xml:space="preserve">The data-mining layer emits two artefacts that feed the Chapter 6 reporting: (a) a per-class constraint-violation table - which constraints fire for which anomaly class among the rows the detector flagged - and (b) an archetype summary - how many labelled positives and predicted positives sit in each discovered archetype, together with the centroid feature values. These tables are reproducible from the prediction CSV via </w:t>
      </w:r>
      <w:r>
        <w:rPr>
          <w:rFonts w:ascii="Consolas" w:hAnsi="Consolas"/>
          <w:sz w:val="20"/>
        </w:rPr>
        <w:t>ml/constraint_analysis.py</w:t>
      </w:r>
      <w:r>
        <w:t>.</w:t>
      </w:r>
    </w:p>
    <w:p w14:paraId="09F313E7" w14:textId="77777777" w:rsidR="007A5B35" w:rsidRDefault="00000000">
      <w:r>
        <w:br w:type="page"/>
      </w:r>
    </w:p>
    <w:p w14:paraId="4D4F3266" w14:textId="77777777" w:rsidR="007A5B35" w:rsidRDefault="00000000">
      <w:pPr>
        <w:pStyle w:val="Heading1"/>
      </w:pPr>
      <w:r>
        <w:lastRenderedPageBreak/>
        <w:t>Chapter 6 addition</w:t>
      </w:r>
    </w:p>
    <w:p w14:paraId="724D56B5" w14:textId="77777777" w:rsidR="007A5B35" w:rsidRDefault="00000000">
      <w:pPr>
        <w:pStyle w:val="Heading2"/>
      </w:pPr>
      <w:r>
        <w:t>6.4.8 Constraint-Violation and Pattern-Mining Analysis</w:t>
      </w:r>
    </w:p>
    <w:p w14:paraId="6C2E2D6D" w14:textId="77777777" w:rsidR="007A5B35" w:rsidRDefault="00000000">
      <w:r>
        <w:rPr>
          <w:b/>
        </w:rPr>
        <w:t>Table 6.15 - Per-Class Constraint-Violation Signature (Isolation Forest Model C, all flagged rows)</w:t>
      </w:r>
    </w:p>
    <w:tbl>
      <w:tblPr>
        <w:tblStyle w:val="LightGrid-Accent1"/>
        <w:tblW w:w="0" w:type="auto"/>
        <w:tblLook w:val="04A0" w:firstRow="1" w:lastRow="0" w:firstColumn="1" w:lastColumn="0" w:noHBand="0" w:noVBand="1"/>
      </w:tblPr>
      <w:tblGrid>
        <w:gridCol w:w="1154"/>
        <w:gridCol w:w="940"/>
        <w:gridCol w:w="1379"/>
        <w:gridCol w:w="1392"/>
        <w:gridCol w:w="1225"/>
        <w:gridCol w:w="1000"/>
        <w:gridCol w:w="1059"/>
        <w:gridCol w:w="1166"/>
      </w:tblGrid>
      <w:tr w:rsidR="007A5B35" w14:paraId="51A87FCD" w14:textId="77777777" w:rsidTr="007A5B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42918E82" w14:textId="77777777" w:rsidR="007A5B35" w:rsidRDefault="00000000">
            <w:r>
              <w:t>Anomaly class</w:t>
            </w:r>
          </w:p>
        </w:tc>
        <w:tc>
          <w:tcPr>
            <w:tcW w:w="1137" w:type="dxa"/>
            <w:vAlign w:val="center"/>
          </w:tcPr>
          <w:p w14:paraId="6514D7E2" w14:textId="77777777" w:rsidR="007A5B35" w:rsidRDefault="00000000">
            <w:pPr>
              <w:cnfStyle w:val="100000000000" w:firstRow="1" w:lastRow="0" w:firstColumn="0" w:lastColumn="0" w:oddVBand="0" w:evenVBand="0" w:oddHBand="0" w:evenHBand="0" w:firstRowFirstColumn="0" w:firstRowLastColumn="0" w:lastRowFirstColumn="0" w:lastRowLastColumn="0"/>
            </w:pPr>
            <w:r>
              <w:t>Flagged rows</w:t>
            </w:r>
          </w:p>
        </w:tc>
        <w:tc>
          <w:tcPr>
            <w:tcW w:w="1137" w:type="dxa"/>
            <w:vAlign w:val="center"/>
          </w:tcPr>
          <w:p w14:paraId="6BAADDF4" w14:textId="77777777" w:rsidR="007A5B35" w:rsidRDefault="00000000">
            <w:pPr>
              <w:cnfStyle w:val="100000000000" w:firstRow="1" w:lastRow="0" w:firstColumn="0" w:lastColumn="0" w:oddVBand="0" w:evenVBand="0" w:oddHBand="0" w:evenHBand="0" w:firstRowFirstColumn="0" w:firstRowLastColumn="0" w:lastRowFirstColumn="0" w:lastRowLastColumn="0"/>
            </w:pPr>
            <w:r>
              <w:t>C1 conservation</w:t>
            </w:r>
          </w:p>
        </w:tc>
        <w:tc>
          <w:tcPr>
            <w:tcW w:w="1137" w:type="dxa"/>
            <w:vAlign w:val="center"/>
          </w:tcPr>
          <w:p w14:paraId="1511C637" w14:textId="77777777" w:rsidR="007A5B35" w:rsidRDefault="00000000">
            <w:pPr>
              <w:cnfStyle w:val="100000000000" w:firstRow="1" w:lastRow="0" w:firstColumn="0" w:lastColumn="0" w:oddVBand="0" w:evenVBand="0" w:oddHBand="0" w:evenHBand="0" w:firstRowFirstColumn="0" w:firstRowLastColumn="0" w:lastRowFirstColumn="0" w:lastRowLastColumn="0"/>
            </w:pPr>
            <w:r>
              <w:t>C2 bounded consumption</w:t>
            </w:r>
          </w:p>
        </w:tc>
        <w:tc>
          <w:tcPr>
            <w:tcW w:w="1137" w:type="dxa"/>
            <w:vAlign w:val="center"/>
          </w:tcPr>
          <w:p w14:paraId="65EDE719" w14:textId="77777777" w:rsidR="007A5B35" w:rsidRDefault="00000000">
            <w:pPr>
              <w:cnfStyle w:val="100000000000" w:firstRow="1" w:lastRow="0" w:firstColumn="0" w:lastColumn="0" w:oddVBand="0" w:evenVBand="0" w:oddHBand="0" w:evenHBand="0" w:firstRowFirstColumn="0" w:firstRowLastColumn="0" w:lastRowFirstColumn="0" w:lastRowLastColumn="0"/>
            </w:pPr>
            <w:r>
              <w:t>C4 slosh suppressed</w:t>
            </w:r>
          </w:p>
        </w:tc>
        <w:tc>
          <w:tcPr>
            <w:tcW w:w="1137" w:type="dxa"/>
            <w:vAlign w:val="center"/>
          </w:tcPr>
          <w:p w14:paraId="72C78FFB" w14:textId="77777777" w:rsidR="007A5B35" w:rsidRDefault="00000000">
            <w:pPr>
              <w:cnfStyle w:val="100000000000" w:firstRow="1" w:lastRow="0" w:firstColumn="0" w:lastColumn="0" w:oddVBand="0" w:evenVBand="0" w:oddHBand="0" w:evenHBand="0" w:firstRowFirstColumn="0" w:firstRowLastColumn="0" w:lastRowFirstColumn="0" w:lastRowLastColumn="0"/>
            </w:pPr>
            <w:r>
              <w:t>O1 idle anomaly</w:t>
            </w:r>
          </w:p>
        </w:tc>
        <w:tc>
          <w:tcPr>
            <w:tcW w:w="1137" w:type="dxa"/>
            <w:vAlign w:val="center"/>
          </w:tcPr>
          <w:p w14:paraId="6CEB9195" w14:textId="77777777" w:rsidR="007A5B35" w:rsidRDefault="00000000">
            <w:pPr>
              <w:cnfStyle w:val="100000000000" w:firstRow="1" w:lastRow="0" w:firstColumn="0" w:lastColumn="0" w:oddVBand="0" w:evenVBand="0" w:oddHBand="0" w:evenHBand="0" w:firstRowFirstColumn="0" w:firstRowLastColumn="0" w:lastRowFirstColumn="0" w:lastRowLastColumn="0"/>
            </w:pPr>
            <w:r>
              <w:t>O3 driver baseline deviation</w:t>
            </w:r>
          </w:p>
        </w:tc>
        <w:tc>
          <w:tcPr>
            <w:tcW w:w="1137" w:type="dxa"/>
            <w:vAlign w:val="center"/>
          </w:tcPr>
          <w:p w14:paraId="243CF5A5" w14:textId="77777777" w:rsidR="007A5B35" w:rsidRDefault="00000000">
            <w:pPr>
              <w:cnfStyle w:val="100000000000" w:firstRow="1" w:lastRow="0" w:firstColumn="0" w:lastColumn="0" w:oddVBand="0" w:evenVBand="0" w:oddHBand="0" w:evenHBand="0" w:firstRowFirstColumn="0" w:firstRowLastColumn="0" w:lastRowFirstColumn="0" w:lastRowLastColumn="0"/>
            </w:pPr>
            <w:r>
              <w:t>O4 refuel exemption</w:t>
            </w:r>
          </w:p>
        </w:tc>
      </w:tr>
      <w:tr w:rsidR="007A5B35" w14:paraId="5E3C7F1B"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483BB28A" w14:textId="77777777" w:rsidR="007A5B35" w:rsidRDefault="00000000">
            <w:r>
              <w:t>Sudden fuel drop</w:t>
            </w:r>
          </w:p>
        </w:tc>
        <w:tc>
          <w:tcPr>
            <w:tcW w:w="1137" w:type="dxa"/>
            <w:vAlign w:val="center"/>
          </w:tcPr>
          <w:p w14:paraId="353D3485" w14:textId="77777777" w:rsidR="007A5B35" w:rsidRDefault="00000000">
            <w:pPr>
              <w:cnfStyle w:val="000000100000" w:firstRow="0" w:lastRow="0" w:firstColumn="0" w:lastColumn="0" w:oddVBand="0" w:evenVBand="0" w:oddHBand="1" w:evenHBand="0" w:firstRowFirstColumn="0" w:firstRowLastColumn="0" w:lastRowFirstColumn="0" w:lastRowLastColumn="0"/>
            </w:pPr>
            <w:r>
              <w:t>2</w:t>
            </w:r>
          </w:p>
        </w:tc>
        <w:tc>
          <w:tcPr>
            <w:tcW w:w="1137" w:type="dxa"/>
            <w:vAlign w:val="center"/>
          </w:tcPr>
          <w:p w14:paraId="0814AABC"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c>
          <w:tcPr>
            <w:tcW w:w="1137" w:type="dxa"/>
            <w:vAlign w:val="center"/>
          </w:tcPr>
          <w:p w14:paraId="1BE6AEAA"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c>
          <w:tcPr>
            <w:tcW w:w="1137" w:type="dxa"/>
            <w:vAlign w:val="center"/>
          </w:tcPr>
          <w:p w14:paraId="7BC7645B" w14:textId="77777777" w:rsidR="007A5B35" w:rsidRDefault="00000000">
            <w:pPr>
              <w:cnfStyle w:val="000000100000" w:firstRow="0" w:lastRow="0" w:firstColumn="0" w:lastColumn="0" w:oddVBand="0" w:evenVBand="0" w:oddHBand="1" w:evenHBand="0" w:firstRowFirstColumn="0" w:firstRowLastColumn="0" w:lastRowFirstColumn="0" w:lastRowLastColumn="0"/>
            </w:pPr>
            <w:r>
              <w:t>2 (100.0 %)</w:t>
            </w:r>
          </w:p>
        </w:tc>
        <w:tc>
          <w:tcPr>
            <w:tcW w:w="1137" w:type="dxa"/>
            <w:vAlign w:val="center"/>
          </w:tcPr>
          <w:p w14:paraId="2B61E488"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c>
          <w:tcPr>
            <w:tcW w:w="1137" w:type="dxa"/>
            <w:vAlign w:val="center"/>
          </w:tcPr>
          <w:p w14:paraId="6588F76B" w14:textId="77777777" w:rsidR="007A5B35" w:rsidRDefault="00000000">
            <w:pPr>
              <w:cnfStyle w:val="000000100000" w:firstRow="0" w:lastRow="0" w:firstColumn="0" w:lastColumn="0" w:oddVBand="0" w:evenVBand="0" w:oddHBand="1" w:evenHBand="0" w:firstRowFirstColumn="0" w:firstRowLastColumn="0" w:lastRowFirstColumn="0" w:lastRowLastColumn="0"/>
            </w:pPr>
            <w:r>
              <w:t>2 (100.0 %)</w:t>
            </w:r>
          </w:p>
        </w:tc>
        <w:tc>
          <w:tcPr>
            <w:tcW w:w="1137" w:type="dxa"/>
            <w:vAlign w:val="center"/>
          </w:tcPr>
          <w:p w14:paraId="52889EAF"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r>
      <w:tr w:rsidR="007A5B35" w14:paraId="0338ECB8"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51E51F5A" w14:textId="77777777" w:rsidR="007A5B35" w:rsidRDefault="00000000">
            <w:r>
              <w:t>Abnormal rapid decrease</w:t>
            </w:r>
          </w:p>
        </w:tc>
        <w:tc>
          <w:tcPr>
            <w:tcW w:w="1137" w:type="dxa"/>
            <w:vAlign w:val="center"/>
          </w:tcPr>
          <w:p w14:paraId="5DF092CA" w14:textId="77777777" w:rsidR="007A5B35" w:rsidRDefault="00000000">
            <w:pPr>
              <w:cnfStyle w:val="000000010000" w:firstRow="0" w:lastRow="0" w:firstColumn="0" w:lastColumn="0" w:oddVBand="0" w:evenVBand="0" w:oddHBand="0" w:evenHBand="1" w:firstRowFirstColumn="0" w:firstRowLastColumn="0" w:lastRowFirstColumn="0" w:lastRowLastColumn="0"/>
            </w:pPr>
            <w:r>
              <w:t>8</w:t>
            </w:r>
          </w:p>
        </w:tc>
        <w:tc>
          <w:tcPr>
            <w:tcW w:w="1137" w:type="dxa"/>
            <w:vAlign w:val="center"/>
          </w:tcPr>
          <w:p w14:paraId="713C3A14" w14:textId="77777777" w:rsidR="007A5B35" w:rsidRDefault="00000000">
            <w:pPr>
              <w:cnfStyle w:val="000000010000" w:firstRow="0" w:lastRow="0" w:firstColumn="0" w:lastColumn="0" w:oddVBand="0" w:evenVBand="0" w:oddHBand="0" w:evenHBand="1" w:firstRowFirstColumn="0" w:firstRowLastColumn="0" w:lastRowFirstColumn="0" w:lastRowLastColumn="0"/>
            </w:pPr>
            <w:r>
              <w:t>0 (0.0 %)</w:t>
            </w:r>
          </w:p>
        </w:tc>
        <w:tc>
          <w:tcPr>
            <w:tcW w:w="1137" w:type="dxa"/>
            <w:vAlign w:val="center"/>
          </w:tcPr>
          <w:p w14:paraId="2E8D0448" w14:textId="77777777" w:rsidR="007A5B35" w:rsidRDefault="00000000">
            <w:pPr>
              <w:cnfStyle w:val="000000010000" w:firstRow="0" w:lastRow="0" w:firstColumn="0" w:lastColumn="0" w:oddVBand="0" w:evenVBand="0" w:oddHBand="0" w:evenHBand="1" w:firstRowFirstColumn="0" w:firstRowLastColumn="0" w:lastRowFirstColumn="0" w:lastRowLastColumn="0"/>
            </w:pPr>
            <w:r>
              <w:t>6 (75.0 %)</w:t>
            </w:r>
          </w:p>
        </w:tc>
        <w:tc>
          <w:tcPr>
            <w:tcW w:w="1137" w:type="dxa"/>
            <w:vAlign w:val="center"/>
          </w:tcPr>
          <w:p w14:paraId="72EA1119" w14:textId="77777777" w:rsidR="007A5B35" w:rsidRDefault="00000000">
            <w:pPr>
              <w:cnfStyle w:val="000000010000" w:firstRow="0" w:lastRow="0" w:firstColumn="0" w:lastColumn="0" w:oddVBand="0" w:evenVBand="0" w:oddHBand="0" w:evenHBand="1" w:firstRowFirstColumn="0" w:firstRowLastColumn="0" w:lastRowFirstColumn="0" w:lastRowLastColumn="0"/>
            </w:pPr>
            <w:r>
              <w:t>6 (75.0 %)</w:t>
            </w:r>
          </w:p>
        </w:tc>
        <w:tc>
          <w:tcPr>
            <w:tcW w:w="1137" w:type="dxa"/>
            <w:vAlign w:val="center"/>
          </w:tcPr>
          <w:p w14:paraId="189EEF36" w14:textId="77777777" w:rsidR="007A5B35" w:rsidRDefault="00000000">
            <w:pPr>
              <w:cnfStyle w:val="000000010000" w:firstRow="0" w:lastRow="0" w:firstColumn="0" w:lastColumn="0" w:oddVBand="0" w:evenVBand="0" w:oddHBand="0" w:evenHBand="1" w:firstRowFirstColumn="0" w:firstRowLastColumn="0" w:lastRowFirstColumn="0" w:lastRowLastColumn="0"/>
            </w:pPr>
            <w:r>
              <w:t>0 (0.0 %)</w:t>
            </w:r>
          </w:p>
        </w:tc>
        <w:tc>
          <w:tcPr>
            <w:tcW w:w="1137" w:type="dxa"/>
            <w:vAlign w:val="center"/>
          </w:tcPr>
          <w:p w14:paraId="244B994D" w14:textId="77777777" w:rsidR="007A5B35" w:rsidRDefault="00000000">
            <w:pPr>
              <w:cnfStyle w:val="000000010000" w:firstRow="0" w:lastRow="0" w:firstColumn="0" w:lastColumn="0" w:oddVBand="0" w:evenVBand="0" w:oddHBand="0" w:evenHBand="1" w:firstRowFirstColumn="0" w:firstRowLastColumn="0" w:lastRowFirstColumn="0" w:lastRowLastColumn="0"/>
            </w:pPr>
            <w:r>
              <w:t>8 (100.0 %)</w:t>
            </w:r>
          </w:p>
        </w:tc>
        <w:tc>
          <w:tcPr>
            <w:tcW w:w="1137" w:type="dxa"/>
            <w:vAlign w:val="center"/>
          </w:tcPr>
          <w:p w14:paraId="0344D8AC" w14:textId="77777777" w:rsidR="007A5B35" w:rsidRDefault="00000000">
            <w:pPr>
              <w:cnfStyle w:val="000000010000" w:firstRow="0" w:lastRow="0" w:firstColumn="0" w:lastColumn="0" w:oddVBand="0" w:evenVBand="0" w:oddHBand="0" w:evenHBand="1" w:firstRowFirstColumn="0" w:firstRowLastColumn="0" w:lastRowFirstColumn="0" w:lastRowLastColumn="0"/>
            </w:pPr>
            <w:r>
              <w:t>0 (0.0 %)</w:t>
            </w:r>
          </w:p>
        </w:tc>
      </w:tr>
      <w:tr w:rsidR="007A5B35" w14:paraId="43D7CFCF"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39DE0518" w14:textId="77777777" w:rsidR="007A5B35" w:rsidRDefault="00000000">
            <w:r>
              <w:t>Gradual leak</w:t>
            </w:r>
          </w:p>
        </w:tc>
        <w:tc>
          <w:tcPr>
            <w:tcW w:w="1137" w:type="dxa"/>
            <w:vAlign w:val="center"/>
          </w:tcPr>
          <w:p w14:paraId="157647AD" w14:textId="77777777" w:rsidR="007A5B35" w:rsidRDefault="00000000">
            <w:pPr>
              <w:cnfStyle w:val="000000100000" w:firstRow="0" w:lastRow="0" w:firstColumn="0" w:lastColumn="0" w:oddVBand="0" w:evenVBand="0" w:oddHBand="1" w:evenHBand="0" w:firstRowFirstColumn="0" w:firstRowLastColumn="0" w:lastRowFirstColumn="0" w:lastRowLastColumn="0"/>
            </w:pPr>
            <w:r>
              <w:t>18</w:t>
            </w:r>
          </w:p>
        </w:tc>
        <w:tc>
          <w:tcPr>
            <w:tcW w:w="1137" w:type="dxa"/>
            <w:vAlign w:val="center"/>
          </w:tcPr>
          <w:p w14:paraId="75A88180"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c>
          <w:tcPr>
            <w:tcW w:w="1137" w:type="dxa"/>
            <w:vAlign w:val="center"/>
          </w:tcPr>
          <w:p w14:paraId="5C7CFA8B" w14:textId="77777777" w:rsidR="007A5B35" w:rsidRDefault="00000000">
            <w:pPr>
              <w:cnfStyle w:val="000000100000" w:firstRow="0" w:lastRow="0" w:firstColumn="0" w:lastColumn="0" w:oddVBand="0" w:evenVBand="0" w:oddHBand="1" w:evenHBand="0" w:firstRowFirstColumn="0" w:firstRowLastColumn="0" w:lastRowFirstColumn="0" w:lastRowLastColumn="0"/>
            </w:pPr>
            <w:r>
              <w:t>14 (77.8 %)</w:t>
            </w:r>
          </w:p>
        </w:tc>
        <w:tc>
          <w:tcPr>
            <w:tcW w:w="1137" w:type="dxa"/>
            <w:vAlign w:val="center"/>
          </w:tcPr>
          <w:p w14:paraId="41A487D4" w14:textId="77777777" w:rsidR="007A5B35" w:rsidRDefault="00000000">
            <w:pPr>
              <w:cnfStyle w:val="000000100000" w:firstRow="0" w:lastRow="0" w:firstColumn="0" w:lastColumn="0" w:oddVBand="0" w:evenVBand="0" w:oddHBand="1" w:evenHBand="0" w:firstRowFirstColumn="0" w:firstRowLastColumn="0" w:lastRowFirstColumn="0" w:lastRowLastColumn="0"/>
            </w:pPr>
            <w:r>
              <w:t>5 (27.8 %)</w:t>
            </w:r>
          </w:p>
        </w:tc>
        <w:tc>
          <w:tcPr>
            <w:tcW w:w="1137" w:type="dxa"/>
            <w:vAlign w:val="center"/>
          </w:tcPr>
          <w:p w14:paraId="5FFBA7FB"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c>
          <w:tcPr>
            <w:tcW w:w="1137" w:type="dxa"/>
            <w:vAlign w:val="center"/>
          </w:tcPr>
          <w:p w14:paraId="54682B76" w14:textId="77777777" w:rsidR="007A5B35" w:rsidRDefault="00000000">
            <w:pPr>
              <w:cnfStyle w:val="000000100000" w:firstRow="0" w:lastRow="0" w:firstColumn="0" w:lastColumn="0" w:oddVBand="0" w:evenVBand="0" w:oddHBand="1" w:evenHBand="0" w:firstRowFirstColumn="0" w:firstRowLastColumn="0" w:lastRowFirstColumn="0" w:lastRowLastColumn="0"/>
            </w:pPr>
            <w:r>
              <w:t>18 (100.0 %)</w:t>
            </w:r>
          </w:p>
        </w:tc>
        <w:tc>
          <w:tcPr>
            <w:tcW w:w="1137" w:type="dxa"/>
            <w:vAlign w:val="center"/>
          </w:tcPr>
          <w:p w14:paraId="3B58418F"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r>
      <w:tr w:rsidR="007A5B35" w14:paraId="2C275632"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494C0F44" w14:textId="77777777" w:rsidR="007A5B35" w:rsidRDefault="00000000">
            <w:r>
              <w:t>All flagged (29 rows)</w:t>
            </w:r>
          </w:p>
        </w:tc>
        <w:tc>
          <w:tcPr>
            <w:tcW w:w="1137" w:type="dxa"/>
            <w:vAlign w:val="center"/>
          </w:tcPr>
          <w:p w14:paraId="05F28018"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29</w:t>
            </w:r>
          </w:p>
        </w:tc>
        <w:tc>
          <w:tcPr>
            <w:tcW w:w="1137" w:type="dxa"/>
            <w:vAlign w:val="center"/>
          </w:tcPr>
          <w:p w14:paraId="4328CAC5"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0 (0.0 %)</w:t>
            </w:r>
          </w:p>
        </w:tc>
        <w:tc>
          <w:tcPr>
            <w:tcW w:w="1137" w:type="dxa"/>
            <w:vAlign w:val="center"/>
          </w:tcPr>
          <w:p w14:paraId="0EF7CE4C"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20 (69.0 %)</w:t>
            </w:r>
          </w:p>
        </w:tc>
        <w:tc>
          <w:tcPr>
            <w:tcW w:w="1137" w:type="dxa"/>
            <w:vAlign w:val="center"/>
          </w:tcPr>
          <w:p w14:paraId="53B1EE35"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13 (44.8 %)</w:t>
            </w:r>
          </w:p>
        </w:tc>
        <w:tc>
          <w:tcPr>
            <w:tcW w:w="1137" w:type="dxa"/>
            <w:vAlign w:val="center"/>
          </w:tcPr>
          <w:p w14:paraId="6C0C54B9"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0 (0.0 %)</w:t>
            </w:r>
          </w:p>
        </w:tc>
        <w:tc>
          <w:tcPr>
            <w:tcW w:w="1137" w:type="dxa"/>
            <w:vAlign w:val="center"/>
          </w:tcPr>
          <w:p w14:paraId="301B2582"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29 (100.0 %)</w:t>
            </w:r>
          </w:p>
        </w:tc>
        <w:tc>
          <w:tcPr>
            <w:tcW w:w="1137" w:type="dxa"/>
            <w:vAlign w:val="center"/>
          </w:tcPr>
          <w:p w14:paraId="1C7AC013" w14:textId="77777777" w:rsidR="007A5B35" w:rsidRDefault="00000000">
            <w:pPr>
              <w:cnfStyle w:val="000000010000" w:firstRow="0" w:lastRow="0" w:firstColumn="0" w:lastColumn="0" w:oddVBand="0" w:evenVBand="0" w:oddHBand="0" w:evenHBand="1" w:firstRowFirstColumn="0" w:firstRowLastColumn="0" w:lastRowFirstColumn="0" w:lastRowLastColumn="0"/>
            </w:pPr>
            <w:r>
              <w:rPr>
                <w:b/>
              </w:rPr>
              <w:t>0 (0.0 %)</w:t>
            </w:r>
          </w:p>
        </w:tc>
      </w:tr>
    </w:tbl>
    <w:p w14:paraId="7C2285F7" w14:textId="77777777" w:rsidR="007A5B35" w:rsidRDefault="007A5B35"/>
    <w:p w14:paraId="537A51B6" w14:textId="77777777" w:rsidR="007A5B35" w:rsidRDefault="00000000">
      <w:r>
        <w:t>The dominant signature is the operational driver-baseline-deviation constraint O3: every single flagged row (29 of 29) violates the per-driver KMPL baseline, which confirms that Model C's row-level decisions are driven by the per-asset and per-driver fuel-economy deviation features added in the Model B to Model C ablation reported in Table 6.10. The physical-bounded-consumption constraint C2 is the second most frequent signature (69 % of flagged rows) and is the dominant signal on the two motion-class anomalies (75 % of abnormal-rapid-decrease, 77.8 % of gradual-leak). The C4 slosh-suppression flag fires more often on sudden-drop and rapid-decrease classes (100 % and 75 %) than on the gradual-leak class (28 %), which is the expected physical signature: sudden and rapid events produce raw bounce that the median filter has to suppress, whereas a sub-noise gradual leak does not. The conservation constraint C1 and the idle-anomaly constraint O1 fire on zero of the 29 flagged rows, which is the architectural property already documented in Section 6.4.7 - Model C is a moving-vehicle detector and does not catch parked-depot siphoning, because the slosh-suppression baseline has no consumption signal to deviate from when the vehicle is stationary and the engine is off. The refuel-exemption gate O4 correctly suppresses every post-refuel window: zero flagged rows sit inside an O4 exemption window, so the detector is not creating spurious alerts during refuelling.</w:t>
      </w:r>
    </w:p>
    <w:p w14:paraId="169D8C0F" w14:textId="77777777" w:rsidR="007A5B35" w:rsidRDefault="00000000">
      <w:r>
        <w:rPr>
          <w:b/>
        </w:rPr>
        <w:lastRenderedPageBreak/>
        <w:t>Table 6.16 - Constraint Coverage of the Confusion Matrix on the Controlled-Injection Window (136 rows)</w:t>
      </w:r>
    </w:p>
    <w:tbl>
      <w:tblPr>
        <w:tblStyle w:val="LightGrid-Accent1"/>
        <w:tblW w:w="0" w:type="auto"/>
        <w:tblLook w:val="04A0" w:firstRow="1" w:lastRow="0" w:firstColumn="1" w:lastColumn="0" w:noHBand="0" w:noVBand="1"/>
      </w:tblPr>
      <w:tblGrid>
        <w:gridCol w:w="1820"/>
        <w:gridCol w:w="1820"/>
        <w:gridCol w:w="1820"/>
        <w:gridCol w:w="1820"/>
        <w:gridCol w:w="1820"/>
      </w:tblGrid>
      <w:tr w:rsidR="007A5B35" w14:paraId="160CDA52" w14:textId="77777777" w:rsidTr="007A5B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512E63B" w14:textId="77777777" w:rsidR="007A5B35" w:rsidRDefault="00000000">
            <w:r>
              <w:t>Group</w:t>
            </w:r>
          </w:p>
        </w:tc>
        <w:tc>
          <w:tcPr>
            <w:tcW w:w="1820" w:type="dxa"/>
            <w:vAlign w:val="center"/>
          </w:tcPr>
          <w:p w14:paraId="3117238D" w14:textId="77777777" w:rsidR="007A5B35" w:rsidRDefault="00000000">
            <w:pPr>
              <w:cnfStyle w:val="100000000000" w:firstRow="1" w:lastRow="0" w:firstColumn="0" w:lastColumn="0" w:oddVBand="0" w:evenVBand="0" w:oddHBand="0" w:evenHBand="0" w:firstRowFirstColumn="0" w:firstRowLastColumn="0" w:lastRowFirstColumn="0" w:lastRowLastColumn="0"/>
            </w:pPr>
            <w:r>
              <w:t>n</w:t>
            </w:r>
          </w:p>
        </w:tc>
        <w:tc>
          <w:tcPr>
            <w:tcW w:w="1820" w:type="dxa"/>
            <w:vAlign w:val="center"/>
          </w:tcPr>
          <w:p w14:paraId="5FBBA1F3" w14:textId="77777777" w:rsidR="007A5B35" w:rsidRDefault="00000000">
            <w:pPr>
              <w:cnfStyle w:val="100000000000" w:firstRow="1" w:lastRow="0" w:firstColumn="0" w:lastColumn="0" w:oddVBand="0" w:evenVBand="0" w:oddHBand="0" w:evenHBand="0" w:firstRowFirstColumn="0" w:firstRowLastColumn="0" w:lastRowFirstColumn="0" w:lastRowLastColumn="0"/>
            </w:pPr>
            <w:r>
              <w:t>C2 bounded consumption</w:t>
            </w:r>
          </w:p>
        </w:tc>
        <w:tc>
          <w:tcPr>
            <w:tcW w:w="1820" w:type="dxa"/>
            <w:vAlign w:val="center"/>
          </w:tcPr>
          <w:p w14:paraId="3C40DD4A" w14:textId="77777777" w:rsidR="007A5B35" w:rsidRDefault="00000000">
            <w:pPr>
              <w:cnfStyle w:val="100000000000" w:firstRow="1" w:lastRow="0" w:firstColumn="0" w:lastColumn="0" w:oddVBand="0" w:evenVBand="0" w:oddHBand="0" w:evenHBand="0" w:firstRowFirstColumn="0" w:firstRowLastColumn="0" w:lastRowFirstColumn="0" w:lastRowLastColumn="0"/>
            </w:pPr>
            <w:r>
              <w:t>C4 slosh suppressed</w:t>
            </w:r>
          </w:p>
        </w:tc>
        <w:tc>
          <w:tcPr>
            <w:tcW w:w="1820" w:type="dxa"/>
            <w:vAlign w:val="center"/>
          </w:tcPr>
          <w:p w14:paraId="1F763CF2" w14:textId="77777777" w:rsidR="007A5B35" w:rsidRDefault="00000000">
            <w:pPr>
              <w:cnfStyle w:val="100000000000" w:firstRow="1" w:lastRow="0" w:firstColumn="0" w:lastColumn="0" w:oddVBand="0" w:evenVBand="0" w:oddHBand="0" w:evenHBand="0" w:firstRowFirstColumn="0" w:firstRowLastColumn="0" w:lastRowFirstColumn="0" w:lastRowLastColumn="0"/>
            </w:pPr>
            <w:r>
              <w:t>O3 driver baseline deviation</w:t>
            </w:r>
          </w:p>
        </w:tc>
      </w:tr>
      <w:tr w:rsidR="007A5B35" w14:paraId="03950C47"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6203D6E" w14:textId="77777777" w:rsidR="007A5B35" w:rsidRDefault="00000000">
            <w:r>
              <w:t>True positive (label = + and pred = +)</w:t>
            </w:r>
          </w:p>
        </w:tc>
        <w:tc>
          <w:tcPr>
            <w:tcW w:w="1820" w:type="dxa"/>
            <w:vAlign w:val="center"/>
          </w:tcPr>
          <w:p w14:paraId="1DE15CEF" w14:textId="77777777" w:rsidR="007A5B35" w:rsidRDefault="00000000">
            <w:pPr>
              <w:cnfStyle w:val="000000100000" w:firstRow="0" w:lastRow="0" w:firstColumn="0" w:lastColumn="0" w:oddVBand="0" w:evenVBand="0" w:oddHBand="1" w:evenHBand="0" w:firstRowFirstColumn="0" w:firstRowLastColumn="0" w:lastRowFirstColumn="0" w:lastRowLastColumn="0"/>
            </w:pPr>
            <w:r>
              <w:t>28</w:t>
            </w:r>
          </w:p>
        </w:tc>
        <w:tc>
          <w:tcPr>
            <w:tcW w:w="1820" w:type="dxa"/>
            <w:vAlign w:val="center"/>
          </w:tcPr>
          <w:p w14:paraId="69B70A99" w14:textId="77777777" w:rsidR="007A5B35" w:rsidRDefault="00000000">
            <w:pPr>
              <w:cnfStyle w:val="000000100000" w:firstRow="0" w:lastRow="0" w:firstColumn="0" w:lastColumn="0" w:oddVBand="0" w:evenVBand="0" w:oddHBand="1" w:evenHBand="0" w:firstRowFirstColumn="0" w:firstRowLastColumn="0" w:lastRowFirstColumn="0" w:lastRowLastColumn="0"/>
            </w:pPr>
            <w:r>
              <w:t>20 (71.4 %)</w:t>
            </w:r>
          </w:p>
        </w:tc>
        <w:tc>
          <w:tcPr>
            <w:tcW w:w="1820" w:type="dxa"/>
            <w:vAlign w:val="center"/>
          </w:tcPr>
          <w:p w14:paraId="2E1E7E41" w14:textId="77777777" w:rsidR="007A5B35" w:rsidRDefault="00000000">
            <w:pPr>
              <w:cnfStyle w:val="000000100000" w:firstRow="0" w:lastRow="0" w:firstColumn="0" w:lastColumn="0" w:oddVBand="0" w:evenVBand="0" w:oddHBand="1" w:evenHBand="0" w:firstRowFirstColumn="0" w:firstRowLastColumn="0" w:lastRowFirstColumn="0" w:lastRowLastColumn="0"/>
            </w:pPr>
            <w:r>
              <w:t>13 (46.4 %)</w:t>
            </w:r>
          </w:p>
        </w:tc>
        <w:tc>
          <w:tcPr>
            <w:tcW w:w="1820" w:type="dxa"/>
            <w:vAlign w:val="center"/>
          </w:tcPr>
          <w:p w14:paraId="62DE41F4" w14:textId="77777777" w:rsidR="007A5B35" w:rsidRDefault="00000000">
            <w:pPr>
              <w:cnfStyle w:val="000000100000" w:firstRow="0" w:lastRow="0" w:firstColumn="0" w:lastColumn="0" w:oddVBand="0" w:evenVBand="0" w:oddHBand="1" w:evenHBand="0" w:firstRowFirstColumn="0" w:firstRowLastColumn="0" w:lastRowFirstColumn="0" w:lastRowLastColumn="0"/>
            </w:pPr>
            <w:r>
              <w:t>28 (100.0 %)</w:t>
            </w:r>
          </w:p>
        </w:tc>
      </w:tr>
      <w:tr w:rsidR="007A5B35" w14:paraId="478BBD24"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804C315" w14:textId="77777777" w:rsidR="007A5B35" w:rsidRDefault="00000000">
            <w:r>
              <w:t>False negative (label = + and pred = -)</w:t>
            </w:r>
          </w:p>
        </w:tc>
        <w:tc>
          <w:tcPr>
            <w:tcW w:w="1820" w:type="dxa"/>
            <w:vAlign w:val="center"/>
          </w:tcPr>
          <w:p w14:paraId="39BCB474" w14:textId="77777777" w:rsidR="007A5B35" w:rsidRDefault="00000000">
            <w:pPr>
              <w:cnfStyle w:val="000000010000" w:firstRow="0" w:lastRow="0" w:firstColumn="0" w:lastColumn="0" w:oddVBand="0" w:evenVBand="0" w:oddHBand="0" w:evenHBand="1" w:firstRowFirstColumn="0" w:firstRowLastColumn="0" w:lastRowFirstColumn="0" w:lastRowLastColumn="0"/>
            </w:pPr>
            <w:r>
              <w:t>1</w:t>
            </w:r>
          </w:p>
        </w:tc>
        <w:tc>
          <w:tcPr>
            <w:tcW w:w="1820" w:type="dxa"/>
            <w:vAlign w:val="center"/>
          </w:tcPr>
          <w:p w14:paraId="176385FB" w14:textId="77777777" w:rsidR="007A5B35" w:rsidRDefault="00000000">
            <w:pPr>
              <w:cnfStyle w:val="000000010000" w:firstRow="0" w:lastRow="0" w:firstColumn="0" w:lastColumn="0" w:oddVBand="0" w:evenVBand="0" w:oddHBand="0" w:evenHBand="1" w:firstRowFirstColumn="0" w:firstRowLastColumn="0" w:lastRowFirstColumn="0" w:lastRowLastColumn="0"/>
            </w:pPr>
            <w:r>
              <w:t>1 (100.0 %)</w:t>
            </w:r>
          </w:p>
        </w:tc>
        <w:tc>
          <w:tcPr>
            <w:tcW w:w="1820" w:type="dxa"/>
            <w:vAlign w:val="center"/>
          </w:tcPr>
          <w:p w14:paraId="6017BEBB" w14:textId="77777777" w:rsidR="007A5B35" w:rsidRDefault="00000000">
            <w:pPr>
              <w:cnfStyle w:val="000000010000" w:firstRow="0" w:lastRow="0" w:firstColumn="0" w:lastColumn="0" w:oddVBand="0" w:evenVBand="0" w:oddHBand="0" w:evenHBand="1" w:firstRowFirstColumn="0" w:firstRowLastColumn="0" w:lastRowFirstColumn="0" w:lastRowLastColumn="0"/>
            </w:pPr>
            <w:r>
              <w:t>0 (0.0 %)</w:t>
            </w:r>
          </w:p>
        </w:tc>
        <w:tc>
          <w:tcPr>
            <w:tcW w:w="1820" w:type="dxa"/>
            <w:vAlign w:val="center"/>
          </w:tcPr>
          <w:p w14:paraId="09FCEFE4" w14:textId="77777777" w:rsidR="007A5B35" w:rsidRDefault="00000000">
            <w:pPr>
              <w:cnfStyle w:val="000000010000" w:firstRow="0" w:lastRow="0" w:firstColumn="0" w:lastColumn="0" w:oddVBand="0" w:evenVBand="0" w:oddHBand="0" w:evenHBand="1" w:firstRowFirstColumn="0" w:firstRowLastColumn="0" w:lastRowFirstColumn="0" w:lastRowLastColumn="0"/>
            </w:pPr>
            <w:r>
              <w:t>0 (0.0 %)</w:t>
            </w:r>
          </w:p>
        </w:tc>
      </w:tr>
      <w:tr w:rsidR="007A5B35" w14:paraId="684DC9A3"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6E3FA93" w14:textId="77777777" w:rsidR="007A5B35" w:rsidRDefault="00000000">
            <w:r>
              <w:t>True negative (label = - and pred = -)</w:t>
            </w:r>
          </w:p>
        </w:tc>
        <w:tc>
          <w:tcPr>
            <w:tcW w:w="1820" w:type="dxa"/>
            <w:vAlign w:val="center"/>
          </w:tcPr>
          <w:p w14:paraId="0310B3D8" w14:textId="77777777" w:rsidR="007A5B35" w:rsidRDefault="00000000">
            <w:pPr>
              <w:cnfStyle w:val="000000100000" w:firstRow="0" w:lastRow="0" w:firstColumn="0" w:lastColumn="0" w:oddVBand="0" w:evenVBand="0" w:oddHBand="1" w:evenHBand="0" w:firstRowFirstColumn="0" w:firstRowLastColumn="0" w:lastRowFirstColumn="0" w:lastRowLastColumn="0"/>
            </w:pPr>
            <w:r>
              <w:t>107</w:t>
            </w:r>
          </w:p>
        </w:tc>
        <w:tc>
          <w:tcPr>
            <w:tcW w:w="1820" w:type="dxa"/>
            <w:vAlign w:val="center"/>
          </w:tcPr>
          <w:p w14:paraId="32D02229" w14:textId="77777777" w:rsidR="007A5B35" w:rsidRDefault="00000000">
            <w:pPr>
              <w:cnfStyle w:val="000000100000" w:firstRow="0" w:lastRow="0" w:firstColumn="0" w:lastColumn="0" w:oddVBand="0" w:evenVBand="0" w:oddHBand="1" w:evenHBand="0" w:firstRowFirstColumn="0" w:firstRowLastColumn="0" w:lastRowFirstColumn="0" w:lastRowLastColumn="0"/>
            </w:pPr>
            <w:r>
              <w:t>6 (5.6 %)</w:t>
            </w:r>
          </w:p>
        </w:tc>
        <w:tc>
          <w:tcPr>
            <w:tcW w:w="1820" w:type="dxa"/>
            <w:vAlign w:val="center"/>
          </w:tcPr>
          <w:p w14:paraId="75BB5DAE" w14:textId="77777777" w:rsidR="007A5B35" w:rsidRDefault="00000000">
            <w:pPr>
              <w:cnfStyle w:val="000000100000" w:firstRow="0" w:lastRow="0" w:firstColumn="0" w:lastColumn="0" w:oddVBand="0" w:evenVBand="0" w:oddHBand="1" w:evenHBand="0" w:firstRowFirstColumn="0" w:firstRowLastColumn="0" w:lastRowFirstColumn="0" w:lastRowLastColumn="0"/>
            </w:pPr>
            <w:r>
              <w:t>6 (5.6 %)</w:t>
            </w:r>
          </w:p>
        </w:tc>
        <w:tc>
          <w:tcPr>
            <w:tcW w:w="1820" w:type="dxa"/>
            <w:vAlign w:val="center"/>
          </w:tcPr>
          <w:p w14:paraId="3005C470" w14:textId="77777777" w:rsidR="007A5B35" w:rsidRDefault="00000000">
            <w:pPr>
              <w:cnfStyle w:val="000000100000" w:firstRow="0" w:lastRow="0" w:firstColumn="0" w:lastColumn="0" w:oddVBand="0" w:evenVBand="0" w:oddHBand="1" w:evenHBand="0" w:firstRowFirstColumn="0" w:firstRowLastColumn="0" w:lastRowFirstColumn="0" w:lastRowLastColumn="0"/>
            </w:pPr>
            <w:r>
              <w:t>0 (0.0 %)</w:t>
            </w:r>
          </w:p>
        </w:tc>
      </w:tr>
      <w:tr w:rsidR="007A5B35" w14:paraId="6FEC90DC"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B3D60F6" w14:textId="77777777" w:rsidR="007A5B35" w:rsidRDefault="00000000">
            <w:r>
              <w:t>False positive (label = - and pred = +)</w:t>
            </w:r>
          </w:p>
        </w:tc>
        <w:tc>
          <w:tcPr>
            <w:tcW w:w="1820" w:type="dxa"/>
            <w:vAlign w:val="center"/>
          </w:tcPr>
          <w:p w14:paraId="4CBD82AD" w14:textId="77777777" w:rsidR="007A5B35" w:rsidRDefault="00000000">
            <w:pPr>
              <w:cnfStyle w:val="000000010000" w:firstRow="0" w:lastRow="0" w:firstColumn="0" w:lastColumn="0" w:oddVBand="0" w:evenVBand="0" w:oddHBand="0" w:evenHBand="1" w:firstRowFirstColumn="0" w:firstRowLastColumn="0" w:lastRowFirstColumn="0" w:lastRowLastColumn="0"/>
            </w:pPr>
            <w:r>
              <w:t>0</w:t>
            </w:r>
          </w:p>
        </w:tc>
        <w:tc>
          <w:tcPr>
            <w:tcW w:w="1820" w:type="dxa"/>
            <w:vAlign w:val="center"/>
          </w:tcPr>
          <w:p w14:paraId="1D4B015D" w14:textId="77777777" w:rsidR="007A5B35" w:rsidRDefault="00000000">
            <w:pPr>
              <w:cnfStyle w:val="000000010000" w:firstRow="0" w:lastRow="0" w:firstColumn="0" w:lastColumn="0" w:oddVBand="0" w:evenVBand="0" w:oddHBand="0" w:evenHBand="1" w:firstRowFirstColumn="0" w:firstRowLastColumn="0" w:lastRowFirstColumn="0" w:lastRowLastColumn="0"/>
            </w:pPr>
            <w:r>
              <w:t>-</w:t>
            </w:r>
          </w:p>
        </w:tc>
        <w:tc>
          <w:tcPr>
            <w:tcW w:w="1820" w:type="dxa"/>
            <w:vAlign w:val="center"/>
          </w:tcPr>
          <w:p w14:paraId="61801072" w14:textId="77777777" w:rsidR="007A5B35" w:rsidRDefault="00000000">
            <w:pPr>
              <w:cnfStyle w:val="000000010000" w:firstRow="0" w:lastRow="0" w:firstColumn="0" w:lastColumn="0" w:oddVBand="0" w:evenVBand="0" w:oddHBand="0" w:evenHBand="1" w:firstRowFirstColumn="0" w:firstRowLastColumn="0" w:lastRowFirstColumn="0" w:lastRowLastColumn="0"/>
            </w:pPr>
            <w:r>
              <w:t>-</w:t>
            </w:r>
          </w:p>
        </w:tc>
        <w:tc>
          <w:tcPr>
            <w:tcW w:w="1820" w:type="dxa"/>
            <w:vAlign w:val="center"/>
          </w:tcPr>
          <w:p w14:paraId="0903C015" w14:textId="77777777" w:rsidR="007A5B35" w:rsidRDefault="00000000">
            <w:pPr>
              <w:cnfStyle w:val="000000010000" w:firstRow="0" w:lastRow="0" w:firstColumn="0" w:lastColumn="0" w:oddVBand="0" w:evenVBand="0" w:oddHBand="0" w:evenHBand="1" w:firstRowFirstColumn="0" w:firstRowLastColumn="0" w:lastRowFirstColumn="0" w:lastRowLastColumn="0"/>
            </w:pPr>
            <w:r>
              <w:t>-</w:t>
            </w:r>
          </w:p>
        </w:tc>
      </w:tr>
    </w:tbl>
    <w:p w14:paraId="617E40B4" w14:textId="77777777" w:rsidR="007A5B35" w:rsidRDefault="007A5B35"/>
    <w:p w14:paraId="4385321A" w14:textId="77777777" w:rsidR="007A5B35" w:rsidRDefault="00000000">
      <w:r>
        <w:t>Table 6.16 explains the confusion matrix in constraint-violation terms. Every true positive violates the driver-baseline constraint O3 (100 %), and most also violate the bounded-consumption constraint C2 (71.4 %). The single false negative violates C2 (the per-step drop was below the burn-bound threshold) but does not violate O3 - its per-driver KMPL deviation sits inside the one-sigma baseline band, which is the precise reason the model did not flag it. True negatives violate C2 or C4 at single-digit rates (5.6 % each), consistent with the residual sender variance present even on clean trips. There are zero false positives in the controlled-injection window, which is the upper-bound case of the 1.09 % FPR reported in Table 6.10.</w:t>
      </w:r>
    </w:p>
    <w:p w14:paraId="67DFDAD2" w14:textId="77777777" w:rsidR="007A5B35" w:rsidRDefault="00000000">
      <w:r>
        <w:rPr>
          <w:b/>
        </w:rPr>
        <w:t>Table 6.17 - Discovered Anomaly Archetypes (K-Means K = 4 on the controlled-injection window, 136 rows)</w:t>
      </w:r>
    </w:p>
    <w:tbl>
      <w:tblPr>
        <w:tblStyle w:val="LightGrid-Accent1"/>
        <w:tblW w:w="0" w:type="auto"/>
        <w:tblLook w:val="04A0" w:firstRow="1" w:lastRow="0" w:firstColumn="1" w:lastColumn="0" w:noHBand="0" w:noVBand="1"/>
      </w:tblPr>
      <w:tblGrid>
        <w:gridCol w:w="1283"/>
        <w:gridCol w:w="1350"/>
        <w:gridCol w:w="806"/>
        <w:gridCol w:w="1112"/>
        <w:gridCol w:w="1203"/>
        <w:gridCol w:w="977"/>
        <w:gridCol w:w="928"/>
        <w:gridCol w:w="1656"/>
      </w:tblGrid>
      <w:tr w:rsidR="007A5B35" w14:paraId="70EF05B4" w14:textId="77777777" w:rsidTr="007A5B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11DAA028" w14:textId="77777777" w:rsidR="007A5B35" w:rsidRDefault="00000000">
            <w:r>
              <w:t>Archetype</w:t>
            </w:r>
          </w:p>
        </w:tc>
        <w:tc>
          <w:tcPr>
            <w:tcW w:w="1137" w:type="dxa"/>
            <w:vAlign w:val="center"/>
          </w:tcPr>
          <w:p w14:paraId="0B3EC74C" w14:textId="77777777" w:rsidR="007A5B35" w:rsidRDefault="00000000">
            <w:pPr>
              <w:cnfStyle w:val="100000000000" w:firstRow="1" w:lastRow="0" w:firstColumn="0" w:lastColumn="0" w:oddVBand="0" w:evenVBand="0" w:oddHBand="0" w:evenHBand="0" w:firstRowFirstColumn="0" w:firstRowLastColumn="0" w:lastRowFirstColumn="0" w:lastRowLastColumn="0"/>
            </w:pPr>
            <w:r>
              <w:t>Label</w:t>
            </w:r>
          </w:p>
        </w:tc>
        <w:tc>
          <w:tcPr>
            <w:tcW w:w="1137" w:type="dxa"/>
            <w:vAlign w:val="center"/>
          </w:tcPr>
          <w:p w14:paraId="02705AE5" w14:textId="77777777" w:rsidR="007A5B35" w:rsidRDefault="00000000">
            <w:pPr>
              <w:cnfStyle w:val="100000000000" w:firstRow="1" w:lastRow="0" w:firstColumn="0" w:lastColumn="0" w:oddVBand="0" w:evenVBand="0" w:oddHBand="0" w:evenHBand="0" w:firstRowFirstColumn="0" w:firstRowLastColumn="0" w:lastRowFirstColumn="0" w:lastRowLastColumn="0"/>
            </w:pPr>
            <w:r>
              <w:t>Rows</w:t>
            </w:r>
          </w:p>
        </w:tc>
        <w:tc>
          <w:tcPr>
            <w:tcW w:w="1137" w:type="dxa"/>
            <w:vAlign w:val="center"/>
          </w:tcPr>
          <w:p w14:paraId="2B5BC415" w14:textId="77777777" w:rsidR="007A5B35" w:rsidRDefault="00000000">
            <w:pPr>
              <w:cnfStyle w:val="100000000000" w:firstRow="1" w:lastRow="0" w:firstColumn="0" w:lastColumn="0" w:oddVBand="0" w:evenVBand="0" w:oddHBand="0" w:evenHBand="0" w:firstRowFirstColumn="0" w:firstRowLastColumn="0" w:lastRowFirstColumn="0" w:lastRowLastColumn="0"/>
            </w:pPr>
            <w:r>
              <w:t>Labelled positive</w:t>
            </w:r>
          </w:p>
        </w:tc>
        <w:tc>
          <w:tcPr>
            <w:tcW w:w="1137" w:type="dxa"/>
            <w:vAlign w:val="center"/>
          </w:tcPr>
          <w:p w14:paraId="7A7E18A5" w14:textId="77777777" w:rsidR="007A5B35" w:rsidRDefault="00000000">
            <w:pPr>
              <w:cnfStyle w:val="100000000000" w:firstRow="1" w:lastRow="0" w:firstColumn="0" w:lastColumn="0" w:oddVBand="0" w:evenVBand="0" w:oddHBand="0" w:evenHBand="0" w:firstRowFirstColumn="0" w:firstRowLastColumn="0" w:lastRowFirstColumn="0" w:lastRowLastColumn="0"/>
            </w:pPr>
            <w:r>
              <w:t>Predicted positive</w:t>
            </w:r>
          </w:p>
        </w:tc>
        <w:tc>
          <w:tcPr>
            <w:tcW w:w="1137" w:type="dxa"/>
            <w:vAlign w:val="center"/>
          </w:tcPr>
          <w:p w14:paraId="52845991" w14:textId="77777777" w:rsidR="007A5B35" w:rsidRDefault="00000000">
            <w:pPr>
              <w:cnfStyle w:val="100000000000" w:firstRow="1" w:lastRow="0" w:firstColumn="0" w:lastColumn="0" w:oddVBand="0" w:evenVBand="0" w:oddHBand="0" w:evenHBand="0" w:firstRowFirstColumn="0" w:firstRowLastColumn="0" w:lastRowFirstColumn="0" w:lastRowLastColumn="0"/>
            </w:pPr>
            <w:r>
              <w:t>Mean fuel Delta filtered</w:t>
            </w:r>
          </w:p>
        </w:tc>
        <w:tc>
          <w:tcPr>
            <w:tcW w:w="1137" w:type="dxa"/>
            <w:vAlign w:val="center"/>
          </w:tcPr>
          <w:p w14:paraId="3A6CF19C" w14:textId="77777777" w:rsidR="007A5B35" w:rsidRDefault="00000000">
            <w:pPr>
              <w:cnfStyle w:val="100000000000" w:firstRow="1" w:lastRow="0" w:firstColumn="0" w:lastColumn="0" w:oddVBand="0" w:evenVBand="0" w:oddHBand="0" w:evenHBand="0" w:firstRowFirstColumn="0" w:firstRowLastColumn="0" w:lastRowFirstColumn="0" w:lastRowLastColumn="0"/>
            </w:pPr>
            <w:r>
              <w:t>Mean speed (km/h)</w:t>
            </w:r>
          </w:p>
        </w:tc>
        <w:tc>
          <w:tcPr>
            <w:tcW w:w="1137" w:type="dxa"/>
            <w:vAlign w:val="center"/>
          </w:tcPr>
          <w:p w14:paraId="007DB0A9" w14:textId="77777777" w:rsidR="007A5B35" w:rsidRDefault="00000000">
            <w:pPr>
              <w:cnfStyle w:val="100000000000" w:firstRow="1" w:lastRow="0" w:firstColumn="0" w:lastColumn="0" w:oddVBand="0" w:evenVBand="0" w:oddHBand="0" w:evenHBand="0" w:firstRowFirstColumn="0" w:firstRowLastColumn="0" w:lastRowFirstColumn="0" w:lastRowLastColumn="0"/>
            </w:pPr>
            <w:r>
              <w:t>Operational interpretation</w:t>
            </w:r>
          </w:p>
        </w:tc>
      </w:tr>
      <w:tr w:rsidR="007A5B35" w14:paraId="02A4823E"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1CBAC115" w14:textId="77777777" w:rsidR="007A5B35" w:rsidRDefault="00000000">
            <w:r>
              <w:t>0</w:t>
            </w:r>
          </w:p>
        </w:tc>
        <w:tc>
          <w:tcPr>
            <w:tcW w:w="1137" w:type="dxa"/>
            <w:vAlign w:val="center"/>
          </w:tcPr>
          <w:p w14:paraId="438DF6DB" w14:textId="77777777" w:rsidR="007A5B35" w:rsidRDefault="00000000">
            <w:pPr>
              <w:cnfStyle w:val="000000100000" w:firstRow="0" w:lastRow="0" w:firstColumn="0" w:lastColumn="0" w:oddVBand="0" w:evenVBand="0" w:oddHBand="1" w:evenHBand="0" w:firstRowFirstColumn="0" w:firstRowLastColumn="0" w:lastRowFirstColumn="0" w:lastRowLastColumn="0"/>
            </w:pPr>
            <w:r>
              <w:t>High-speed cruise</w:t>
            </w:r>
          </w:p>
        </w:tc>
        <w:tc>
          <w:tcPr>
            <w:tcW w:w="1137" w:type="dxa"/>
            <w:vAlign w:val="center"/>
          </w:tcPr>
          <w:p w14:paraId="3843FA30" w14:textId="77777777" w:rsidR="007A5B35" w:rsidRDefault="00000000">
            <w:pPr>
              <w:cnfStyle w:val="000000100000" w:firstRow="0" w:lastRow="0" w:firstColumn="0" w:lastColumn="0" w:oddVBand="0" w:evenVBand="0" w:oddHBand="1" w:evenHBand="0" w:firstRowFirstColumn="0" w:firstRowLastColumn="0" w:lastRowFirstColumn="0" w:lastRowLastColumn="0"/>
            </w:pPr>
            <w:r>
              <w:t>57</w:t>
            </w:r>
          </w:p>
        </w:tc>
        <w:tc>
          <w:tcPr>
            <w:tcW w:w="1137" w:type="dxa"/>
            <w:vAlign w:val="center"/>
          </w:tcPr>
          <w:p w14:paraId="22E1D9FB" w14:textId="77777777" w:rsidR="007A5B35" w:rsidRDefault="00000000">
            <w:pPr>
              <w:cnfStyle w:val="000000100000" w:firstRow="0" w:lastRow="0" w:firstColumn="0" w:lastColumn="0" w:oddVBand="0" w:evenVBand="0" w:oddHBand="1" w:evenHBand="0" w:firstRowFirstColumn="0" w:firstRowLastColumn="0" w:lastRowFirstColumn="0" w:lastRowLastColumn="0"/>
            </w:pPr>
            <w:r>
              <w:t>14</w:t>
            </w:r>
          </w:p>
        </w:tc>
        <w:tc>
          <w:tcPr>
            <w:tcW w:w="1137" w:type="dxa"/>
            <w:vAlign w:val="center"/>
          </w:tcPr>
          <w:p w14:paraId="4D744428" w14:textId="77777777" w:rsidR="007A5B35" w:rsidRDefault="00000000">
            <w:pPr>
              <w:cnfStyle w:val="000000100000" w:firstRow="0" w:lastRow="0" w:firstColumn="0" w:lastColumn="0" w:oddVBand="0" w:evenVBand="0" w:oddHBand="1" w:evenHBand="0" w:firstRowFirstColumn="0" w:firstRowLastColumn="0" w:lastRowFirstColumn="0" w:lastRowLastColumn="0"/>
            </w:pPr>
            <w:r>
              <w:t>14</w:t>
            </w:r>
          </w:p>
        </w:tc>
        <w:tc>
          <w:tcPr>
            <w:tcW w:w="1137" w:type="dxa"/>
            <w:vAlign w:val="center"/>
          </w:tcPr>
          <w:p w14:paraId="0067816F" w14:textId="77777777" w:rsidR="007A5B35" w:rsidRDefault="00000000">
            <w:pPr>
              <w:cnfStyle w:val="000000100000" w:firstRow="0" w:lastRow="0" w:firstColumn="0" w:lastColumn="0" w:oddVBand="0" w:evenVBand="0" w:oddHBand="1" w:evenHBand="0" w:firstRowFirstColumn="0" w:firstRowLastColumn="0" w:lastRowFirstColumn="0" w:lastRowLastColumn="0"/>
            </w:pPr>
            <w:r>
              <w:t>-0.098 %</w:t>
            </w:r>
          </w:p>
        </w:tc>
        <w:tc>
          <w:tcPr>
            <w:tcW w:w="1137" w:type="dxa"/>
            <w:vAlign w:val="center"/>
          </w:tcPr>
          <w:p w14:paraId="1DDD3D11" w14:textId="77777777" w:rsidR="007A5B35" w:rsidRDefault="00000000">
            <w:pPr>
              <w:cnfStyle w:val="000000100000" w:firstRow="0" w:lastRow="0" w:firstColumn="0" w:lastColumn="0" w:oddVBand="0" w:evenVBand="0" w:oddHBand="1" w:evenHBand="0" w:firstRowFirstColumn="0" w:firstRowLastColumn="0" w:lastRowFirstColumn="0" w:lastRowLastColumn="0"/>
            </w:pPr>
            <w:r>
              <w:t>78.6</w:t>
            </w:r>
          </w:p>
        </w:tc>
        <w:tc>
          <w:tcPr>
            <w:tcW w:w="1137" w:type="dxa"/>
            <w:vAlign w:val="center"/>
          </w:tcPr>
          <w:p w14:paraId="4B7C826E" w14:textId="77777777" w:rsidR="007A5B35" w:rsidRDefault="00000000">
            <w:pPr>
              <w:cnfStyle w:val="000000100000" w:firstRow="0" w:lastRow="0" w:firstColumn="0" w:lastColumn="0" w:oddVBand="0" w:evenVBand="0" w:oddHBand="1" w:evenHBand="0" w:firstRowFirstColumn="0" w:firstRowLastColumn="0" w:lastRowFirstColumn="0" w:lastRowLastColumn="0"/>
            </w:pPr>
            <w:r>
              <w:t xml:space="preserve">Largest archetype. Houses the abnormal-rapid-decrease and the gradual-leak rows recorded under </w:t>
            </w:r>
            <w:r>
              <w:lastRenderedPageBreak/>
              <w:t>highway-speed conditions. 100 % recall on this archetype's positives.</w:t>
            </w:r>
          </w:p>
        </w:tc>
      </w:tr>
      <w:tr w:rsidR="007A5B35" w14:paraId="14F8E173"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7C25348D" w14:textId="77777777" w:rsidR="007A5B35" w:rsidRDefault="00000000">
            <w:r>
              <w:lastRenderedPageBreak/>
              <w:t>3</w:t>
            </w:r>
          </w:p>
        </w:tc>
        <w:tc>
          <w:tcPr>
            <w:tcW w:w="1137" w:type="dxa"/>
            <w:vAlign w:val="center"/>
          </w:tcPr>
          <w:p w14:paraId="3A5DEFA0" w14:textId="77777777" w:rsidR="007A5B35" w:rsidRDefault="00000000">
            <w:pPr>
              <w:cnfStyle w:val="000000010000" w:firstRow="0" w:lastRow="0" w:firstColumn="0" w:lastColumn="0" w:oddVBand="0" w:evenVBand="0" w:oddHBand="0" w:evenHBand="1" w:firstRowFirstColumn="0" w:firstRowLastColumn="0" w:lastRowFirstColumn="0" w:lastRowLastColumn="0"/>
            </w:pPr>
            <w:r>
              <w:t>Mid-speed cruise</w:t>
            </w:r>
          </w:p>
        </w:tc>
        <w:tc>
          <w:tcPr>
            <w:tcW w:w="1137" w:type="dxa"/>
            <w:vAlign w:val="center"/>
          </w:tcPr>
          <w:p w14:paraId="40BE94FB" w14:textId="77777777" w:rsidR="007A5B35" w:rsidRDefault="00000000">
            <w:pPr>
              <w:cnfStyle w:val="000000010000" w:firstRow="0" w:lastRow="0" w:firstColumn="0" w:lastColumn="0" w:oddVBand="0" w:evenVBand="0" w:oddHBand="0" w:evenHBand="1" w:firstRowFirstColumn="0" w:firstRowLastColumn="0" w:lastRowFirstColumn="0" w:lastRowLastColumn="0"/>
            </w:pPr>
            <w:r>
              <w:t>47</w:t>
            </w:r>
          </w:p>
        </w:tc>
        <w:tc>
          <w:tcPr>
            <w:tcW w:w="1137" w:type="dxa"/>
            <w:vAlign w:val="center"/>
          </w:tcPr>
          <w:p w14:paraId="6A664270" w14:textId="77777777" w:rsidR="007A5B35" w:rsidRDefault="00000000">
            <w:pPr>
              <w:cnfStyle w:val="000000010000" w:firstRow="0" w:lastRow="0" w:firstColumn="0" w:lastColumn="0" w:oddVBand="0" w:evenVBand="0" w:oddHBand="0" w:evenHBand="1" w:firstRowFirstColumn="0" w:firstRowLastColumn="0" w:lastRowFirstColumn="0" w:lastRowLastColumn="0"/>
            </w:pPr>
            <w:r>
              <w:t>10</w:t>
            </w:r>
          </w:p>
        </w:tc>
        <w:tc>
          <w:tcPr>
            <w:tcW w:w="1137" w:type="dxa"/>
            <w:vAlign w:val="center"/>
          </w:tcPr>
          <w:p w14:paraId="700FBA0C" w14:textId="77777777" w:rsidR="007A5B35" w:rsidRDefault="00000000">
            <w:pPr>
              <w:cnfStyle w:val="000000010000" w:firstRow="0" w:lastRow="0" w:firstColumn="0" w:lastColumn="0" w:oddVBand="0" w:evenVBand="0" w:oddHBand="0" w:evenHBand="1" w:firstRowFirstColumn="0" w:firstRowLastColumn="0" w:lastRowFirstColumn="0" w:lastRowLastColumn="0"/>
            </w:pPr>
            <w:r>
              <w:t>10</w:t>
            </w:r>
          </w:p>
        </w:tc>
        <w:tc>
          <w:tcPr>
            <w:tcW w:w="1137" w:type="dxa"/>
            <w:vAlign w:val="center"/>
          </w:tcPr>
          <w:p w14:paraId="266145C3" w14:textId="77777777" w:rsidR="007A5B35" w:rsidRDefault="00000000">
            <w:pPr>
              <w:cnfStyle w:val="000000010000" w:firstRow="0" w:lastRow="0" w:firstColumn="0" w:lastColumn="0" w:oddVBand="0" w:evenVBand="0" w:oddHBand="0" w:evenHBand="1" w:firstRowFirstColumn="0" w:firstRowLastColumn="0" w:lastRowFirstColumn="0" w:lastRowLastColumn="0"/>
            </w:pPr>
            <w:r>
              <w:t>-0.077 %</w:t>
            </w:r>
          </w:p>
        </w:tc>
        <w:tc>
          <w:tcPr>
            <w:tcW w:w="1137" w:type="dxa"/>
            <w:vAlign w:val="center"/>
          </w:tcPr>
          <w:p w14:paraId="7CBE16CA" w14:textId="77777777" w:rsidR="007A5B35" w:rsidRDefault="00000000">
            <w:pPr>
              <w:cnfStyle w:val="000000010000" w:firstRow="0" w:lastRow="0" w:firstColumn="0" w:lastColumn="0" w:oddVBand="0" w:evenVBand="0" w:oddHBand="0" w:evenHBand="1" w:firstRowFirstColumn="0" w:firstRowLastColumn="0" w:lastRowFirstColumn="0" w:lastRowLastColumn="0"/>
            </w:pPr>
            <w:r>
              <w:t>73.0</w:t>
            </w:r>
          </w:p>
        </w:tc>
        <w:tc>
          <w:tcPr>
            <w:tcW w:w="1137" w:type="dxa"/>
            <w:vAlign w:val="center"/>
          </w:tcPr>
          <w:p w14:paraId="237D3221" w14:textId="77777777" w:rsidR="007A5B35" w:rsidRDefault="00000000">
            <w:pPr>
              <w:cnfStyle w:val="000000010000" w:firstRow="0" w:lastRow="0" w:firstColumn="0" w:lastColumn="0" w:oddVBand="0" w:evenVBand="0" w:oddHBand="0" w:evenHBand="1" w:firstRowFirstColumn="0" w:firstRowLastColumn="0" w:lastRowFirstColumn="0" w:lastRowLastColumn="0"/>
            </w:pPr>
            <w:r>
              <w:t>Second-largest archetype. Houses the remaining gradual-leak rows recorded under mid-speed urban conditions. 100 % recall on this archetype's positives.</w:t>
            </w:r>
          </w:p>
        </w:tc>
      </w:tr>
      <w:tr w:rsidR="007A5B35" w14:paraId="4736FBE1" w14:textId="77777777" w:rsidTr="007A5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2AEDBADE" w14:textId="77777777" w:rsidR="007A5B35" w:rsidRDefault="00000000">
            <w:r>
              <w:t>1</w:t>
            </w:r>
          </w:p>
        </w:tc>
        <w:tc>
          <w:tcPr>
            <w:tcW w:w="1137" w:type="dxa"/>
            <w:vAlign w:val="center"/>
          </w:tcPr>
          <w:p w14:paraId="7D269210" w14:textId="77777777" w:rsidR="007A5B35" w:rsidRDefault="00000000">
            <w:pPr>
              <w:cnfStyle w:val="000000100000" w:firstRow="0" w:lastRow="0" w:firstColumn="0" w:lastColumn="0" w:oddVBand="0" w:evenVBand="0" w:oddHBand="1" w:evenHBand="0" w:firstRowFirstColumn="0" w:firstRowLastColumn="0" w:lastRowFirstColumn="0" w:lastRowLastColumn="0"/>
            </w:pPr>
            <w:r>
              <w:t>Mid-speed gradual decline</w:t>
            </w:r>
          </w:p>
        </w:tc>
        <w:tc>
          <w:tcPr>
            <w:tcW w:w="1137" w:type="dxa"/>
            <w:vAlign w:val="center"/>
          </w:tcPr>
          <w:p w14:paraId="4BBE7197" w14:textId="77777777" w:rsidR="007A5B35" w:rsidRDefault="00000000">
            <w:pPr>
              <w:cnfStyle w:val="000000100000" w:firstRow="0" w:lastRow="0" w:firstColumn="0" w:lastColumn="0" w:oddVBand="0" w:evenVBand="0" w:oddHBand="1" w:evenHBand="0" w:firstRowFirstColumn="0" w:firstRowLastColumn="0" w:lastRowFirstColumn="0" w:lastRowLastColumn="0"/>
            </w:pPr>
            <w:r>
              <w:t>26</w:t>
            </w:r>
          </w:p>
        </w:tc>
        <w:tc>
          <w:tcPr>
            <w:tcW w:w="1137" w:type="dxa"/>
            <w:vAlign w:val="center"/>
          </w:tcPr>
          <w:p w14:paraId="64187868" w14:textId="77777777" w:rsidR="007A5B35" w:rsidRDefault="00000000">
            <w:pPr>
              <w:cnfStyle w:val="000000100000" w:firstRow="0" w:lastRow="0" w:firstColumn="0" w:lastColumn="0" w:oddVBand="0" w:evenVBand="0" w:oddHBand="1" w:evenHBand="0" w:firstRowFirstColumn="0" w:firstRowLastColumn="0" w:lastRowFirstColumn="0" w:lastRowLastColumn="0"/>
            </w:pPr>
            <w:r>
              <w:t>5</w:t>
            </w:r>
          </w:p>
        </w:tc>
        <w:tc>
          <w:tcPr>
            <w:tcW w:w="1137" w:type="dxa"/>
            <w:vAlign w:val="center"/>
          </w:tcPr>
          <w:p w14:paraId="19D023B9" w14:textId="77777777" w:rsidR="007A5B35" w:rsidRDefault="00000000">
            <w:pPr>
              <w:cnfStyle w:val="000000100000" w:firstRow="0" w:lastRow="0" w:firstColumn="0" w:lastColumn="0" w:oddVBand="0" w:evenVBand="0" w:oddHBand="1" w:evenHBand="0" w:firstRowFirstColumn="0" w:firstRowLastColumn="0" w:lastRowFirstColumn="0" w:lastRowLastColumn="0"/>
            </w:pPr>
            <w:r>
              <w:t>4</w:t>
            </w:r>
          </w:p>
        </w:tc>
        <w:tc>
          <w:tcPr>
            <w:tcW w:w="1137" w:type="dxa"/>
            <w:vAlign w:val="center"/>
          </w:tcPr>
          <w:p w14:paraId="60F71FEF" w14:textId="77777777" w:rsidR="007A5B35" w:rsidRDefault="00000000">
            <w:pPr>
              <w:cnfStyle w:val="000000100000" w:firstRow="0" w:lastRow="0" w:firstColumn="0" w:lastColumn="0" w:oddVBand="0" w:evenVBand="0" w:oddHBand="1" w:evenHBand="0" w:firstRowFirstColumn="0" w:firstRowLastColumn="0" w:lastRowFirstColumn="0" w:lastRowLastColumn="0"/>
            </w:pPr>
            <w:r>
              <w:t>-0.108 %</w:t>
            </w:r>
          </w:p>
        </w:tc>
        <w:tc>
          <w:tcPr>
            <w:tcW w:w="1137" w:type="dxa"/>
            <w:vAlign w:val="center"/>
          </w:tcPr>
          <w:p w14:paraId="039108B7" w14:textId="77777777" w:rsidR="007A5B35" w:rsidRDefault="00000000">
            <w:pPr>
              <w:cnfStyle w:val="000000100000" w:firstRow="0" w:lastRow="0" w:firstColumn="0" w:lastColumn="0" w:oddVBand="0" w:evenVBand="0" w:oddHBand="1" w:evenHBand="0" w:firstRowFirstColumn="0" w:firstRowLastColumn="0" w:lastRowFirstColumn="0" w:lastRowLastColumn="0"/>
            </w:pPr>
            <w:r>
              <w:t>66.5</w:t>
            </w:r>
          </w:p>
        </w:tc>
        <w:tc>
          <w:tcPr>
            <w:tcW w:w="1137" w:type="dxa"/>
            <w:vAlign w:val="center"/>
          </w:tcPr>
          <w:p w14:paraId="6E0815BE" w14:textId="77777777" w:rsidR="007A5B35" w:rsidRDefault="00000000">
            <w:pPr>
              <w:cnfStyle w:val="000000100000" w:firstRow="0" w:lastRow="0" w:firstColumn="0" w:lastColumn="0" w:oddVBand="0" w:evenVBand="0" w:oddHBand="1" w:evenHBand="0" w:firstRowFirstColumn="0" w:firstRowLastColumn="0" w:lastRowFirstColumn="0" w:lastRowLastColumn="0"/>
            </w:pPr>
            <w:r>
              <w:t>The four-of-five recall corresponds to the trailing rows of a long gradual leak where the per-step delta decays below the slosh-suppression baseline. The single missed row is the false negative reported in Table 6.16.</w:t>
            </w:r>
          </w:p>
        </w:tc>
      </w:tr>
      <w:tr w:rsidR="007A5B35" w14:paraId="5795E20D" w14:textId="77777777" w:rsidTr="007A5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2369C945" w14:textId="77777777" w:rsidR="007A5B35" w:rsidRDefault="00000000">
            <w:r>
              <w:t>2</w:t>
            </w:r>
          </w:p>
        </w:tc>
        <w:tc>
          <w:tcPr>
            <w:tcW w:w="1137" w:type="dxa"/>
            <w:vAlign w:val="center"/>
          </w:tcPr>
          <w:p w14:paraId="2C5B3070" w14:textId="77777777" w:rsidR="007A5B35" w:rsidRDefault="00000000">
            <w:pPr>
              <w:cnfStyle w:val="000000010000" w:firstRow="0" w:lastRow="0" w:firstColumn="0" w:lastColumn="0" w:oddVBand="0" w:evenVBand="0" w:oddHBand="0" w:evenHBand="1" w:firstRowFirstColumn="0" w:firstRowLastColumn="0" w:lastRowFirstColumn="0" w:lastRowLastColumn="0"/>
            </w:pPr>
            <w:r>
              <w:t>Raw-slosh artefact (filter-suppressed)</w:t>
            </w:r>
          </w:p>
        </w:tc>
        <w:tc>
          <w:tcPr>
            <w:tcW w:w="1137" w:type="dxa"/>
            <w:vAlign w:val="center"/>
          </w:tcPr>
          <w:p w14:paraId="415E0065" w14:textId="77777777" w:rsidR="007A5B35" w:rsidRDefault="00000000">
            <w:pPr>
              <w:cnfStyle w:val="000000010000" w:firstRow="0" w:lastRow="0" w:firstColumn="0" w:lastColumn="0" w:oddVBand="0" w:evenVBand="0" w:oddHBand="0" w:evenHBand="1" w:firstRowFirstColumn="0" w:firstRowLastColumn="0" w:lastRowFirstColumn="0" w:lastRowLastColumn="0"/>
            </w:pPr>
            <w:r>
              <w:t>6</w:t>
            </w:r>
          </w:p>
        </w:tc>
        <w:tc>
          <w:tcPr>
            <w:tcW w:w="1137" w:type="dxa"/>
            <w:vAlign w:val="center"/>
          </w:tcPr>
          <w:p w14:paraId="4E41F603" w14:textId="77777777" w:rsidR="007A5B35" w:rsidRDefault="00000000">
            <w:pPr>
              <w:cnfStyle w:val="000000010000" w:firstRow="0" w:lastRow="0" w:firstColumn="0" w:lastColumn="0" w:oddVBand="0" w:evenVBand="0" w:oddHBand="0" w:evenHBand="1" w:firstRowFirstColumn="0" w:firstRowLastColumn="0" w:lastRowFirstColumn="0" w:lastRowLastColumn="0"/>
            </w:pPr>
            <w:r>
              <w:t>0</w:t>
            </w:r>
          </w:p>
        </w:tc>
        <w:tc>
          <w:tcPr>
            <w:tcW w:w="1137" w:type="dxa"/>
            <w:vAlign w:val="center"/>
          </w:tcPr>
          <w:p w14:paraId="5387AA54" w14:textId="77777777" w:rsidR="007A5B35" w:rsidRDefault="00000000">
            <w:pPr>
              <w:cnfStyle w:val="000000010000" w:firstRow="0" w:lastRow="0" w:firstColumn="0" w:lastColumn="0" w:oddVBand="0" w:evenVBand="0" w:oddHBand="0" w:evenHBand="1" w:firstRowFirstColumn="0" w:firstRowLastColumn="0" w:lastRowFirstColumn="0" w:lastRowLastColumn="0"/>
            </w:pPr>
            <w:r>
              <w:t>0</w:t>
            </w:r>
          </w:p>
        </w:tc>
        <w:tc>
          <w:tcPr>
            <w:tcW w:w="1137" w:type="dxa"/>
            <w:vAlign w:val="center"/>
          </w:tcPr>
          <w:p w14:paraId="169E3F2C" w14:textId="77777777" w:rsidR="007A5B35" w:rsidRDefault="00000000">
            <w:pPr>
              <w:cnfStyle w:val="000000010000" w:firstRow="0" w:lastRow="0" w:firstColumn="0" w:lastColumn="0" w:oddVBand="0" w:evenVBand="0" w:oddHBand="0" w:evenHBand="1" w:firstRowFirstColumn="0" w:firstRowLastColumn="0" w:lastRowFirstColumn="0" w:lastRowLastColumn="0"/>
            </w:pPr>
            <w:r>
              <w:t>-4.95 %</w:t>
            </w:r>
          </w:p>
        </w:tc>
        <w:tc>
          <w:tcPr>
            <w:tcW w:w="1137" w:type="dxa"/>
            <w:vAlign w:val="center"/>
          </w:tcPr>
          <w:p w14:paraId="4FEA289D" w14:textId="77777777" w:rsidR="007A5B35" w:rsidRDefault="00000000">
            <w:pPr>
              <w:cnfStyle w:val="000000010000" w:firstRow="0" w:lastRow="0" w:firstColumn="0" w:lastColumn="0" w:oddVBand="0" w:evenVBand="0" w:oddHBand="0" w:evenHBand="1" w:firstRowFirstColumn="0" w:firstRowLastColumn="0" w:lastRowFirstColumn="0" w:lastRowLastColumn="0"/>
            </w:pPr>
            <w:r>
              <w:t>77.1</w:t>
            </w:r>
          </w:p>
        </w:tc>
        <w:tc>
          <w:tcPr>
            <w:tcW w:w="1137" w:type="dxa"/>
            <w:vAlign w:val="center"/>
          </w:tcPr>
          <w:p w14:paraId="652500A0" w14:textId="77777777" w:rsidR="007A5B35" w:rsidRDefault="00000000">
            <w:pPr>
              <w:cnfStyle w:val="000000010000" w:firstRow="0" w:lastRow="0" w:firstColumn="0" w:lastColumn="0" w:oddVBand="0" w:evenVBand="0" w:oddHBand="0" w:evenHBand="1" w:firstRowFirstColumn="0" w:firstRowLastColumn="0" w:lastRowFirstColumn="0" w:lastRowLastColumn="0"/>
            </w:pPr>
            <w:r>
              <w:t xml:space="preserve">The six rows in this cluster sit in the sender-non-linear 51-79 % </w:t>
            </w:r>
            <w:r>
              <w:lastRenderedPageBreak/>
              <w:t>band and exhibit large raw drops that the median stage of the filter cascade suppressed before the model saw the value. Both labels and predictions correctly avoid this archetype, confirming that the C3 sender-non-linearity and C4 slosh constraints are absorbed by the filter before reaching the detector.</w:t>
            </w:r>
          </w:p>
        </w:tc>
      </w:tr>
    </w:tbl>
    <w:p w14:paraId="2C0DE417" w14:textId="77777777" w:rsidR="007A5B35" w:rsidRDefault="007A5B35"/>
    <w:p w14:paraId="2BF41841" w14:textId="77777777" w:rsidR="007A5B35" w:rsidRDefault="00000000">
      <w:r>
        <w:t xml:space="preserve">The K-Means archetype discovery is the data-mining counterpart to the supervised metrics: it surfaces the natural operating regimes inside the controlled-injection window without referring to the anomaly labels, and the regimes line up with the physical and operational constraints listed in Section 5.7.0. Three archetypes (0, 3, 1) are moving-vehicle regimes and host every labelled positive and every predicted positive in the window, with per-archetype recall of 100 %, 100 %, and 80 % respectively. The fourth archetype is a non-anomalous raw-slosh artefact regime: it carries the largest absolute mean filtered delta in the window (-4.95 %) but zero labels and zero predictions, which is exactly the desired behaviour - the filter cascade has already absorbed the C3 and C4 constraints before the detector evaluates the row. The archetype assignment is shipped alongside each prediction in </w:t>
      </w:r>
      <w:r>
        <w:rPr>
          <w:rFonts w:ascii="Consolas" w:hAnsi="Consolas"/>
          <w:sz w:val="20"/>
        </w:rPr>
        <w:t>docs/results/so4_ml/constraint_analysis/archetype_assignments.csv</w:t>
      </w:r>
      <w:r>
        <w:t>, so an operator-</w:t>
      </w:r>
      <w:r>
        <w:lastRenderedPageBreak/>
        <w:t>facing dashboard can present each alert with both its constraint-violation signature and its archetype membership rather than only its anomaly score.</w:t>
      </w:r>
    </w:p>
    <w:p w14:paraId="4E533D8B" w14:textId="77777777" w:rsidR="007A5B35" w:rsidRDefault="00000000">
      <w:r>
        <w:t>The combined constraint-violation table (Table 6.15), the confusion-matrix constraint coverage (Table 6.16), and the discovered archetypes (Table 6.17) together convert the headline 92.9 % precision / 1.09 % FPR / 92.9 % recall reported in Table 6.10 from a black-box metric into a constraint-anchored audit trail: every flagged row is mapped to one or more of the physical and operational constraints from Section 5.7.0, every confusion-matrix group is explained in constraint terms, and the natural operating regimes the detector implicitly clusters into are documented alongside the labelled-anomaly distribution.</w:t>
      </w:r>
    </w:p>
    <w:sectPr w:rsidR="007A5B35"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354566">
    <w:abstractNumId w:val="8"/>
  </w:num>
  <w:num w:numId="2" w16cid:durableId="1119303434">
    <w:abstractNumId w:val="6"/>
  </w:num>
  <w:num w:numId="3" w16cid:durableId="1667903689">
    <w:abstractNumId w:val="5"/>
  </w:num>
  <w:num w:numId="4" w16cid:durableId="1450278124">
    <w:abstractNumId w:val="4"/>
  </w:num>
  <w:num w:numId="5" w16cid:durableId="1977418511">
    <w:abstractNumId w:val="7"/>
  </w:num>
  <w:num w:numId="6" w16cid:durableId="1511414026">
    <w:abstractNumId w:val="3"/>
  </w:num>
  <w:num w:numId="7" w16cid:durableId="2100172156">
    <w:abstractNumId w:val="2"/>
  </w:num>
  <w:num w:numId="8" w16cid:durableId="1245185346">
    <w:abstractNumId w:val="1"/>
  </w:num>
  <w:num w:numId="9" w16cid:durableId="144920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B35"/>
    <w:rsid w:val="008D2273"/>
    <w:rsid w:val="00A12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6C749"/>
  <w14:defaultImageDpi w14:val="300"/>
  <w15:docId w15:val="{EF78D0B5-1F4D-4B95-971C-D57F7055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samuelle barja</cp:lastModifiedBy>
  <cp:revision>2</cp:revision>
  <dcterms:created xsi:type="dcterms:W3CDTF">2013-12-23T23:15:00Z</dcterms:created>
  <dcterms:modified xsi:type="dcterms:W3CDTF">2026-06-27T03:42:00Z</dcterms:modified>
  <cp:category/>
</cp:coreProperties>
</file>