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ns2="http://schemas.openxmlformats.org/officeDocument/2006/relationships" xmlns:w="http://schemas.openxmlformats.org/wordprocessingml/2006/main">
  <w:body>
    <w:p w:rsidR="00000000" w:rsidDel="00000000" w:rsidP="00000000" w:rsidRDefault="00000000" w:rsidRPr="00000000" ns1:paraId="00000001">
      <w:pPr>
        <w:ind w:left="1" w:hanging="3"/>
        <w:jc w:val="center"/>
        <w:rPr>
          <w:sz w:val="32"/>
          <w:szCs w:val="32"/>
        </w:rPr>
      </w:pPr>
      <w:r w:rsidDel="00000000" w:rsidR="00000000" w:rsidRPr="00000000">
        <w:rPr>
          <w:b w:val="1"/>
          <w:bCs w:val="1"/>
          <w:sz w:val="32"/>
          <w:szCs w:val="32"/>
          <w:rtl w:val="0"/>
        </w:rPr>
        <w:t xml:space="preserve">List of Limits and Design Constraints</w:t>
      </w:r>
      <w:r w:rsidDel="00000000" w:rsidR="00000000" w:rsidRPr="00000000">
        <w:rPr>
          <w:rtl w:val="0"/>
        </w:rPr>
      </w:r>
    </w:p>
    <w:p>
      <w:pPr>
        <w:ind w:left="0" w:hanging="2"/>
        <w:jc w:val="both"/>
        <w:rPr>
          <w:sz w:val="22"/>
          <w:szCs w:val="22"/>
        </w:rPr>
      </w:pPr>
    </w:p>
    <w:p>
      <w:pPr>
        <w:ind w:left="0" w:hanging="2"/>
        <w:jc w:val="both"/>
        <w:rPr>
          <w:sz w:val="22"/>
          <w:szCs w:val="22"/>
        </w:rPr>
      </w:pPr>
      <w:r>
        <w:rPr>
          <w:i w:val="1"/>
          <w:iCs w:val="1"/>
          <w:sz w:val="22"/>
          <w:szCs w:val="22"/>
          <w:rtl w:val="0"/>
        </w:rPr>
        <w:t>The following limits and design constraints define the measurable boundaries used in the implemented IoT-enabled truck fuel monitoring, GPS tracking, and anomaly-detection prototype. These constraints reflect the economic, environmental, social, political, ethical, health and safety, manufacturability, and sustainability contexts required for the project.</w:t>
      </w:r>
    </w:p>
    <w:p>
      <w:pPr>
        <w:ind w:left="0" w:hanging="2"/>
        <w:jc w:val="both"/>
        <w:rPr>
          <w:sz w:val="22"/>
          <w:szCs w:val="22"/>
        </w:rPr>
      </w:pPr>
    </w:p>
    <w:p>
      <w:pPr>
        <w:numPr>
          <w:ilvl w:val="0"/>
          <w:numId w:val="1"/>
        </w:numPr>
        <w:ind w:left="0" w:hanging="2"/>
        <w:jc w:val="both"/>
        <w:rPr>
          <w:color w:val="ff0000"/>
          <w:sz w:val="22"/>
          <w:szCs w:val="22"/>
        </w:rPr>
      </w:pPr>
      <w:r>
        <w:rPr>
          <w:color w:val="ff0000"/>
          <w:sz w:val="22"/>
          <w:szCs w:val="22"/>
          <w:rtl w:val="0"/>
        </w:rPr>
        <w:t>Non-invasive vehicle integration constraint. The prototype shall acquire fuel and vehicle-context data through the vehicle OBD-II diagnostic connector and shall not require fuel-tank opening, sender-loom alteration, tank-cap modification, or permanent wiring into the partner fleet vehicles. This protects vehicle warranty, insurance coverage, operator approval, and participant safety during field testing. Fuel level shall be read through the Toyota meter Mode 22 PID 21/29 channel where available, with the manufacturer dashboard gauge used as the field reference because direct dipstick validation was not authorized. The measurable target is to keep fuel-level error within +/-5% against the dashboard-gauge reference under controlled validation conditions. Any installation or removal activity shall be performed only by the research team and shall leave the vehicle in its original operating condition.</w:t>
      </w:r>
    </w:p>
    <w:p>
      <w:pPr>
        <w:numPr>
          <w:ilvl w:val="0"/>
          <w:numId w:val="1"/>
        </w:numPr>
        <w:ind w:left="0" w:hanging="2"/>
        <w:jc w:val="both"/>
        <w:rPr>
          <w:color w:val="ff0000"/>
          <w:sz w:val="22"/>
          <w:szCs w:val="22"/>
        </w:rPr>
      </w:pPr>
      <w:r>
        <w:rPr>
          <w:color w:val="ff0000"/>
          <w:sz w:val="22"/>
          <w:szCs w:val="22"/>
          <w:rtl w:val="0"/>
        </w:rPr>
        <w:t>Fuel-signal stability and preprocessing constraint. Raw OBD-II fuel readings are affected by tank slosh, ADC quantization, route slope, vibration, and short-term sender bounce, so the HMI firmware shall not publish raw fuel samples directly to the backend or dashboard. The edge device shall apply the implemented filter cascade composed of median-of-31 filtering, EMA smoothing with alpha = 0.04, dead-band publishing, direction-aware step logic, and post-refuel quiescence. The telemetry stream shall publish the filtered fuel percentage at the five-second telemetry interval while retaining validity and confidence fields for backend interpretation. The measurable constraint is that warm-up samples shall be suppressed and the HMI shall show a loading state until the reading is stable enough for publication. This constraint supports health and safety by preventing false fuel-theft alarms that could distract drivers or trigger unnecessary operational intervention.</w:t>
      </w:r>
    </w:p>
    <w:p>
      <w:pPr>
        <w:numPr>
          <w:ilvl w:val="0"/>
          <w:numId w:val="1"/>
        </w:numPr>
        <w:ind w:left="0" w:hanging="2"/>
        <w:jc w:val="both"/>
        <w:rPr>
          <w:color w:val="ff0000"/>
          <w:sz w:val="22"/>
          <w:szCs w:val="22"/>
        </w:rPr>
      </w:pPr>
      <w:r>
        <w:rPr>
          <w:color w:val="ff0000"/>
          <w:sz w:val="22"/>
          <w:szCs w:val="22"/>
          <w:rtl w:val="0"/>
        </w:rPr>
        <w:t>Communication and radio-use constraint. The system shall use only communication modules and operating bands permitted for local prototype testing and shall avoid unauthorized radio-frequency operation. The implemented communication chain is LoRa, LTE, GSM 2G, WiFi, and SPIFFS offline replay, with LoRa configured at 433 MHz, SF7, 125 kHz bandwidth, and 17 dBm transmit power for the prototype tests. Real-time telemetry shall fall through to the next available channel when the current channel fails, and records that cannot be transmitted shall be buffered rather than discarded. The measurable requirement is that every buffered record shall retain its sequence or event identifier and be tagged as offline_replay when resent so the backend can distinguish live telemetry from delayed telemetry. This constraint addresses political and regulatory risk by keeping spectrum use explicit and addresses operational reliability by documenting the actual channel used for every telemetry row.</w:t>
      </w:r>
    </w:p>
    <w:p>
      <w:pPr>
        <w:numPr>
          <w:ilvl w:val="0"/>
          <w:numId w:val="1"/>
        </w:numPr>
        <w:ind w:left="0" w:hanging="2"/>
        <w:jc w:val="both"/>
        <w:rPr>
          <w:color w:val="ff0000"/>
          <w:sz w:val="22"/>
          <w:szCs w:val="22"/>
        </w:rPr>
      </w:pPr>
      <w:r>
        <w:rPr>
          <w:color w:val="ff0000"/>
          <w:sz w:val="22"/>
          <w:szCs w:val="22"/>
          <w:rtl w:val="0"/>
        </w:rPr>
        <w:t>Data privacy and research-ethics constraint. GPS traces, driver identifiers, trip sessions, alert records, and fuel behavior data shall be treated as sensitive operational data. The system shall store only research-necessary data in the Supabase backend and shall restrict access to authorized research members and the partner fleet administrator. Participant information shall be anonymized in reports, publications, presentations, and exported datasets by using codes instead of personal names. The measurable requirement is that the thesis output shall present only summarized or anonymized results and shall retain digital and physical records according to the declared five-year retention period. This constraint follows the ethical requirement that participants understand how data are collected, used, stored, and removed if withdrawal is requested.</w:t>
      </w:r>
    </w:p>
    <w:p>
      <w:pPr>
        <w:numPr>
          <w:ilvl w:val="0"/>
          <w:numId w:val="1"/>
        </w:numPr>
        <w:ind w:left="0" w:hanging="2"/>
        <w:jc w:val="both"/>
        <w:rPr>
          <w:color w:val="ff0000"/>
          <w:sz w:val="22"/>
          <w:szCs w:val="22"/>
        </w:rPr>
      </w:pPr>
      <w:r>
        <w:rPr>
          <w:color w:val="ff0000"/>
          <w:sz w:val="22"/>
          <w:szCs w:val="22"/>
          <w:rtl w:val="0"/>
        </w:rPr>
        <w:t>Driver health and safety constraint. The embedded HMI shall inform the driver of rest, maintenance, overspeed, and anomaly-related alerts without taking control of the vehicle or obstructing normal driving tasks. The device shall be mounted and operated so that it does not interfere with steering, visibility, pedals, dashboard controls, or vehicle electrical safety. Rest alerts shall be based on cumulative distance and driving duration, with the implemented rule using 300 km and a four-hour drive-time threshold for the prototype. The measurable requirement is that driver-facing alerts shall be delivered through the HMI display and buzzer while acknowledgments such as take-rest or snooze actions are recorded in the backend alert workflow. This constraint addresses health and safety by encouraging rest behavior while preventing the prototype from becoming a control or distraction hazard.</w:t>
      </w:r>
    </w:p>
    <w:p>
      <w:pPr>
        <w:numPr>
          <w:ilvl w:val="0"/>
          <w:numId w:val="1"/>
        </w:numPr>
        <w:ind w:left="0" w:hanging="2"/>
        <w:jc w:val="both"/>
        <w:rPr>
          <w:color w:val="ff0000"/>
          <w:sz w:val="22"/>
          <w:szCs w:val="22"/>
        </w:rPr>
      </w:pPr>
      <w:r>
        <w:rPr>
          <w:color w:val="ff0000"/>
          <w:sz w:val="22"/>
          <w:szCs w:val="22"/>
          <w:rtl w:val="0"/>
        </w:rPr>
        <w:t>Economic and manufacturability constraint. The design shall use commercially available, low-cost, replaceable modules such as ESP32, A7670E cellular modem, SX1278 LoRa module, GPS module, OBD-II connector, TFT display, buttons, and buzzer. The prototype bill of materials shall remain within the estimated project budget documented in the thesis, and any component substitution shall preserve the same functional role and electrical compatibility. The measurable requirement is that the prototype must remain buildable using locally obtainable parts and standard development tools without custom automotive-grade manufacturing. This constraint supports possible replication by the partner company and future student researchers. It also reduces downtime because failed modules can be replaced individually instead of rebuilding the entire system.</w:t>
      </w:r>
    </w:p>
    <w:p>
      <w:pPr>
        <w:numPr>
          <w:ilvl w:val="0"/>
          <w:numId w:val="1"/>
        </w:numPr>
        <w:ind w:left="0" w:hanging="2"/>
        <w:jc w:val="both"/>
        <w:rPr>
          <w:color w:val="ff0000"/>
          <w:sz w:val="22"/>
          <w:szCs w:val="22"/>
        </w:rPr>
      </w:pPr>
      <w:r>
        <w:rPr>
          <w:color w:val="ff0000"/>
          <w:sz w:val="22"/>
          <w:szCs w:val="22"/>
          <w:rtl w:val="0"/>
        </w:rPr>
        <w:t>Environmental and sustainability constraint. The system shall support reduced fuel waste by detecting abnormal fuel-consumption behavior, improving visibility of route and trip fuel use, and prompting maintenance actions at declared thresholds. The prototype shall avoid unnecessary vehicle modification and shall use reusable electronic modules so that development waste is minimized after testing. The measurable sustainability target is that telemetry shall support reporting of fuel level, distance, trip duration, alerts, and anomaly flags so that fuel waste and maintenance needs can be reviewed from recorded data. The communication design shall also include offline buffering to avoid repeated manual tests caused only by connectivity loss. This constraint links environmental responsibility to practical fleet monitoring outcomes rather than to a purely theoretical emissions claim.</w:t>
      </w:r>
    </w:p>
    <w:p>
      <w:pPr>
        <w:numPr>
          <w:ilvl w:val="0"/>
          <w:numId w:val="1"/>
        </w:numPr>
        <w:ind w:left="0" w:hanging="2"/>
        <w:jc w:val="both"/>
        <w:rPr>
          <w:color w:val="ff0000"/>
          <w:sz w:val="22"/>
          <w:szCs w:val="22"/>
        </w:rPr>
      </w:pPr>
      <w:r>
        <w:rPr>
          <w:color w:val="ff0000"/>
          <w:sz w:val="22"/>
          <w:szCs w:val="22"/>
          <w:rtl w:val="0"/>
        </w:rPr>
        <w:t>Machine-learning and evaluation constraint. The anomaly detector shall be evaluated as an unsupervised, non-parametric system and shall not rely on labelled production theft events that are unavailable or ethically difficult to collect. The evaluation corpus shall therefore combine project-native clean telemetry, controlled-injection anomaly scenarios, and leave-one-trip-out validation to reduce leakage between training and testing trips. The measurable SO4 target is at least 90% precision, at least 85% recall, and not more than 10% false positive rate under the stated evaluation protocol. Matrix Profile shall support subsequence-level anomaly detection, while Isolation Forest Model C shall serve as the production row-level detector. This constraint protects scientific validity by defining exactly how model claims are measured and prevents overclaiming beyond the available dataset.</w:t>
      </w:r>
    </w:p>
    <w:p>
      <w:pPr>
        <w:numPr>
          <w:ilvl w:val="0"/>
          <w:numId w:val="1"/>
        </w:numPr>
        <w:ind w:left="0" w:hanging="2"/>
        <w:jc w:val="both"/>
        <w:rPr>
          <w:color w:val="ff0000"/>
          <w:sz w:val="22"/>
          <w:szCs w:val="22"/>
        </w:rPr>
      </w:pPr>
      <w:r>
        <w:rPr>
          <w:color w:val="ff0000"/>
          <w:sz w:val="22"/>
          <w:szCs w:val="22"/>
          <w:rtl w:val="0"/>
        </w:rPr>
        <w:t>Backend reliability and security constraint. The cloud backend shall serve as the single source of truth for trip state, telemetry logs, alerts, latency logs, and synchronized client surfaces. Active trip conflicts shall be prevented through backend and database constraints so that one truck or driver cannot accidentally maintain multiple active trips across the HMI, mobile driver application, and administrative dashboard. The measurable requirement is that telemetry records include sent_at, received timing, channel_used, trip_id, and event or sequence identifiers for traceability. Access to backend data shall be protected through authenticated application workflows and database permissions appropriate to each user role. This constraint supports social trust and operational accountability because fleet staff, drivers, and researchers see consistent trip and alert states across interfaces.</w:t>
      </w:r>
    </w:p>
    <w:p>
      <w:pPr>
        <w:ind w:left="0" w:hanging="2"/>
        <w:jc w:val="both"/>
        <w:rPr>
          <w:sz w:val="22"/>
          <w:szCs w:val="22"/>
        </w:rPr>
      </w:pPr>
    </w:p>
    <w:p w:rsidR="00000000" w:rsidDel="00000000" w:rsidP="00000000" w:rsidRDefault="00000000" w:rsidRPr="00000000" ns1:paraId="0000001B">
      <w:pPr>
        <w:ind w:left="0" w:hanging="2"/>
        <w:jc w:val="both"/>
        <w:rPr>
          <w:sz w:val="22"/>
          <w:szCs w:val="22"/>
        </w:rPr>
      </w:pPr>
      <w:r w:rsidDel="00000000" w:rsidR="00000000" w:rsidRPr="00000000">
        <w:rPr>
          <w:sz w:val="22"/>
          <w:szCs w:val="22"/>
          <w:rtl w:val="0"/>
        </w:rPr>
        <w:t xml:space="preserve">Noted by:</w:t>
      </w:r>
    </w:p>
    <w:p w:rsidR="00000000" w:rsidDel="00000000" w:rsidP="00000000" w:rsidRDefault="00000000" w:rsidRPr="00000000" ns1:paraId="0000001C">
      <w:pPr>
        <w:ind w:left="0" w:hanging="2"/>
        <w:jc w:val="both"/>
        <w:rPr>
          <w:sz w:val="22"/>
          <w:szCs w:val="22"/>
        </w:rPr>
      </w:pPr>
      <w:r w:rsidDel="00000000" w:rsidR="00000000" w:rsidRPr="00000000">
        <w:rPr>
          <w:rtl w:val="0"/>
        </w:rPr>
      </w:r>
    </w:p>
    <w:p w:rsidR="00000000" w:rsidDel="00000000" w:rsidP="00000000" w:rsidRDefault="00000000" w:rsidRPr="00000000" ns1:paraId="0000001D">
      <w:pPr>
        <w:ind w:left="0" w:hanging="2"/>
        <w:rPr>
          <w:sz w:val="22"/>
          <w:szCs w:val="22"/>
        </w:rPr>
      </w:pPr>
      <w:r w:rsidDel="00000000" w:rsidR="00000000" w:rsidRPr="00000000">
        <w:rPr>
          <w:sz w:val="22"/>
          <w:szCs w:val="22"/>
          <w:rtl w:val="0"/>
        </w:rPr>
        <w:t xml:space="preserve">______________________________</w:t>
      </w:r>
    </w:p>
    <w:p w:rsidR="00000000" w:rsidDel="00000000" w:rsidP="00000000" w:rsidRDefault="00000000" w:rsidRPr="00000000" ns1:paraId="0000001E">
      <w:pPr>
        <w:pBdr>
          <w:top w:color="auto" w:space="0" w:sz="0" w:val="none"/>
          <w:left w:color="auto" w:space="0" w:sz="0" w:val="none"/>
          <w:bottom w:color="auto" w:space="0" w:sz="0" w:val="none"/>
          <w:right w:color="auto" w:space="0" w:sz="0" w:val="none"/>
          <w:between w:color="auto" w:space="0" w:sz="0" w:val="none"/>
        </w:pBdr>
        <w:spacing w:line="288" w:lineRule="auto"/>
        <w:ind w:left="0" w:firstLine="0"/>
        <w:rPr>
          <w:b w:val="1"/>
          <w:bCs w:val="1"/>
          <w:sz w:val="22"/>
          <w:szCs w:val="22"/>
        </w:rPr>
      </w:pPr>
      <w:r w:rsidDel="00000000" w:rsidR="00000000" w:rsidRPr="00000000">
        <w:rPr>
          <w:b w:val="1"/>
          <w:bCs w:val="1"/>
          <w:rtl w:val="0"/>
        </w:rPr>
        <w:t xml:space="preserve">Dr. John Anthony Jose</w:t>
      </w:r>
      <w:r w:rsidDel="00000000" w:rsidR="00000000" w:rsidRPr="00000000">
        <w:rPr>
          <w:rtl w:val="0"/>
        </w:rPr>
      </w:r>
    </w:p>
    <w:p w:rsidR="00000000" w:rsidDel="00000000" w:rsidP="00000000" w:rsidRDefault="00000000" w:rsidRPr="00000000" ns1:paraId="0000001F">
      <w:pPr>
        <w:ind w:left="0" w:hanging="2"/>
        <w:rPr>
          <w:sz w:val="22"/>
          <w:szCs w:val="22"/>
        </w:rPr>
      </w:pPr>
      <w:r w:rsidDel="00000000" w:rsidR="00000000" w:rsidRPr="00000000">
        <w:rPr>
          <w:i w:val="1"/>
          <w:iCs w:val="1"/>
          <w:sz w:val="22"/>
          <w:szCs w:val="22"/>
          <w:rtl w:val="0"/>
        </w:rPr>
        <w:t xml:space="preserve">Thesis Adviser</w:t>
      </w:r>
      <w:r w:rsidDel="00000000" w:rsidR="00000000" w:rsidRPr="00000000">
        <w:rPr>
          <w:rtl w:val="0"/>
        </w:rPr>
      </w:r>
    </w:p>
    <w:p w:rsidR="00000000" w:rsidDel="00000000" w:rsidP="00000000" w:rsidRDefault="00000000" w:rsidRPr="00000000" ns1:paraId="00000020">
      <w:pPr>
        <w:ind w:left="0" w:hanging="2"/>
        <w:jc w:val="both"/>
        <w:rPr>
          <w:sz w:val="22"/>
          <w:szCs w:val="22"/>
        </w:rPr>
      </w:pPr>
      <w:r w:rsidDel="00000000" w:rsidR="00000000" w:rsidRPr="00000000">
        <w:rPr>
          <w:rtl w:val="0"/>
        </w:rPr>
      </w:r>
    </w:p>
    <w:p w:rsidR="00000000" w:rsidDel="00000000" w:rsidP="00000000" w:rsidRDefault="00000000" w:rsidRPr="00000000" ns1:paraId="00000021">
      <w:pPr>
        <w:ind w:left="0" w:hanging="2"/>
        <w:jc w:val="both"/>
        <w:rPr>
          <w:sz w:val="22"/>
          <w:szCs w:val="22"/>
        </w:rPr>
      </w:pPr>
      <w:r w:rsidDel="00000000" w:rsidR="00000000" w:rsidRPr="00000000">
        <w:rPr>
          <w:sz w:val="22"/>
          <w:szCs w:val="22"/>
          <w:rtl w:val="0"/>
        </w:rPr>
        <w:t xml:space="preserve">Date: &lt;Date Submitted&gt;</w:t>
      </w:r>
    </w:p>
    <w:p w:rsidR="00000000" w:rsidDel="00000000" w:rsidP="00000000" w:rsidRDefault="00000000" w:rsidRPr="00000000" ns1:paraId="00000022">
      <w:pPr>
        <w:ind w:left="0" w:hanging="2"/>
        <w:rPr>
          <w:sz w:val="22"/>
          <w:szCs w:val="22"/>
        </w:rPr>
      </w:pPr>
      <w:r w:rsidDel="00000000" w:rsidR="00000000" w:rsidRPr="00000000">
        <w:rPr>
          <w:rtl w:val="0"/>
        </w:rPr>
      </w:r>
    </w:p>
    <w:sectPr>
      <w:headerReference ns2:id="rId7" w:type="default"/>
      <w:pgSz w:h="15840" w:w="12240" w:orient="portrait"/>
      <w:pgMar w:bottom="993"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Braggadocio"/>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Arial Black">
    <w:embedRegular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center" w:leader="none" w:pos="4320"/>
        <w:tab w:val="right" w:leader="none" w:pos="8640"/>
      </w:tabs>
      <w:spacing w:line="240" w:lineRule="auto"/>
      <w:ind w:left="2" w:hanging="4"/>
      <w:jc w:val="right"/>
      <w:rPr>
        <w:color w:val="c0c0c0"/>
        <w:sz w:val="36"/>
        <w:szCs w:val="36"/>
      </w:rPr>
    </w:pPr>
    <w:r w:rsidDel="00000000" w:rsidR="00000000" w:rsidRPr="00000000">
      <w:rPr>
        <w:b w:val="1"/>
        <w:bCs w:val="1"/>
        <w:color w:val="c0c0c0"/>
        <w:sz w:val="36"/>
        <w:szCs w:val="36"/>
        <w:rtl w:val="0"/>
      </w:rPr>
      <w:t xml:space="preserve">List of Limits and Design Constraints – Appendix DD</w:t>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center" w:leader="none" w:pos="4320"/>
        <w:tab w:val="right" w:leader="none" w:pos="8640"/>
      </w:tabs>
      <w:spacing w:line="240" w:lineRule="auto"/>
      <w:ind w:left="0" w:hanging="2"/>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ind w:hanging="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rFonts w:ascii="Arial" w:cs="Arial" w:eastAsia="Arial" w:hAnsi="Arial"/>
      <w:b w:val="1"/>
      <w:bCs w:val="1"/>
    </w:rPr>
  </w:style>
  <w:style w:type="paragraph" w:styleId="Heading2">
    <w:name w:val="heading 2"/>
    <w:basedOn w:val="Normal"/>
    <w:next w:val="Normal"/>
    <w:pPr>
      <w:keepNext w:val="1"/>
    </w:pPr>
    <w:rPr>
      <w:b w:val="1"/>
      <w:bCs w:val="1"/>
      <w:sz w:val="20"/>
      <w:szCs w:val="20"/>
    </w:rPr>
  </w:style>
  <w:style w:type="paragraph" w:styleId="Heading3">
    <w:name w:val="heading 3"/>
    <w:basedOn w:val="Normal"/>
    <w:next w:val="Normal"/>
    <w:pPr>
      <w:keepNext w:val="1"/>
    </w:pPr>
    <w:rPr>
      <w:rFonts w:ascii="Braggadocio" w:cs="Braggadocio" w:eastAsia="Braggadocio" w:hAnsi="Braggadocio"/>
      <w:sz w:val="28"/>
      <w:szCs w:val="28"/>
    </w:rPr>
  </w:style>
  <w:style w:type="paragraph" w:styleId="Heading4">
    <w:name w:val="heading 4"/>
    <w:basedOn w:val="Normal"/>
    <w:next w:val="Normal"/>
    <w:pPr>
      <w:keepNext w:val="1"/>
      <w:ind w:left="3600" w:hanging="1440"/>
      <w:jc w:val="both"/>
    </w:pPr>
    <w:rPr>
      <w:rFonts w:ascii="Book Antiqua" w:cs="Book Antiqua" w:eastAsia="Book Antiqua" w:hAnsi="Book Antiqua"/>
      <w:b w:val="1"/>
      <w:bCs w:val="1"/>
    </w:rPr>
  </w:style>
  <w:style w:type="paragraph" w:styleId="Heading5">
    <w:name w:val="heading 5"/>
    <w:basedOn w:val="Normal"/>
    <w:next w:val="Normal"/>
    <w:pPr>
      <w:keepNext w:val="1"/>
    </w:pPr>
    <w:rPr>
      <w:rFonts w:ascii="Arial" w:cs="Arial" w:eastAsia="Arial" w:hAnsi="Arial"/>
      <w:b w:val="1"/>
      <w:bCs w:val="1"/>
      <w:i w:val="1"/>
      <w:iCs w:val="1"/>
    </w:rPr>
  </w:style>
  <w:style w:type="paragraph" w:styleId="Heading6">
    <w:name w:val="heading 6"/>
    <w:basedOn w:val="Normal"/>
    <w:next w:val="Normal"/>
    <w:pPr>
      <w:keepNext w:val="1"/>
    </w:pPr>
    <w:rPr>
      <w:rFonts w:ascii="Arial Black" w:cs="Arial Black" w:eastAsia="Arial Black" w:hAnsi="Arial Black"/>
      <w:b w:val="1"/>
      <w:bCs w:val="1"/>
      <w:i w:val="1"/>
      <w:iCs w:val="1"/>
      <w:sz w:val="28"/>
      <w:szCs w:val="28"/>
    </w:rPr>
  </w:style>
  <w:style w:type="paragraph" w:styleId="Title">
    <w:name w:val="Title"/>
    <w:basedOn w:val="Normal"/>
    <w:next w:val="Normal"/>
    <w:pPr>
      <w:jc w:val="center"/>
    </w:pPr>
    <w:rPr>
      <w:rFonts w:ascii="Arial" w:cs="Arial" w:eastAsia="Arial" w:hAnsi="Arial"/>
      <w:b w:val="1"/>
      <w:bCs w:val="1"/>
      <w:sz w:val="28"/>
      <w:szCs w:val="28"/>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YupV8GYzePh2H+LLksJ4Acwq8Q==">CgMxLjA4AHIhMW13RElBdjh2UmhkSUNzckJBdzZDc1ZGQ3d3dVNCbWFs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