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ns2:paraId="00000001" ns2:textId="7FFBFC6A" w:rsidR="00834F23" w:rsidRDefault="00000000">
      <w:pPr>
        <w:ind w:left="1" w:hanging="3"/>
        <w:jc w:val="center"/>
        <w:rPr>
          <w:sz w:val="32"/>
          <w:szCs w:val="32"/>
        </w:rPr>
      </w:pPr>
      <w:r>
        <w:rPr>
          <w:b/>
          <w:sz w:val="32"/>
          <w:szCs w:val="32"/>
        </w:rPr>
        <w:t xml:space="preserve">List of </w:t>
      </w:r>
      <w:r w:rsidR="00256FF5">
        <w:rPr>
          <w:b/>
          <w:sz w:val="32"/>
          <w:szCs w:val="32"/>
        </w:rPr>
        <w:t>Engineering Standards</w:t>
      </w:r>
    </w:p>
    <w:p>
      <w:pPr>
        <w:ind w:left="0" w:hanging="2"/>
        <w:jc w:val="both"/>
        <w:rPr>
          <w:i/>
          <w:sz w:val="22"/>
          <w:szCs w:val="22"/>
        </w:rPr>
      </w:pPr>
    </w:p>
    <w:p>
      <w:pPr>
        <w:ind w:left="0" w:hanging="2"/>
        <w:jc w:val="both"/>
        <w:rPr>
          <w:i/>
          <w:sz w:val="22"/>
          <w:szCs w:val="22"/>
        </w:rPr>
      </w:pPr>
      <w:r>
        <w:rPr>
          <w:i/>
          <w:sz w:val="22"/>
          <w:szCs w:val="22"/>
        </w:rPr>
        <w:t>This appendix lists the engineering standards, legal references, and technical specifications related to the implemented IoT-enabled fuel monitoring, GPS tracking, and anomaly-detection prototype. The detailed discussion of how these standards influenced the design is provided in Chapter 4, Design Considerations, Section 4.1, Engineering Standards.</w:t>
      </w:r>
    </w:p>
    <w:p>
      <w:pPr>
        <w:ind w:left="0" w:hanging="2"/>
        <w:jc w:val="both"/>
        <w:rPr>
          <w:i/>
          <w:sz w:val="22"/>
          <w:szCs w:val="22"/>
        </w:rPr>
      </w:pPr>
    </w:p>
    <w:p>
      <w:pPr>
        <w:numPr>
          <w:ilvl w:val="0"/>
          <w:numId w:val="1"/>
        </w:numPr>
        <w:ind w:left="0" w:hanging="2"/>
        <w:jc w:val="both"/>
        <w:rPr>
          <w:i/>
          <w:sz w:val="22"/>
          <w:szCs w:val="22"/>
        </w:rPr>
      </w:pPr>
      <w:r>
        <w:rPr>
          <w:i/>
          <w:sz w:val="22"/>
          <w:szCs w:val="22"/>
        </w:rPr>
        <w:t>ISO 11898-1 and ISO 11898-2, Road vehicles - Controller Area Network (CAN). These standards define the CAN data-link and physical-layer basis used by the vehicle diagnostic interface. They are relevant because the prototype reads vehicle context and fuel-related data through the OBD-II connector transported over CAN. The design constraint is that the device must remain a passive diagnostic reader and must not interfere with vehicle control messages.</w:t>
      </w:r>
    </w:p>
    <w:p>
      <w:pPr>
        <w:numPr>
          <w:ilvl w:val="0"/>
          <w:numId w:val="1"/>
        </w:numPr>
        <w:ind w:left="0" w:hanging="2"/>
        <w:jc w:val="both"/>
        <w:rPr>
          <w:i/>
          <w:sz w:val="22"/>
          <w:szCs w:val="22"/>
        </w:rPr>
      </w:pPr>
      <w:r>
        <w:rPr>
          <w:i/>
          <w:sz w:val="22"/>
          <w:szCs w:val="22"/>
        </w:rPr>
        <w:t>ISO 15765-4, Road vehicles - Diagnostics on Controller Area Networks. This standard defines CAN-based OBD diagnostic communication for emissions-related vehicle diagnostics. It is relevant to the thesis because the system uses the OBD-II diagnostic path to acquire vehicle data non-invasively. The implementation uses this diagnostic access model while recognizing that Toyota Mode 22 PID 21/29 is manufacturer-specific rather than a universal generic PID.</w:t>
      </w:r>
    </w:p>
    <w:p>
      <w:pPr>
        <w:numPr>
          <w:ilvl w:val="0"/>
          <w:numId w:val="1"/>
        </w:numPr>
        <w:ind w:left="0" w:hanging="2"/>
        <w:jc w:val="both"/>
        <w:rPr>
          <w:i/>
          <w:sz w:val="22"/>
          <w:szCs w:val="22"/>
        </w:rPr>
      </w:pPr>
      <w:r>
        <w:rPr>
          <w:i/>
          <w:sz w:val="22"/>
          <w:szCs w:val="22"/>
        </w:rPr>
        <w:t>SAE J1979, E/E Diagnostic Test Modes. SAE J1979 defines standard OBD service modes and parameter identifiers used for vehicle diagnostic data such as speed, engine RPM, engine load, throttle position, mass air flow, coolant temperature, runtime, and diagnostic trouble code information. The prototype uses standard Mode 01 signals for vehicle operating context where available. This standard supports repeatable interpretation of generic OBD-II parameters used by the anomaly-detection feature set.</w:t>
      </w:r>
    </w:p>
    <w:p>
      <w:pPr>
        <w:numPr>
          <w:ilvl w:val="0"/>
          <w:numId w:val="1"/>
        </w:numPr>
        <w:ind w:left="0" w:hanging="2"/>
        <w:jc w:val="both"/>
        <w:rPr>
          <w:i/>
          <w:sz w:val="22"/>
          <w:szCs w:val="22"/>
        </w:rPr>
      </w:pPr>
      <w:r>
        <w:rPr>
          <w:i/>
          <w:sz w:val="22"/>
          <w:szCs w:val="22"/>
        </w:rPr>
        <w:t>SAE J1962, Diagnostic Connector. SAE J1962 specifies the physical OBD-II connector used in light-duty vehicles. It is relevant because the prototype connects through the vehicle diagnostic port and must not require permanent alteration of the truck wiring or fuel tank. The connector standard supports the non-invasive installation requirement of the thesis.</w:t>
      </w:r>
    </w:p>
    <w:p>
      <w:pPr>
        <w:numPr>
          <w:ilvl w:val="0"/>
          <w:numId w:val="1"/>
        </w:numPr>
        <w:ind w:left="0" w:hanging="2"/>
        <w:jc w:val="both"/>
        <w:rPr>
          <w:i/>
          <w:sz w:val="22"/>
          <w:szCs w:val="22"/>
        </w:rPr>
      </w:pPr>
      <w:r>
        <w:rPr>
          <w:i/>
          <w:sz w:val="22"/>
          <w:szCs w:val="22"/>
        </w:rPr>
        <w:t>IEEE 802.11 b/g/n, Wireless LAN. This standard applies to the ESP32 WiFi interface used as a depot or hotspot fallback path. It is relevant because WiFi is part of the prioritized communication chain after LoRa, LTE, and GSM 2G. The implementation treats WiFi as a supplemental path rather than the only telemetry channel because field trucks may operate outside local access-point range.</w:t>
      </w:r>
    </w:p>
    <w:p>
      <w:pPr>
        <w:numPr>
          <w:ilvl w:val="0"/>
          <w:numId w:val="1"/>
        </w:numPr>
        <w:ind w:left="0" w:hanging="2"/>
        <w:jc w:val="both"/>
        <w:rPr>
          <w:i/>
          <w:sz w:val="22"/>
          <w:szCs w:val="22"/>
        </w:rPr>
      </w:pPr>
      <w:r>
        <w:rPr>
          <w:i/>
          <w:sz w:val="22"/>
          <w:szCs w:val="22"/>
        </w:rPr>
        <w:t>3GPP LTE and GSM/GPRS/EDGE cellular standards. These standards are relevant to the A7670E cellular modem used for LTE and GSM 2G connectivity in the prototype. LTE provides higher-throughput wide-area telemetry where available, while GSM 2G remains a fallback for areas with limited LTE coverage. The system records channel use and latency so that communication performance can be evaluated under actual operating conditions.</w:t>
      </w:r>
    </w:p>
    <w:p>
      <w:pPr>
        <w:numPr>
          <w:ilvl w:val="0"/>
          <w:numId w:val="1"/>
        </w:numPr>
        <w:ind w:left="0" w:hanging="2"/>
        <w:jc w:val="both"/>
        <w:rPr>
          <w:i/>
          <w:sz w:val="22"/>
          <w:szCs w:val="22"/>
        </w:rPr>
      </w:pPr>
      <w:r>
        <w:rPr>
          <w:i/>
          <w:sz w:val="22"/>
          <w:szCs w:val="22"/>
        </w:rPr>
        <w:t>LoRa physical-layer specification and Semtech SX1278 transceiver specifications. These specifications define the spread-spectrum radio behavior used by the LoRa telemetry path. The prototype uses a 433 MHz SX1278 configuration with SF7, 125 kHz bandwidth, and 17 dBm transmit power for the implemented tests. The standard and device specification guide range, bandwidth, power, and payload-size expectations for low-power long-range telemetry.</w:t>
      </w:r>
    </w:p>
    <w:p>
      <w:pPr>
        <w:numPr>
          <w:ilvl w:val="0"/>
          <w:numId w:val="1"/>
        </w:numPr>
        <w:ind w:left="0" w:hanging="2"/>
        <w:jc w:val="both"/>
        <w:rPr>
          <w:i/>
          <w:sz w:val="22"/>
          <w:szCs w:val="22"/>
        </w:rPr>
      </w:pPr>
      <w:r>
        <w:rPr>
          <w:i/>
          <w:sz w:val="22"/>
          <w:szCs w:val="22"/>
        </w:rPr>
        <w:t>Philippine National Telecommunications Commission radio regulations. NTC rules are relevant because radio transmitters such as LoRa, WiFi, GSM, and LTE must operate within permitted bands, power limits, and certification conditions. The thesis therefore constrains communication testing to declared modules and frequencies and does not claim unrestricted public network deployment without regulatory compliance. This standard context supports lawful and responsible prototype operation.</w:t>
      </w:r>
    </w:p>
    <w:p>
      <w:pPr>
        <w:numPr>
          <w:ilvl w:val="0"/>
          <w:numId w:val="1"/>
        </w:numPr>
        <w:ind w:left="0" w:hanging="2"/>
        <w:jc w:val="both"/>
        <w:rPr>
          <w:i/>
          <w:sz w:val="22"/>
          <w:szCs w:val="22"/>
        </w:rPr>
      </w:pPr>
      <w:r>
        <w:rPr>
          <w:i/>
          <w:sz w:val="22"/>
          <w:szCs w:val="22"/>
        </w:rPr>
        <w:t>Republic Act No. 10173, Data Privacy Act of 2012, and its implementing rules and regulations. This law applies because the system collects GPS traces, driver-related trip records, and operational fleet data. The thesis addresses the requirement through access restriction, anonymized reporting, declared retention, and participant withdrawal procedures. The standard protects the ethical and legal handling of identifiable or sensitive operational data.</w:t>
      </w:r>
    </w:p>
    <w:p>
      <w:pPr>
        <w:numPr>
          <w:ilvl w:val="0"/>
          <w:numId w:val="1"/>
        </w:numPr>
        <w:ind w:left="0" w:hanging="2"/>
        <w:jc w:val="both"/>
        <w:rPr>
          <w:i/>
          <w:sz w:val="22"/>
          <w:szCs w:val="22"/>
        </w:rPr>
      </w:pPr>
      <w:r>
        <w:rPr>
          <w:i/>
          <w:sz w:val="22"/>
          <w:szCs w:val="22"/>
        </w:rPr>
        <w:t>ISO/IEC 27001, Information Security Management Systems. This standard is relevant as a security reference for managing cloud-stored telemetry, accounts, trip sessions, alerts, and logs. Although the prototype is not certified under ISO/IEC 27001, its principles support role-based access, credential protection, auditability, and controlled handling of operational data. These principles guide the backend security and data-governance constraints of the project.</w:t>
      </w:r>
    </w:p>
    <w:p>
      <w:pPr>
        <w:numPr>
          <w:ilvl w:val="0"/>
          <w:numId w:val="1"/>
        </w:numPr>
        <w:ind w:left="0" w:hanging="2"/>
        <w:jc w:val="both"/>
        <w:rPr>
          <w:i/>
          <w:sz w:val="22"/>
          <w:szCs w:val="22"/>
        </w:rPr>
      </w:pPr>
      <w:r>
        <w:rPr>
          <w:i/>
          <w:sz w:val="22"/>
          <w:szCs w:val="22"/>
        </w:rPr>
        <w:t>ISO 9241-210, Human-centred design for interactive systems. This standard is relevant to the embedded HMI, mobile driver application, and administrative dashboard because these interfaces must present alerts and trip information clearly without creating unnecessary driver distraction. The prototype uses a driver-facing HMI, simple controls, and synchronized dashboard views to support usability. The standard informs the requirement that alerts be understandable, actionable, and appropriate to the user role.</w:t>
      </w:r>
    </w:p>
    <w:p>
      <w:pPr>
        <w:numPr>
          <w:ilvl w:val="0"/>
          <w:numId w:val="1"/>
        </w:numPr>
        <w:ind w:left="0" w:hanging="2"/>
        <w:jc w:val="both"/>
        <w:rPr>
          <w:i/>
          <w:sz w:val="22"/>
          <w:szCs w:val="22"/>
        </w:rPr>
      </w:pPr>
      <w:r>
        <w:rPr>
          <w:i/>
          <w:sz w:val="22"/>
          <w:szCs w:val="22"/>
        </w:rPr>
        <w:t>ISO 26262, Road vehicles - Functional safety, used as a design reference. The prototype is not a safety-critical vehicle controller and does not command braking, steering, throttle, or engine behavior. However, ISO 26262 is relevant as a reference because the device is installed in a vehicle environment and must avoid interference with normal vehicle operation. The project therefore treats the monitoring device as passive, removable, and informational.</w:t>
      </w:r>
    </w:p>
    <w:p>
      <w:pPr>
        <w:numPr>
          <w:ilvl w:val="0"/>
          <w:numId w:val="1"/>
        </w:numPr>
        <w:ind w:left="0" w:hanging="2"/>
        <w:jc w:val="both"/>
        <w:rPr>
          <w:i/>
          <w:sz w:val="22"/>
          <w:szCs w:val="22"/>
        </w:rPr>
      </w:pPr>
      <w:r>
        <w:rPr>
          <w:i/>
          <w:sz w:val="22"/>
          <w:szCs w:val="22"/>
        </w:rPr>
        <w:t>LTO and Philippine road-safety guidance on driver fatigue and vehicle operation. These references are relevant to the driver-rest alert function and the thesis objective of supporting driver safety. The implemented rest reminder uses distance and drive-time thresholds to encourage breaks during long-haul operation. The standard context supports the social and health-safety role of the HMI alert subsystem.</w:t>
      </w:r>
    </w:p>
    <w:p>
      <w:pPr>
        <w:numPr>
          <w:ilvl w:val="0"/>
          <w:numId w:val="1"/>
        </w:numPr>
        <w:ind w:left="0" w:hanging="2"/>
        <w:jc w:val="both"/>
        <w:rPr>
          <w:i/>
          <w:sz w:val="22"/>
          <w:szCs w:val="22"/>
        </w:rPr>
      </w:pPr>
      <w:r>
        <w:rPr>
          <w:i/>
          <w:sz w:val="22"/>
          <w:szCs w:val="22"/>
        </w:rPr>
        <w:t>PostgreSQL and relational database integrity principles. Supabase Postgres is used as the managed database for users, trucks, trip_sessions, telemetry_logs, archived_telemetry_logs, trip_summaries, alerts, and latency_logs. Relational integrity constraints are relevant because trip state must remain consistent across the HMI, mobile application, and dashboard. The implementation uses database relationships and active-trip uniqueness rules to support synchronized operation.</w:t>
      </w:r>
    </w:p>
    <w:p>
      <w:pPr>
        <w:numPr>
          <w:ilvl w:val="0"/>
          <w:numId w:val="1"/>
        </w:numPr>
        <w:ind w:left="0" w:hanging="2"/>
        <w:jc w:val="both"/>
        <w:rPr>
          <w:i/>
          <w:sz w:val="22"/>
          <w:szCs w:val="22"/>
        </w:rPr>
      </w:pPr>
      <w:r>
        <w:rPr>
          <w:i/>
          <w:sz w:val="22"/>
          <w:szCs w:val="22"/>
        </w:rPr>
        <w:t>IEEE and ACM ethical principles for computing-related research. These principles are relevant because the system uses software, telemetry, machine learning, and human-associated operational data. The thesis applies these principles by limiting data use to research purposes, avoiding unnecessary personal exposure, documenting model limitations, and preventing claims beyond the measured evaluation. This ethical standard context supports responsible engineering judgment throughout the prototype development.</w:t>
      </w:r>
    </w:p>
    <w:p>
      <w:pPr>
        <w:ind w:left="0" w:hanging="2"/>
        <w:jc w:val="both"/>
        <w:rPr>
          <w:i/>
          <w:sz w:val="22"/>
          <w:szCs w:val="22"/>
        </w:rPr>
      </w:pPr>
    </w:p>
    <w:p ns2:paraId="0000001B" ns2:textId="77777777" w:rsidR="00834F23" w:rsidRDefault="00000000">
      <w:pPr>
        <w:ind w:left="0" w:hanging="2"/>
        <w:jc w:val="both"/>
        <w:rPr>
          <w:sz w:val="22"/>
          <w:szCs w:val="22"/>
        </w:rPr>
      </w:pPr>
      <w:r>
        <w:rPr>
          <w:sz w:val="22"/>
          <w:szCs w:val="22"/>
        </w:rPr>
        <w:t>Noted by:</w:t>
      </w:r>
    </w:p>
    <w:p ns2:paraId="0000001C" ns2:textId="77777777" w:rsidR="00834F23" w:rsidRDefault="00834F23">
      <w:pPr>
        <w:ind w:left="0" w:hanging="2"/>
        <w:jc w:val="both"/>
        <w:rPr>
          <w:sz w:val="22"/>
          <w:szCs w:val="22"/>
        </w:rPr>
      </w:pPr>
    </w:p>
    <w:p ns2:paraId="0000001D" ns2:textId="77777777" w:rsidR="00834F23" w:rsidRDefault="00000000">
      <w:pPr>
        <w:ind w:left="0" w:hanging="2"/>
        <w:rPr>
          <w:sz w:val="22"/>
          <w:szCs w:val="22"/>
        </w:rPr>
      </w:pPr>
      <w:r>
        <w:rPr>
          <w:sz w:val="22"/>
          <w:szCs w:val="22"/>
        </w:rPr>
        <w:t>______________________________</w:t>
      </w:r>
    </w:p>
    <w:p ns2:paraId="0000001E" ns2:textId="77777777" w:rsidR="00834F23" w:rsidRDefault="00000000">
      <w:pPr>
        <w:ind w:left="0" w:hanging="2"/>
        <w:rPr>
          <w:sz w:val="22"/>
          <w:szCs w:val="22"/>
        </w:rPr>
      </w:pPr>
      <w:r>
        <w:rPr>
          <w:i/>
          <w:sz w:val="22"/>
          <w:szCs w:val="22"/>
        </w:rPr>
        <w:t>Dr. John Anthony Jose</w:t>
      </w:r>
    </w:p>
    <w:p ns2:paraId="0000001F" ns2:textId="1D352A40" w:rsidR="00834F23" w:rsidRDefault="00214104">
      <w:pPr>
        <w:ind w:left="0" w:hanging="2"/>
        <w:rPr>
          <w:sz w:val="22"/>
          <w:szCs w:val="22"/>
        </w:rPr>
      </w:pPr>
      <w:r>
        <w:rPr>
          <w:i/>
          <w:sz w:val="22"/>
          <w:szCs w:val="22"/>
        </w:rPr>
        <w:t>Thesis Adviser</w:t>
      </w:r>
    </w:p>
    <w:p ns2:paraId="00000020" ns2:textId="77777777" w:rsidR="00834F23" w:rsidRDefault="00834F23">
      <w:pPr>
        <w:ind w:left="0" w:hanging="2"/>
        <w:jc w:val="both"/>
        <w:rPr>
          <w:sz w:val="22"/>
          <w:szCs w:val="22"/>
        </w:rPr>
      </w:pPr>
    </w:p>
    <w:p ns2:paraId="00000021" ns2:textId="77777777" w:rsidR="00834F23" w:rsidRDefault="00000000">
      <w:pPr>
        <w:ind w:left="0" w:hanging="2"/>
        <w:jc w:val="both"/>
        <w:rPr>
          <w:sz w:val="22"/>
          <w:szCs w:val="22"/>
        </w:rPr>
      </w:pPr>
      <w:r>
        <w:rPr>
          <w:sz w:val="22"/>
          <w:szCs w:val="22"/>
        </w:rPr>
        <w:t>Date: &lt;Date Submitted&gt;</w:t>
      </w:r>
    </w:p>
    <w:p ns2:paraId="00000022" ns2:textId="77777777" w:rsidR="00834F23" w:rsidRDefault="00834F23">
      <w:pPr>
        <w:pBdr>
          <w:bottom w:val="single" w:sz="6" w:space="1" w:color="000000"/>
        </w:pBdr>
        <w:ind w:left="0" w:hanging="2"/>
        <w:rPr>
          <w:sz w:val="22"/>
          <w:szCs w:val="22"/>
        </w:rPr>
      </w:pPr>
    </w:p>
    <w:p ns2:paraId="00000023" ns2:textId="77777777" w:rsidR="00834F23" w:rsidRDefault="00834F23">
      <w:pPr>
        <w:ind w:left="0" w:hanging="2"/>
        <w:rPr>
          <w:sz w:val="22"/>
          <w:szCs w:val="22"/>
        </w:rPr>
      </w:pPr>
    </w:p>
    <w:p ns2:paraId="00000024" ns2:textId="77777777" w:rsidR="00834F23" w:rsidRDefault="00000000">
      <w:pPr>
        <w:ind w:left="0" w:hanging="2"/>
        <w:rPr>
          <w:sz w:val="22"/>
          <w:szCs w:val="22"/>
        </w:rPr>
      </w:pPr>
      <w:r>
        <w:rPr>
          <w:sz w:val="22"/>
          <w:szCs w:val="22"/>
        </w:rPr>
        <w:t>Note: Keep a copy of this Appendix. You would need this during PRO3 defense.</w:t>
      </w:r>
    </w:p>
    <w:sectPr w:rsidR="00834F23">
      <w:headerReference w:type="even" ns3:id="rId8"/>
      <w:headerReference w:type="default" ns3:id="rId9"/>
      <w:footerReference w:type="even" ns3:id="rId10"/>
      <w:footerReference w:type="default" ns3:id="rId11"/>
      <w:headerReference w:type="first" ns3:id="rId12"/>
      <w:footerReference w:type="first" ns3:id="rId13"/>
      <w:pgSz w:w="12240" w:h="15840"/>
      <w:pgMar w:top="1440" w:right="1800" w:bottom="993"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C255C" w14:textId="77777777" w:rsidR="004D3D03" w:rsidRDefault="004D3D03">
      <w:pPr>
        <w:spacing w:line="240" w:lineRule="auto"/>
        <w:ind w:left="0" w:hanging="2"/>
      </w:pPr>
      <w:r>
        <w:separator/>
      </w:r>
    </w:p>
  </w:endnote>
  <w:endnote w:type="continuationSeparator" w:id="0">
    <w:p w14:paraId="4796D883" w14:textId="77777777" w:rsidR="004D3D03" w:rsidRDefault="004D3D0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Braggadocio">
    <w:panose1 w:val="04030B070D0B02020403"/>
    <w:charset w:val="4D"/>
    <w:family w:val="decorativ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3026E" w14:textId="77777777" w:rsidR="00256FF5" w:rsidRDefault="00256FF5">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3C93F" w14:textId="77777777" w:rsidR="00256FF5" w:rsidRDefault="00256FF5">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102B2" w14:textId="77777777" w:rsidR="00256FF5" w:rsidRDefault="00256FF5">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1A261" w14:textId="77777777" w:rsidR="004D3D03" w:rsidRDefault="004D3D03">
      <w:pPr>
        <w:spacing w:line="240" w:lineRule="auto"/>
        <w:ind w:left="0" w:hanging="2"/>
      </w:pPr>
      <w:r>
        <w:separator/>
      </w:r>
    </w:p>
  </w:footnote>
  <w:footnote w:type="continuationSeparator" w:id="0">
    <w:p w14:paraId="596615FC" w14:textId="77777777" w:rsidR="004D3D03" w:rsidRDefault="004D3D0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BB035" w14:textId="77777777" w:rsidR="00256FF5" w:rsidRDefault="00256FF5">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5" w14:textId="57742EB4" w:rsidR="00834F23" w:rsidRDefault="00000000">
    <w:pPr>
      <w:pBdr>
        <w:top w:val="nil"/>
        <w:left w:val="nil"/>
        <w:bottom w:val="nil"/>
        <w:right w:val="nil"/>
        <w:between w:val="nil"/>
      </w:pBdr>
      <w:tabs>
        <w:tab w:val="center" w:pos="4320"/>
        <w:tab w:val="right" w:pos="8640"/>
      </w:tabs>
      <w:spacing w:line="240" w:lineRule="auto"/>
      <w:ind w:left="2" w:hanging="4"/>
      <w:jc w:val="right"/>
      <w:rPr>
        <w:color w:val="C0C0C0"/>
        <w:sz w:val="36"/>
        <w:szCs w:val="36"/>
      </w:rPr>
    </w:pPr>
    <w:r>
      <w:rPr>
        <w:b/>
        <w:color w:val="C0C0C0"/>
        <w:sz w:val="36"/>
        <w:szCs w:val="36"/>
      </w:rPr>
      <w:t xml:space="preserve">List of </w:t>
    </w:r>
    <w:r w:rsidR="00256FF5">
      <w:rPr>
        <w:b/>
        <w:color w:val="C0C0C0"/>
        <w:sz w:val="36"/>
        <w:szCs w:val="36"/>
      </w:rPr>
      <w:t>Engineering Standards</w:t>
    </w:r>
    <w:r>
      <w:rPr>
        <w:b/>
        <w:color w:val="C0C0C0"/>
        <w:sz w:val="36"/>
        <w:szCs w:val="36"/>
      </w:rPr>
      <w:t xml:space="preserve"> – Appendix </w:t>
    </w:r>
    <w:r w:rsidR="00256FF5">
      <w:rPr>
        <w:b/>
        <w:color w:val="C0C0C0"/>
        <w:sz w:val="36"/>
        <w:szCs w:val="36"/>
      </w:rPr>
      <w:t>EE</w:t>
    </w:r>
  </w:p>
  <w:p w14:paraId="00000026" w14:textId="77777777" w:rsidR="00834F23" w:rsidRDefault="00834F23">
    <w:pPr>
      <w:pBdr>
        <w:top w:val="nil"/>
        <w:left w:val="nil"/>
        <w:bottom w:val="nil"/>
        <w:right w:val="nil"/>
        <w:between w:val="nil"/>
      </w:pBdr>
      <w:tabs>
        <w:tab w:val="center" w:pos="4320"/>
        <w:tab w:val="right" w:pos="8640"/>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ADD75" w14:textId="77777777" w:rsidR="00256FF5" w:rsidRDefault="00256FF5">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931F0"/>
    <w:multiLevelType w:val="multilevel"/>
    <w:tmpl w:val="F67C764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663E33E6"/>
    <w:multiLevelType w:val="multilevel"/>
    <w:tmpl w:val="9254073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61097894">
    <w:abstractNumId w:val="0"/>
  </w:num>
  <w:num w:numId="2" w16cid:durableId="1906336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F23"/>
    <w:rsid w:val="00034FB9"/>
    <w:rsid w:val="001F55B0"/>
    <w:rsid w:val="0021023B"/>
    <w:rsid w:val="00214104"/>
    <w:rsid w:val="00256FF5"/>
    <w:rsid w:val="0029384D"/>
    <w:rsid w:val="00403530"/>
    <w:rsid w:val="004D3D03"/>
    <w:rsid w:val="004E6FC3"/>
    <w:rsid w:val="004F4C56"/>
    <w:rsid w:val="00743229"/>
    <w:rsid w:val="0082217E"/>
    <w:rsid w:val="00834F23"/>
    <w:rsid w:val="00A171E1"/>
    <w:rsid w:val="00B34629"/>
    <w:rsid w:val="00D67198"/>
    <w:rsid w:val="00E951EA"/>
    <w:rsid w:val="00F6421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3A328A11"/>
  <w15:docId w15:val="{F5EF260D-8147-AD48-A57C-7C6A17DBF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jc w:val="center"/>
    </w:pPr>
    <w:rPr>
      <w:rFonts w:ascii="Arial" w:hAnsi="Arial"/>
      <w:b/>
    </w:rPr>
  </w:style>
  <w:style w:type="paragraph" w:styleId="Heading2">
    <w:name w:val="heading 2"/>
    <w:basedOn w:val="Normal"/>
    <w:next w:val="Normal"/>
    <w:uiPriority w:val="9"/>
    <w:semiHidden/>
    <w:unhideWhenUsed/>
    <w:qFormat/>
    <w:pPr>
      <w:keepNext/>
      <w:outlineLvl w:val="1"/>
    </w:pPr>
    <w:rPr>
      <w:b/>
      <w:sz w:val="20"/>
    </w:rPr>
  </w:style>
  <w:style w:type="paragraph" w:styleId="Heading3">
    <w:name w:val="heading 3"/>
    <w:basedOn w:val="Normal"/>
    <w:next w:val="Normal"/>
    <w:uiPriority w:val="9"/>
    <w:semiHidden/>
    <w:unhideWhenUsed/>
    <w:qFormat/>
    <w:pPr>
      <w:keepNext/>
      <w:outlineLvl w:val="2"/>
    </w:pPr>
    <w:rPr>
      <w:rFonts w:ascii="Braggadocio" w:hAnsi="Braggadocio"/>
      <w:sz w:val="28"/>
    </w:rPr>
  </w:style>
  <w:style w:type="paragraph" w:styleId="Heading4">
    <w:name w:val="heading 4"/>
    <w:basedOn w:val="Normal"/>
    <w:next w:val="Normal"/>
    <w:uiPriority w:val="9"/>
    <w:semiHidden/>
    <w:unhideWhenUsed/>
    <w:qFormat/>
    <w:pPr>
      <w:keepNext/>
      <w:ind w:left="3600" w:hanging="1440"/>
      <w:jc w:val="both"/>
      <w:outlineLvl w:val="3"/>
    </w:pPr>
    <w:rPr>
      <w:rFonts w:ascii="Book Antiqua" w:hAnsi="Book Antiqua"/>
      <w:b/>
    </w:rPr>
  </w:style>
  <w:style w:type="paragraph" w:styleId="Heading5">
    <w:name w:val="heading 5"/>
    <w:basedOn w:val="Normal"/>
    <w:next w:val="Normal"/>
    <w:uiPriority w:val="9"/>
    <w:semiHidden/>
    <w:unhideWhenUsed/>
    <w:qFormat/>
    <w:pPr>
      <w:keepNext/>
      <w:outlineLvl w:val="4"/>
    </w:pPr>
    <w:rPr>
      <w:rFonts w:ascii="Arial" w:hAnsi="Arial"/>
      <w:b/>
      <w:i/>
    </w:rPr>
  </w:style>
  <w:style w:type="paragraph" w:styleId="Heading6">
    <w:name w:val="heading 6"/>
    <w:basedOn w:val="Normal"/>
    <w:next w:val="Normal"/>
    <w:uiPriority w:val="9"/>
    <w:semiHidden/>
    <w:unhideWhenUsed/>
    <w:qFormat/>
    <w:pPr>
      <w:keepNext/>
      <w:outlineLvl w:val="5"/>
    </w:pPr>
    <w:rPr>
      <w:rFonts w:ascii="Arial Black" w:hAnsi="Arial Black"/>
      <w:b/>
      <w:i/>
      <w:sz w:val="28"/>
    </w:rPr>
  </w:style>
  <w:style w:type="paragraph" w:styleId="Heading7">
    <w:name w:val="heading 7"/>
    <w:basedOn w:val="Normal"/>
    <w:next w:val="Normal"/>
    <w:pPr>
      <w:keepNext/>
      <w:spacing w:line="360" w:lineRule="auto"/>
      <w:jc w:val="both"/>
      <w:outlineLvl w:val="6"/>
    </w:pPr>
    <w:rPr>
      <w:rFonts w:ascii="Arial"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rFonts w:ascii="Arial" w:hAnsi="Arial"/>
      <w:b/>
      <w:sz w:val="28"/>
    </w:rPr>
  </w:style>
  <w:style w:type="paragraph" w:styleId="BodyText">
    <w:name w:val="Body Text"/>
    <w:basedOn w:val="Normal"/>
    <w:pPr>
      <w:jc w:val="both"/>
    </w:pPr>
    <w:rPr>
      <w:rFonts w:ascii="Arial" w:hAnsi="Arial"/>
    </w:rPr>
  </w:style>
  <w:style w:type="character" w:styleId="Hyperlink">
    <w:name w:val="Hyperlink"/>
    <w:rPr>
      <w:color w:val="0000FF"/>
      <w:w w:val="100"/>
      <w:position w:val="-1"/>
      <w:u w:val="single"/>
      <w:effect w:val="none"/>
      <w:vertAlign w:val="baseline"/>
      <w:cs w:val="0"/>
      <w:em w:val="none"/>
    </w:rPr>
  </w:style>
  <w:style w:type="paragraph" w:styleId="BodyTextIndent">
    <w:name w:val="Body Text Indent"/>
    <w:basedOn w:val="Normal"/>
    <w:pPr>
      <w:ind w:left="720"/>
    </w:pPr>
    <w:rPr>
      <w:rFonts w:ascii="Book Antiqua" w:hAnsi="Book Antiqua"/>
      <w:b/>
    </w:rPr>
  </w:style>
  <w:style w:type="paragraph" w:styleId="BodyTextIndent2">
    <w:name w:val="Body Text Indent 2"/>
    <w:basedOn w:val="Normal"/>
    <w:pPr>
      <w:ind w:firstLine="720"/>
    </w:pPr>
    <w:rPr>
      <w:rFonts w:ascii="Book Antiqua" w:hAnsi="Book Antiqua"/>
    </w:rPr>
  </w:style>
  <w:style w:type="character" w:styleId="CommentReference">
    <w:name w:val="annotation reference"/>
    <w:rPr>
      <w:w w:val="100"/>
      <w:position w:val="-1"/>
      <w:sz w:val="16"/>
      <w:effect w:val="none"/>
      <w:vertAlign w:val="baseline"/>
      <w:cs w:val="0"/>
      <w:em w:val="none"/>
    </w:rPr>
  </w:style>
  <w:style w:type="paragraph" w:styleId="CommentText">
    <w:name w:val="annotation text"/>
    <w:basedOn w:val="Normal"/>
    <w:rPr>
      <w:sz w:val="20"/>
    </w:rPr>
  </w:style>
  <w:style w:type="paragraph" w:customStyle="1" w:styleId="Blockquote">
    <w:name w:val="Blockquote"/>
    <w:basedOn w:val="Normal"/>
    <w:pPr>
      <w:spacing w:before="100" w:after="100"/>
      <w:ind w:left="360" w:right="360"/>
    </w:pPr>
    <w:rPr>
      <w:snapToGrid w:val="0"/>
    </w:rPr>
  </w:style>
  <w:style w:type="paragraph" w:styleId="BodyText2">
    <w:name w:val="Body Text 2"/>
    <w:basedOn w:val="Normal"/>
    <w:pPr>
      <w:ind w:right="38"/>
      <w:jc w:val="both"/>
    </w:pPr>
  </w:style>
  <w:style w:type="paragraph" w:styleId="BlockText">
    <w:name w:val="Block Text"/>
    <w:basedOn w:val="Normal"/>
    <w:pPr>
      <w:ind w:left="2057" w:right="38"/>
      <w:jc w:val="both"/>
    </w:pPr>
  </w:style>
  <w:style w:type="paragraph" w:styleId="BodyTextIndent3">
    <w:name w:val="Body Text Indent 3"/>
    <w:basedOn w:val="Normal"/>
    <w:pPr>
      <w:ind w:left="1440" w:firstLine="720"/>
      <w:jc w:val="both"/>
    </w:pPr>
    <w:rPr>
      <w:rFonts w:ascii="Arial" w:hAnsi="Arial"/>
      <w:sz w:val="28"/>
    </w:rPr>
  </w:style>
  <w:style w:type="paragraph" w:customStyle="1" w:styleId="Objective">
    <w:name w:val="Objective"/>
    <w:basedOn w:val="Normal"/>
    <w:next w:val="BodyText"/>
    <w:pPr>
      <w:spacing w:before="240" w:after="220" w:line="220" w:lineRule="atLeast"/>
    </w:pPr>
    <w:rPr>
      <w:rFonts w:ascii="Arial" w:hAnsi="Arial"/>
      <w:sz w:val="20"/>
    </w:rPr>
  </w:style>
  <w:style w:type="paragraph" w:styleId="BodyText3">
    <w:name w:val="Body Text 3"/>
    <w:basedOn w:val="Normal"/>
    <w:pPr>
      <w:ind w:right="288"/>
    </w:pPr>
    <w:rPr>
      <w:sz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FollowedHyperlink">
    <w:name w:val="FollowedHyperlink"/>
    <w:rPr>
      <w:color w:val="800080"/>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kPMiRBMzI9wv8/6y/YrWhOVfAg==">AMUW2mXiJaUVwf5HsV0Hmm6Yq8ShLI+RFkbziUHvtaO3Tc8VztmnpIzNyJ76gMkzVU1Mc9iafUW5BKxFMUrUkXnTtooojETzxsquarXcs0jSAYdNZfsHq6A=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73</Words>
  <Characters>421</Characters>
  <Application>Microsoft Office Word</Application>
  <DocSecurity>0</DocSecurity>
  <Lines>3</Lines>
  <Paragraphs>1</Paragraphs>
  <ScaleCrop>false</ScaleCrop>
  <Company/>
  <LinksUpToDate>false</LinksUpToDate>
  <CharactersWithSpaces>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OPEY A.</dc:creator>
  <cp:lastModifiedBy>Alexander  C. Abad</cp:lastModifiedBy>
  <cp:revision>16</cp:revision>
  <dcterms:created xsi:type="dcterms:W3CDTF">2025-02-06T10:52:00Z</dcterms:created>
  <dcterms:modified xsi:type="dcterms:W3CDTF">2025-02-07T02:57:00Z</dcterms:modified>
</cp:coreProperties>
</file>