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p>
      <w:pPr>
        <w:pStyle w:val="BodyText"/>
      </w:pPr>
      <w:r>
        <w:t xml:space="preserve">We’re going to do this analysis using literate programming</w:t>
      </w:r>
      <w:r>
        <w:t xml:space="preserve"> </w:t>
      </w:r>
      <w:r>
        <w:t xml:space="preserve">(Knuth 1984)</w:t>
      </w:r>
      <w:r>
        <w:t xml:space="preserve">.</w:t>
      </w:r>
    </w:p>
    <w:bookmarkEnd w:id="20"/>
    <w:bookmarkStart w:id="36" w:name="sec-eda"/>
    <w:p>
      <w:pPr>
        <w:pStyle w:val="Heading2"/>
      </w:pPr>
      <w:r>
        <w:t xml:space="preserve">2 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2.1 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authoring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authoring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4620126" cy="3696101"/>
                  <wp:effectExtent b="0" l="0" r="0" t="0"/>
                  <wp:docPr descr="" title="" id="30" name="Picture"/>
                  <a:graphic>
                    <a:graphicData uri="http://schemas.openxmlformats.org/drawingml/2006/picture">
                      <pic:pic>
                        <pic:nvPicPr>
                          <pic:cNvPr descr="authoring_files/figure-docx/fig-scatte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2.2 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42" w:name="sec-model"/>
    <w:p>
      <w:pPr>
        <w:pStyle w:val="Heading2"/>
      </w:pPr>
      <w:r>
        <w:t xml:space="preserve">3 Modeling</w:t>
      </w:r>
    </w:p>
    <w:p>
      <w:pPr>
        <w:pStyle w:val="FirstParagraph"/>
      </w:pPr>
      <w:r>
        <w:t xml:space="preserve">We can fit a simple linear regression model of the form shown in</w:t>
      </w:r>
      <w:r>
        <w:t xml:space="preserve"> </w:t>
      </w:r>
      <w:hyperlink w:anchor="eq-slr">
        <w:r>
          <w:rPr>
            <w:rStyle w:val="Hyperlink"/>
          </w:rPr>
          <w:t xml:space="preserve">Equation 1</w:t>
        </w:r>
      </w:hyperlink>
      <w:r>
        <w:t xml:space="preserve">.</w:t>
      </w:r>
    </w:p>
    <w:p>
      <w:pPr>
        <w:pStyle w:val="BodyText"/>
      </w:pPr>
      <w:bookmarkStart w:id="37" w:name="eq-slr"/>
      <m:oMathPara>
        <m:oMathParaPr>
          <m:jc m:val="center"/>
        </m:oMathParaPr>
        <m:oMath>
          <m:r>
            <m:t>p</m:t>
          </m:r>
          <m:r>
            <m:t>r</m:t>
          </m:r>
          <m:r>
            <m:t>i</m:t>
          </m:r>
          <m:r>
            <m:t>c</m:t>
          </m:r>
          <m:r>
            <m:t>e</m:t>
          </m:r>
          <m:r>
            <m:rPr>
              <m:sty m:val="p"/>
            </m:rPr>
            <m:t>=</m:t>
          </m:r>
          <m:sSub>
            <m:e>
              <m:acc>
                <m:accPr>
                  <m:chr m:val="̂"/>
                </m:accPr>
                <m:e>
                  <m:r>
                    <m:t>β</m:t>
                  </m:r>
                </m:e>
              </m:acc>
            </m:e>
            <m:sub>
              <m:r>
                <m:t>0</m:t>
              </m:r>
            </m:sub>
          </m:sSub>
          <m:r>
            <m:rPr>
              <m:sty m:val="p"/>
            </m:rPr>
            <m:t>+</m:t>
          </m:r>
          <m:sSub>
            <m:e>
              <m:acc>
                <m:accPr>
                  <m:chr m:val="̂"/>
                </m:accPr>
                <m:e>
                  <m:r>
                    <m:t>β</m:t>
                  </m:r>
                </m:e>
              </m:acc>
            </m:e>
            <m:sub>
              <m:r>
                <m:t>1</m:t>
              </m:r>
            </m:sub>
          </m:sSub>
          <m:r>
            <m:rPr>
              <m:sty m:val="p"/>
            </m:rPr>
            <m:t>×</m:t>
          </m:r>
          <m:r>
            <m:t>a</m:t>
          </m:r>
          <m:r>
            <m:t>r</m:t>
          </m:r>
          <m:r>
            <m:t>e</m:t>
          </m:r>
          <m:r>
            <m:t>a</m:t>
          </m:r>
          <m:r>
            <m:rPr>
              <m:sty m:val="p"/>
            </m:rPr>
            <m:t>+</m:t>
          </m:r>
          <m:r>
            <m:t>ϵ</m:t>
          </m:r>
          <m:r>
            <m:t>  </m:t>
          </m:r>
          <m:d>
            <m:dPr>
              <m:begChr m:val="("/>
              <m:endChr m:val=")"/>
              <m:sepChr m:val=""/>
              <m:grow/>
            </m:dPr>
            <m:e>
              <m:r>
                <m:t>1</m:t>
              </m:r>
            </m:e>
          </m:d>
        </m:oMath>
      </m:oMathPara>
      <w:bookmarkEnd w:id="37"/>
    </w:p>
    <w:p>
      <w:pPr>
        <w:pStyle w:val="FirstParagraph"/>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8"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8"/>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sjedt\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pretty incomplete analysis, but hopefully the document provides a good overview of some of the authoring features of Quarto!</w:t>
            </w:r>
          </w:p>
        </w:tc>
      </w:tr>
    </w:tbl>
    <w:bookmarkEnd w:id="42"/>
    <w:bookmarkStart w:id="46" w:name="references"/>
    <w:p>
      <w:pPr>
        <w:pStyle w:val="Heading2"/>
      </w:pPr>
      <w:r>
        <w:t xml:space="preserve">References</w:t>
      </w:r>
    </w:p>
    <w:bookmarkStart w:id="45" w:name="refs"/>
    <w:bookmarkStart w:id="4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43">
        <w:r>
          <w:rPr>
            <w:rStyle w:val="Hyperlink"/>
          </w:rPr>
          <w:t xml:space="preserve">https://doi.org/10.1093/comjnl/27.2.97</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2023-01-21T10:47:39Z</dcterms:created>
  <dcterms:modified xsi:type="dcterms:W3CDTF">2023-01-21T10:47:39Z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