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F4E79"/>
          <w:sz w:val="44"/>
        </w:rPr>
        <w:t>Abishek Subramanian</w:t>
      </w:r>
    </w:p>
    <w:p>
      <w:pPr>
        <w:spacing w:before="0" w:after="60"/>
      </w:pPr>
      <w:r>
        <w:rPr>
          <w:b/>
          <w:i w:val="0"/>
          <w:color w:val="2E75B6"/>
          <w:sz w:val="22"/>
          <w:u w:val="none"/>
        </w:rPr>
        <w:t>Associate Director — Databricks Technologies &amp; Delivery  |  Data &amp; AI Solution Architect</w:t>
      </w:r>
    </w:p>
    <w:p>
      <w:pPr>
        <w:spacing w:before="0" w:after="80"/>
      </w:pPr>
      <w:r>
        <w:rPr>
          <w:b w:val="0"/>
          <w:i w:val="0"/>
          <w:color w:val="5A6170"/>
          <w:sz w:val="17"/>
        </w:rPr>
        <w:t>Abishek_vnb@hotmail.com</w:t>
      </w:r>
      <w:r>
        <w:rPr>
          <w:b w:val="0"/>
          <w:i w:val="0"/>
          <w:color w:val="5A6170"/>
          <w:sz w:val="17"/>
        </w:rPr>
        <w:t xml:space="preserve">   ·   </w:t>
      </w:r>
      <w:r>
        <w:rPr>
          <w:b w:val="0"/>
          <w:i w:val="0"/>
          <w:color w:val="5A6170"/>
          <w:sz w:val="17"/>
        </w:rPr>
        <w:t>+91 98451 33922</w:t>
      </w:r>
      <w:r>
        <w:rPr>
          <w:b w:val="0"/>
          <w:i w:val="0"/>
          <w:color w:val="5A6170"/>
          <w:sz w:val="17"/>
        </w:rPr>
        <w:t xml:space="preserve">   ·   </w:t>
      </w:r>
      <w:r>
        <w:rPr>
          <w:b w:val="0"/>
          <w:i w:val="0"/>
          <w:color w:val="5A6170"/>
          <w:sz w:val="17"/>
        </w:rPr>
        <w:t>Bengaluru, India</w:t>
      </w:r>
      <w:r>
        <w:rPr>
          <w:b w:val="0"/>
          <w:i w:val="0"/>
          <w:color w:val="5A6170"/>
          <w:sz w:val="17"/>
        </w:rPr>
        <w:t xml:space="preserve">   ·   </w:t>
      </w:r>
      <w:r>
        <w:rPr>
          <w:b w:val="0"/>
          <w:i w:val="0"/>
          <w:color w:val="5A6170"/>
          <w:sz w:val="17"/>
        </w:rPr>
        <w:t>linkedin.com/in/abishek-subramanian</w:t>
      </w:r>
      <w:r>
        <w:rPr>
          <w:b w:val="0"/>
          <w:i w:val="0"/>
          <w:color w:val="5A6170"/>
          <w:sz w:val="17"/>
        </w:rPr>
        <w:t xml:space="preserve">   ·   </w:t>
      </w:r>
      <w:r>
        <w:rPr>
          <w:b w:val="0"/>
          <w:i w:val="0"/>
          <w:color w:val="5A6170"/>
          <w:sz w:val="17"/>
        </w:rPr>
        <w:t>github.com/learnwithabi</w:t>
      </w:r>
      <w:r>
        <w:rPr>
          <w:b w:val="0"/>
          <w:i w:val="0"/>
          <w:color w:val="5A6170"/>
          <w:sz w:val="17"/>
        </w:rPr>
        <w:t xml:space="preserve">   ·   </w:t>
      </w:r>
      <w:r>
        <w:rPr>
          <w:b w:val="0"/>
          <w:i w:val="0"/>
          <w:color w:val="5A6170"/>
          <w:sz w:val="17"/>
        </w:rPr>
        <w:t>learnwithabi.github.io</w:t>
      </w:r>
    </w:p>
    <w:p>
      <w:pPr>
        <w:spacing w:before="0" w:after="80"/>
        <w:pBdr>
          <w:bottom w:val="single" w:sz="8" w:space="1" w:color="2E75B6"/>
        </w:pBdr>
      </w:pPr>
    </w:p>
    <w:p>
      <w:pPr>
        <w:spacing w:before="160" w:after="80"/>
        <w:pBdr>
          <w:bottom w:val="single" w:sz="6" w:space="2" w:color="2E75B6"/>
        </w:pBdr>
      </w:pPr>
      <w:r>
        <w:rPr>
          <w:b/>
          <w:color w:val="2E75B6"/>
          <w:sz w:val="18"/>
        </w:rPr>
        <w:t>PROFESSIONAL SUMMARY</w:t>
      </w:r>
    </w:p>
    <w:p>
      <w:pPr>
        <w:spacing w:before="0" w:after="100"/>
      </w:pPr>
      <w:r>
        <w:rPr>
          <w:b w:val="0"/>
          <w:i w:val="0"/>
          <w:color w:val="2E2E3A"/>
          <w:sz w:val="19"/>
        </w:rPr>
        <w:t xml:space="preserve">Data and AI leader with </w:t>
      </w:r>
      <w:r>
        <w:rPr>
          <w:b/>
          <w:i w:val="0"/>
          <w:color w:val="1A1A2E"/>
          <w:sz w:val="19"/>
        </w:rPr>
        <w:t>18+ years</w:t>
      </w:r>
      <w:r>
        <w:rPr>
          <w:b w:val="0"/>
          <w:i w:val="0"/>
          <w:color w:val="2E2E3A"/>
          <w:sz w:val="19"/>
        </w:rPr>
        <w:t xml:space="preserve"> of enterprise experience helping global organisations turn fragmented data estates into governed, AI-ready lakehouse platforms — at petabyte scale, across clouds, and at speed. Currently leading one of the most complex Azure-to-GCP Databricks migrations in the region for a global retail enterprise. Previously at Databricks for </w:t>
      </w:r>
      <w:r>
        <w:rPr>
          <w:b/>
          <w:i w:val="0"/>
          <w:color w:val="1A1A2E"/>
          <w:sz w:val="19"/>
        </w:rPr>
        <w:t>nearly 4 years</w:t>
      </w:r>
      <w:r>
        <w:rPr>
          <w:b w:val="0"/>
          <w:i w:val="0"/>
          <w:color w:val="2E2E3A"/>
          <w:sz w:val="19"/>
        </w:rPr>
        <w:t>, partnering with Fortune 500 clients to architect and operationalize high-impact data and AI platforms. Deep expertise across the full Databricks stack — Unity Catalog, LakeFlow, GenAI, Delta Live Tables — and multi-cloud delivery on Azure, AWS, and GCP.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4819"/>
            <w:vAlign w:val="center"/>
            <w:shd w:val="clear" w:color="auto" w:fill="EBF3FB"/>
          </w:tcPr>
          <w:p>
            <w:pPr>
              <w:spacing w:before="80" w:after="20"/>
              <w:ind w:left="113"/>
            </w:pPr>
            <w:r>
              <w:rPr>
                <w:b/>
                <w:color w:val="1A1A2E"/>
                <w:sz w:val="18"/>
              </w:rPr>
              <w:t>End-to-End Delivery Leadership</w:t>
            </w:r>
          </w:p>
          <w:p>
            <w:pPr>
              <w:spacing w:before="0" w:after="80"/>
              <w:ind w:left="113"/>
            </w:pPr>
            <w:r>
              <w:rPr>
                <w:color w:val="5A6170"/>
                <w:sz w:val="16"/>
              </w:rPr>
              <w:t>C-suite alignment to production deployment — strategy through execution</w:t>
            </w:r>
          </w:p>
        </w:tc>
        <w:tc>
          <w:tcPr>
            <w:tcW w:type="dxa" w:w="4819"/>
            <w:vAlign w:val="center"/>
            <w:shd w:val="clear" w:color="auto" w:fill="EBF3FB"/>
          </w:tcPr>
          <w:p>
            <w:pPr>
              <w:spacing w:before="80" w:after="20"/>
              <w:ind w:left="113"/>
            </w:pPr>
            <w:r>
              <w:rPr>
                <w:b/>
                <w:color w:val="1A1A2E"/>
                <w:sz w:val="18"/>
              </w:rPr>
              <w:t>Databricks Lakehouse Architecture</w:t>
            </w:r>
          </w:p>
          <w:p>
            <w:pPr>
              <w:spacing w:before="0" w:after="80"/>
              <w:ind w:left="113"/>
            </w:pPr>
            <w:r>
              <w:rPr>
                <w:color w:val="5A6170"/>
                <w:sz w:val="16"/>
              </w:rPr>
              <w:t>Unity Catalog · LakeFlow · Delta Live Tables · GenAI at enterprise scale</w:t>
            </w:r>
          </w:p>
        </w:tc>
      </w:tr>
      <w:tr>
        <w:tc>
          <w:tcPr>
            <w:tcW w:type="dxa" w:w="4819"/>
            <w:vAlign w:val="center"/>
            <w:shd w:val="clear" w:color="auto" w:fill="EBF3FB"/>
          </w:tcPr>
          <w:p>
            <w:pPr>
              <w:spacing w:before="80" w:after="20"/>
              <w:ind w:left="113"/>
            </w:pPr>
            <w:r>
              <w:rPr>
                <w:b/>
                <w:color w:val="1A1A2E"/>
                <w:sz w:val="18"/>
              </w:rPr>
              <w:t>Multi-Cloud Expertise</w:t>
            </w:r>
          </w:p>
          <w:p>
            <w:pPr>
              <w:spacing w:before="0" w:after="80"/>
              <w:ind w:left="113"/>
            </w:pPr>
            <w:r>
              <w:rPr>
                <w:color w:val="5A6170"/>
                <w:sz w:val="16"/>
              </w:rPr>
              <w:t>Azure · AWS · GCP — hybrid and on-prem transitions at petabyte scale</w:t>
            </w:r>
          </w:p>
        </w:tc>
        <w:tc>
          <w:tcPr>
            <w:tcW w:type="dxa" w:w="4819"/>
            <w:vAlign w:val="center"/>
            <w:shd w:val="clear" w:color="auto" w:fill="EBF3FB"/>
          </w:tcPr>
          <w:p>
            <w:pPr>
              <w:spacing w:before="80" w:after="20"/>
              <w:ind w:left="113"/>
            </w:pPr>
            <w:r>
              <w:rPr>
                <w:b/>
                <w:color w:val="1A1A2E"/>
                <w:sz w:val="18"/>
              </w:rPr>
              <w:t>CoE Buildout &amp; Governance</w:t>
            </w:r>
          </w:p>
          <w:p>
            <w:pPr>
              <w:spacing w:before="0" w:after="80"/>
              <w:ind w:left="113"/>
            </w:pPr>
            <w:r>
              <w:rPr>
                <w:color w:val="5A6170"/>
                <w:sz w:val="16"/>
              </w:rPr>
              <w:t>Team scaling · security · cost optimisation · regulatory compliance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928"/>
            <w:shd w:val="clear" w:color="auto" w:fill="1F4E79"/>
          </w:tcPr>
          <w:p>
            <w:pPr>
              <w:spacing w:before="80" w:after="0"/>
              <w:jc w:val="center"/>
            </w:pPr>
            <w:r>
              <w:rPr>
                <w:b/>
                <w:color w:val="FFFFFF"/>
                <w:sz w:val="28"/>
              </w:rPr>
              <w:t>18+</w:t>
            </w:r>
          </w:p>
          <w:p>
            <w:pPr>
              <w:spacing w:before="20" w:after="80"/>
              <w:jc w:val="center"/>
            </w:pPr>
            <w:r>
              <w:rPr>
                <w:color w:val="9DC3E6"/>
                <w:sz w:val="15"/>
              </w:rPr>
              <w:t>Years Experience</w:t>
            </w:r>
          </w:p>
        </w:tc>
        <w:tc>
          <w:tcPr>
            <w:tcW w:type="dxa" w:w="1928"/>
            <w:shd w:val="clear" w:color="auto" w:fill="1F4E79"/>
          </w:tcPr>
          <w:p>
            <w:pPr>
              <w:spacing w:before="80" w:after="0"/>
              <w:jc w:val="center"/>
            </w:pPr>
            <w:r>
              <w:rPr>
                <w:b/>
                <w:color w:val="FFFFFF"/>
                <w:sz w:val="28"/>
              </w:rPr>
              <w:t>5+</w:t>
            </w:r>
          </w:p>
          <w:p>
            <w:pPr>
              <w:spacing w:before="20" w:after="80"/>
              <w:jc w:val="center"/>
            </w:pPr>
            <w:r>
              <w:rPr>
                <w:color w:val="9DC3E6"/>
                <w:sz w:val="15"/>
              </w:rPr>
              <w:t>Years in Databricks</w:t>
            </w:r>
          </w:p>
        </w:tc>
        <w:tc>
          <w:tcPr>
            <w:tcW w:type="dxa" w:w="1928"/>
            <w:shd w:val="clear" w:color="auto" w:fill="1F4E79"/>
          </w:tcPr>
          <w:p>
            <w:pPr>
              <w:spacing w:before="80" w:after="0"/>
              <w:jc w:val="center"/>
            </w:pPr>
            <w:r>
              <w:rPr>
                <w:b/>
                <w:color w:val="FFFFFF"/>
                <w:sz w:val="28"/>
              </w:rPr>
              <w:t>15+</w:t>
            </w:r>
          </w:p>
          <w:p>
            <w:pPr>
              <w:spacing w:before="20" w:after="80"/>
              <w:jc w:val="center"/>
            </w:pPr>
            <w:r>
              <w:rPr>
                <w:color w:val="9DC3E6"/>
                <w:sz w:val="15"/>
              </w:rPr>
              <w:t>Team Size Led</w:t>
            </w:r>
          </w:p>
        </w:tc>
        <w:tc>
          <w:tcPr>
            <w:tcW w:type="dxa" w:w="1928"/>
            <w:shd w:val="clear" w:color="auto" w:fill="1F4E79"/>
          </w:tcPr>
          <w:p>
            <w:pPr>
              <w:spacing w:before="80" w:after="0"/>
              <w:jc w:val="center"/>
            </w:pPr>
            <w:r>
              <w:rPr>
                <w:b/>
                <w:color w:val="FFFFFF"/>
                <w:sz w:val="28"/>
              </w:rPr>
              <w:t>70+ TB</w:t>
            </w:r>
          </w:p>
          <w:p>
            <w:pPr>
              <w:spacing w:before="20" w:after="80"/>
              <w:jc w:val="center"/>
            </w:pPr>
            <w:r>
              <w:rPr>
                <w:color w:val="9DC3E6"/>
                <w:sz w:val="15"/>
              </w:rPr>
              <w:t>Data Migrated</w:t>
            </w:r>
          </w:p>
        </w:tc>
        <w:tc>
          <w:tcPr>
            <w:tcW w:type="dxa" w:w="1928"/>
            <w:shd w:val="clear" w:color="auto" w:fill="1F4E79"/>
          </w:tcPr>
          <w:p>
            <w:pPr>
              <w:spacing w:before="80" w:after="0"/>
              <w:jc w:val="center"/>
            </w:pPr>
            <w:r>
              <w:rPr>
                <w:b/>
                <w:color w:val="FFFFFF"/>
                <w:sz w:val="28"/>
              </w:rPr>
              <w:t>20%+</w:t>
            </w:r>
          </w:p>
          <w:p>
            <w:pPr>
              <w:spacing w:before="20" w:after="80"/>
              <w:jc w:val="center"/>
            </w:pPr>
            <w:r>
              <w:rPr>
                <w:color w:val="9DC3E6"/>
                <w:sz w:val="15"/>
              </w:rPr>
              <w:t>Efficiency Gains</w:t>
            </w:r>
          </w:p>
        </w:tc>
      </w:tr>
    </w:tbl>
    <w:p>
      <w:pPr>
        <w:spacing w:after="60"/>
      </w:pPr>
    </w:p>
    <w:p>
      <w:pPr>
        <w:spacing w:before="160" w:after="80"/>
        <w:pBdr>
          <w:bottom w:val="single" w:sz="6" w:space="2" w:color="2E75B6"/>
        </w:pBdr>
      </w:pPr>
      <w:r>
        <w:rPr>
          <w:b/>
          <w:color w:val="2E75B6"/>
          <w:sz w:val="18"/>
        </w:rPr>
        <w:t>PROFESSIONAL EXPERIENCE</w:t>
      </w:r>
    </w:p>
    <w:p>
      <w:pPr>
        <w:spacing w:before="120" w:after="20"/>
      </w:pPr>
      <w:r>
        <w:rPr>
          <w:b/>
          <w:color w:val="1A1A2E"/>
          <w:sz w:val="21"/>
        </w:rPr>
        <w:t>Associate Director — Databricks Technologies &amp; Delivery</w:t>
      </w:r>
      <w:r>
        <w:rPr>
          <w:color w:val="5A6170"/>
          <w:sz w:val="17"/>
        </w:rPr>
        <w:t xml:space="preserve">    Feb 2026 – Present</w:t>
      </w:r>
    </w:p>
    <w:p>
      <w:pPr>
        <w:spacing w:before="0" w:after="40"/>
      </w:pPr>
      <w:r>
        <w:rPr>
          <w:b/>
          <w:color w:val="2E75B6"/>
          <w:sz w:val="19"/>
        </w:rPr>
        <w:t>Wavicle Data Solutions</w:t>
      </w:r>
      <w:r>
        <w:rPr>
          <w:color w:val="5A6170"/>
          <w:sz w:val="17"/>
        </w:rPr>
        <w:t xml:space="preserve">  ·  Bengaluru, India</w:t>
      </w:r>
    </w:p>
    <w:p>
      <w:pPr>
        <w:pStyle w:val="ListBullet"/>
        <w:spacing w:before="0" w:after="40"/>
        <w:ind w:left="283"/>
      </w:pPr>
      <w:r>
        <w:rPr>
          <w:b w:val="0"/>
          <w:i w:val="0"/>
          <w:color w:val="2E2E3A"/>
          <w:sz w:val="19"/>
        </w:rPr>
        <w:t xml:space="preserve">Lead the </w:t>
      </w:r>
      <w:r>
        <w:rPr>
          <w:b/>
          <w:i w:val="0"/>
          <w:color w:val="1A1A2E"/>
          <w:sz w:val="19"/>
        </w:rPr>
        <w:t>Databricks CoE (Center of Excellence)</w:t>
      </w:r>
      <w:r>
        <w:rPr>
          <w:b w:val="0"/>
          <w:i w:val="0"/>
          <w:color w:val="2E2E3A"/>
          <w:sz w:val="19"/>
        </w:rPr>
        <w:t xml:space="preserve"> — defining lakehouse architecture standards, governance frameworks, and delivery best practices across enterprise engagements</w:t>
      </w:r>
    </w:p>
    <w:p>
      <w:pPr>
        <w:pStyle w:val="ListBullet"/>
        <w:spacing w:before="0" w:after="40"/>
        <w:ind w:left="283"/>
      </w:pPr>
      <w:r>
        <w:rPr>
          <w:b w:val="0"/>
          <w:i w:val="0"/>
          <w:color w:val="2E2E3A"/>
          <w:sz w:val="19"/>
        </w:rPr>
        <w:t xml:space="preserve">Architecting a </w:t>
      </w:r>
      <w:r>
        <w:rPr>
          <w:b/>
          <w:i w:val="0"/>
          <w:color w:val="1A1A2E"/>
          <w:sz w:val="19"/>
        </w:rPr>
        <w:t>petabyte-scale Azure-to-GCP Databricks lakehouse migration</w:t>
      </w:r>
      <w:r>
        <w:rPr>
          <w:b w:val="0"/>
          <w:i w:val="0"/>
          <w:color w:val="2E2E3A"/>
          <w:sz w:val="19"/>
        </w:rPr>
        <w:t xml:space="preserve"> for a global retail group — 70+ TB moved through a phased, fully automated, zero-downtime program</w:t>
      </w:r>
    </w:p>
    <w:p>
      <w:pPr>
        <w:pStyle w:val="ListBullet"/>
        <w:spacing w:before="0" w:after="40"/>
        <w:ind w:left="283"/>
      </w:pPr>
      <w:r>
        <w:rPr>
          <w:b w:val="0"/>
          <w:i w:val="0"/>
          <w:color w:val="2E2E3A"/>
          <w:sz w:val="19"/>
        </w:rPr>
        <w:t xml:space="preserve">Designed a </w:t>
      </w:r>
      <w:r>
        <w:rPr>
          <w:b/>
          <w:i w:val="0"/>
          <w:color w:val="1A1A2E"/>
          <w:sz w:val="19"/>
        </w:rPr>
        <w:t>six-step automated migration framework</w:t>
      </w:r>
      <w:r>
        <w:rPr>
          <w:b w:val="0"/>
          <w:i w:val="0"/>
          <w:color w:val="2E2E3A"/>
          <w:sz w:val="19"/>
        </w:rPr>
        <w:t>: asset classification → config mapping → JSON transform → dependency-ordered deployment → REST-API deployment → validation</w:t>
      </w:r>
    </w:p>
    <w:p>
      <w:pPr>
        <w:pStyle w:val="ListBullet"/>
        <w:spacing w:before="0" w:after="40"/>
        <w:ind w:left="283"/>
      </w:pPr>
      <w:r>
        <w:rPr>
          <w:b w:val="0"/>
          <w:i w:val="0"/>
          <w:color w:val="2E2E3A"/>
          <w:sz w:val="19"/>
        </w:rPr>
        <w:t xml:space="preserve">Built custom </w:t>
      </w:r>
      <w:r>
        <w:rPr>
          <w:b/>
          <w:i w:val="0"/>
          <w:color w:val="1A1A2E"/>
          <w:sz w:val="19"/>
        </w:rPr>
        <w:t>Asset Migrator &amp; Asset Validator</w:t>
      </w:r>
      <w:r>
        <w:rPr>
          <w:b w:val="0"/>
          <w:i w:val="0"/>
          <w:color w:val="2E2E3A"/>
          <w:sz w:val="19"/>
        </w:rPr>
        <w:t xml:space="preserve"> frameworks for governed, error-free cross-cloud migration of clusters, jobs, pipelines, secrets, libraries, and policies</w:t>
      </w:r>
    </w:p>
    <w:p>
      <w:pPr>
        <w:pStyle w:val="ListBullet"/>
        <w:spacing w:before="0" w:after="40"/>
        <w:ind w:left="283"/>
      </w:pPr>
      <w:r>
        <w:rPr>
          <w:b w:val="0"/>
          <w:i w:val="0"/>
          <w:color w:val="2E2E3A"/>
          <w:sz w:val="19"/>
        </w:rPr>
        <w:t xml:space="preserve">Implemented </w:t>
      </w:r>
      <w:r>
        <w:rPr>
          <w:b/>
          <w:i w:val="0"/>
          <w:color w:val="1A1A2E"/>
          <w:sz w:val="19"/>
        </w:rPr>
        <w:t>Unity Catalog governance</w:t>
      </w:r>
      <w:r>
        <w:rPr>
          <w:b w:val="0"/>
          <w:i w:val="0"/>
          <w:color w:val="2E2E3A"/>
          <w:sz w:val="19"/>
        </w:rPr>
        <w:t xml:space="preserve"> on target platform — preserving access controls, data lineage, and audit logs throughout the migration lifecycle</w:t>
      </w:r>
    </w:p>
    <w:p>
      <w:pPr>
        <w:pStyle w:val="ListBullet"/>
        <w:spacing w:before="0" w:after="40"/>
        <w:ind w:left="283"/>
      </w:pPr>
      <w:r>
        <w:rPr>
          <w:color w:val="2E2E3A"/>
          <w:sz w:val="18"/>
        </w:rPr>
        <w:t>Lead a distributed offshore/onsite engineering team, owning solution architecture, technical mentoring, and senior stakeholder management</w:t>
      </w:r>
    </w:p>
    <w:p>
      <w:pPr>
        <w:spacing w:before="120" w:after="20"/>
      </w:pPr>
      <w:r>
        <w:rPr>
          <w:b/>
          <w:color w:val="1A1A2E"/>
          <w:sz w:val="21"/>
        </w:rPr>
        <w:t>Senior Solution Engineer</w:t>
      </w:r>
      <w:r>
        <w:rPr>
          <w:color w:val="5A6170"/>
          <w:sz w:val="17"/>
        </w:rPr>
        <w:t xml:space="preserve">    May 2022 – Feb 2026</w:t>
      </w:r>
    </w:p>
    <w:p>
      <w:pPr>
        <w:spacing w:before="0" w:after="40"/>
      </w:pPr>
      <w:r>
        <w:rPr>
          <w:b/>
          <w:color w:val="2E75B6"/>
          <w:sz w:val="19"/>
        </w:rPr>
        <w:t>Databricks India Pvt. Ltd.</w:t>
      </w:r>
      <w:r>
        <w:rPr>
          <w:color w:val="5A6170"/>
          <w:sz w:val="17"/>
        </w:rPr>
        <w:t xml:space="preserve">  ·  Bengaluru, India</w:t>
      </w:r>
    </w:p>
    <w:p>
      <w:pPr>
        <w:pStyle w:val="ListBullet"/>
        <w:spacing w:before="0" w:after="40"/>
        <w:ind w:left="283"/>
      </w:pPr>
      <w:r>
        <w:rPr>
          <w:b w:val="0"/>
          <w:i w:val="0"/>
          <w:color w:val="2E2E3A"/>
          <w:sz w:val="19"/>
        </w:rPr>
        <w:t xml:space="preserve">Established </w:t>
      </w:r>
      <w:r>
        <w:rPr>
          <w:b/>
          <w:i w:val="0"/>
          <w:color w:val="1A1A2E"/>
          <w:sz w:val="19"/>
        </w:rPr>
        <w:t>Databricks Asset Bundle (DAB)</w:t>
      </w:r>
      <w:r>
        <w:rPr>
          <w:b w:val="0"/>
          <w:i w:val="0"/>
          <w:color w:val="2E2E3A"/>
          <w:sz w:val="19"/>
        </w:rPr>
        <w:t xml:space="preserve"> deployment best practices — reducing development cycles and infrastructure costs for enterprise customers</w:t>
      </w:r>
    </w:p>
    <w:p>
      <w:pPr>
        <w:pStyle w:val="ListBullet"/>
        <w:spacing w:before="0" w:after="40"/>
        <w:ind w:left="283"/>
      </w:pPr>
      <w:r>
        <w:rPr>
          <w:b w:val="0"/>
          <w:i w:val="0"/>
          <w:color w:val="2E2E3A"/>
          <w:sz w:val="19"/>
        </w:rPr>
        <w:t xml:space="preserve">Developed implementation guidelines for </w:t>
      </w:r>
      <w:r>
        <w:rPr>
          <w:b/>
          <w:i w:val="0"/>
          <w:color w:val="1A1A2E"/>
          <w:sz w:val="19"/>
        </w:rPr>
        <w:t>GenAI using RAG architecture</w:t>
      </w:r>
      <w:r>
        <w:rPr>
          <w:b w:val="0"/>
          <w:i w:val="0"/>
          <w:color w:val="2E2E3A"/>
          <w:sz w:val="19"/>
        </w:rPr>
        <w:t xml:space="preserve"> (Genie AI/BI, AgentBrick), enabling product teams to adopt GenAI at enterprise scale</w:t>
      </w:r>
    </w:p>
    <w:p>
      <w:pPr>
        <w:pStyle w:val="ListBullet"/>
        <w:spacing w:before="0" w:after="40"/>
        <w:ind w:left="283"/>
      </w:pPr>
      <w:r>
        <w:rPr>
          <w:b w:val="0"/>
          <w:i w:val="0"/>
          <w:color w:val="2E2E3A"/>
          <w:sz w:val="19"/>
        </w:rPr>
        <w:t xml:space="preserve">Architected production-grade pipelines with </w:t>
      </w:r>
      <w:r>
        <w:rPr>
          <w:b/>
          <w:i w:val="0"/>
          <w:color w:val="1A1A2E"/>
          <w:sz w:val="19"/>
        </w:rPr>
        <w:t>Delta Live Tables + dbt</w:t>
      </w:r>
      <w:r>
        <w:rPr>
          <w:b w:val="0"/>
          <w:i w:val="0"/>
          <w:color w:val="2E2E3A"/>
          <w:sz w:val="19"/>
        </w:rPr>
        <w:t xml:space="preserve"> — medallion architecture, data quality expectations, and automated Workflows orchestration</w:t>
      </w:r>
    </w:p>
    <w:p>
      <w:pPr>
        <w:pStyle w:val="ListBullet"/>
        <w:spacing w:before="0" w:after="40"/>
        <w:ind w:left="283"/>
      </w:pPr>
      <w:r>
        <w:rPr>
          <w:b w:val="0"/>
          <w:i w:val="0"/>
          <w:color w:val="2E2E3A"/>
          <w:sz w:val="19"/>
        </w:rPr>
        <w:t xml:space="preserve">Designed a </w:t>
      </w:r>
      <w:r>
        <w:rPr>
          <w:b/>
          <w:i w:val="0"/>
          <w:color w:val="1A1A2E"/>
          <w:sz w:val="19"/>
        </w:rPr>
        <w:t>custom AI Bot Space</w:t>
      </w:r>
      <w:r>
        <w:rPr>
          <w:b w:val="0"/>
          <w:i w:val="0"/>
          <w:color w:val="2E2E3A"/>
          <w:sz w:val="19"/>
        </w:rPr>
        <w:t xml:space="preserve"> on Databricks Apps, integrating Unity Catalog and custom models into a secure, governed enterprise AI tool</w:t>
      </w:r>
    </w:p>
    <w:p>
      <w:pPr>
        <w:pStyle w:val="ListBullet"/>
        <w:spacing w:before="0" w:after="40"/>
        <w:ind w:left="283"/>
      </w:pPr>
      <w:r>
        <w:rPr>
          <w:b w:val="0"/>
          <w:i w:val="0"/>
          <w:color w:val="2E2E3A"/>
          <w:sz w:val="19"/>
        </w:rPr>
        <w:t xml:space="preserve">Built </w:t>
      </w:r>
      <w:r>
        <w:rPr>
          <w:b/>
          <w:i w:val="0"/>
          <w:color w:val="1A1A2E"/>
          <w:sz w:val="19"/>
        </w:rPr>
        <w:t>ML lifecycle platforms</w:t>
      </w:r>
      <w:r>
        <w:rPr>
          <w:b w:val="0"/>
          <w:i w:val="0"/>
          <w:color w:val="2E2E3A"/>
          <w:sz w:val="19"/>
        </w:rPr>
        <w:t xml:space="preserve"> with MLflow — experiment tracking, model registry, REST-based Model Serving; resolved critical ML workload blockers for enterprise clients</w:t>
      </w:r>
    </w:p>
    <w:p>
      <w:pPr>
        <w:pStyle w:val="ListBullet"/>
        <w:spacing w:before="0" w:after="40"/>
        <w:ind w:left="283"/>
      </w:pPr>
      <w:r>
        <w:rPr>
          <w:b w:val="0"/>
          <w:i w:val="0"/>
          <w:color w:val="2E2E3A"/>
          <w:sz w:val="19"/>
        </w:rPr>
        <w:t xml:space="preserve">Optimised </w:t>
      </w:r>
      <w:r>
        <w:rPr>
          <w:b/>
          <w:i w:val="0"/>
          <w:color w:val="1A1A2E"/>
          <w:sz w:val="19"/>
        </w:rPr>
        <w:t>platform costs via system tables</w:t>
      </w:r>
      <w:r>
        <w:rPr>
          <w:b w:val="0"/>
          <w:i w:val="0"/>
          <w:color w:val="2E2E3A"/>
          <w:sz w:val="19"/>
        </w:rPr>
        <w:t xml:space="preserve"> — DBU tracking, cluster utilisation analysis, and autoscaling policy enforcement across teams</w:t>
      </w:r>
    </w:p>
    <w:p>
      <w:pPr>
        <w:spacing w:before="120" w:after="20"/>
      </w:pPr>
      <w:r>
        <w:rPr>
          <w:b/>
          <w:color w:val="1A1A2E"/>
          <w:sz w:val="21"/>
        </w:rPr>
        <w:t>Principal Software Engineer</w:t>
      </w:r>
      <w:r>
        <w:rPr>
          <w:color w:val="5A6170"/>
          <w:sz w:val="17"/>
        </w:rPr>
        <w:t xml:space="preserve">    Aug 2021 – May 2022</w:t>
      </w:r>
    </w:p>
    <w:p>
      <w:pPr>
        <w:spacing w:before="0" w:after="40"/>
      </w:pPr>
      <w:r>
        <w:rPr>
          <w:b/>
          <w:color w:val="2E75B6"/>
          <w:sz w:val="19"/>
        </w:rPr>
        <w:t>Oracle India Pvt. Ltd.</w:t>
      </w:r>
      <w:r>
        <w:rPr>
          <w:color w:val="5A6170"/>
          <w:sz w:val="17"/>
        </w:rPr>
        <w:t xml:space="preserve">  ·  Bengaluru, India</w:t>
      </w:r>
    </w:p>
    <w:p>
      <w:pPr>
        <w:pStyle w:val="ListBullet"/>
        <w:spacing w:before="0" w:after="40"/>
        <w:ind w:left="283"/>
      </w:pPr>
      <w:r>
        <w:rPr>
          <w:color w:val="2E2E3A"/>
          <w:sz w:val="18"/>
        </w:rPr>
        <w:t>Onboarded Oracle Cloud Fusion (SaaS) enterprise customers — owning solution proposals, implementation, and cross-stakeholder coordination from pre-sales through go-live</w:t>
      </w:r>
    </w:p>
    <w:p>
      <w:pPr>
        <w:pStyle w:val="ListBullet"/>
        <w:spacing w:before="0" w:after="40"/>
        <w:ind w:left="283"/>
      </w:pPr>
      <w:r>
        <w:rPr>
          <w:b w:val="0"/>
          <w:i w:val="0"/>
          <w:color w:val="2E2E3A"/>
          <w:sz w:val="19"/>
        </w:rPr>
        <w:t xml:space="preserve">Defined cloud migration strategy from on-premises to </w:t>
      </w:r>
      <w:r>
        <w:rPr>
          <w:b/>
          <w:i w:val="0"/>
          <w:color w:val="1A1A2E"/>
          <w:sz w:val="19"/>
        </w:rPr>
        <w:t>Oracle Cloud Infrastructure (OCI)</w:t>
      </w:r>
      <w:r>
        <w:rPr>
          <w:b w:val="0"/>
          <w:i w:val="0"/>
          <w:color w:val="2E2E3A"/>
          <w:sz w:val="19"/>
        </w:rPr>
        <w:t xml:space="preserve"> for SaaS and IaaS workloads; drove critical escalations to swift resolution</w:t>
      </w:r>
    </w:p>
    <w:p>
      <w:r>
        <w:br w:type="page"/>
      </w:r>
    </w:p>
    <w:p>
      <w:pPr>
        <w:spacing w:before="0" w:after="60"/>
      </w:pPr>
      <w:r>
        <w:rPr>
          <w:b/>
          <w:i w:val="0"/>
          <w:color w:val="1A1A2E"/>
          <w:sz w:val="22"/>
        </w:rPr>
        <w:t>Abishek Subramanian</w:t>
      </w:r>
      <w:r>
        <w:rPr>
          <w:b w:val="0"/>
          <w:i w:val="0"/>
          <w:color w:val="5A6170"/>
          <w:sz w:val="17"/>
        </w:rPr>
        <w:t xml:space="preserve">   ·   Data &amp; AI Solution Architect   ·   Page 2 of 2</w:t>
      </w:r>
    </w:p>
    <w:p>
      <w:pPr>
        <w:spacing w:before="0" w:after="80"/>
        <w:pBdr>
          <w:bottom w:val="single" w:sz="8" w:space="1" w:color="2E75B6"/>
        </w:pBdr>
      </w:pPr>
    </w:p>
    <w:p>
      <w:pPr>
        <w:spacing w:before="160" w:after="80"/>
        <w:pBdr>
          <w:bottom w:val="single" w:sz="6" w:space="2" w:color="2E75B6"/>
        </w:pBdr>
      </w:pPr>
      <w:r>
        <w:rPr>
          <w:b/>
          <w:color w:val="2E75B6"/>
          <w:sz w:val="18"/>
        </w:rPr>
        <w:t>PROFESSIONAL EXPERIENCE (CONTINUED)</w:t>
      </w:r>
    </w:p>
    <w:p>
      <w:pPr>
        <w:spacing w:before="120" w:after="20"/>
      </w:pPr>
      <w:r>
        <w:rPr>
          <w:b/>
          <w:color w:val="1A1A2E"/>
          <w:sz w:val="21"/>
        </w:rPr>
        <w:t>System Integration Specialist Advisor</w:t>
      </w:r>
      <w:r>
        <w:rPr>
          <w:color w:val="5A6170"/>
          <w:sz w:val="17"/>
        </w:rPr>
        <w:t xml:space="preserve">    May 2018 – Aug 2021</w:t>
      </w:r>
    </w:p>
    <w:p>
      <w:pPr>
        <w:spacing w:before="0" w:after="40"/>
      </w:pPr>
      <w:r>
        <w:rPr>
          <w:b/>
          <w:color w:val="2E75B6"/>
          <w:sz w:val="19"/>
        </w:rPr>
        <w:t>NTT Data</w:t>
      </w:r>
      <w:r>
        <w:rPr>
          <w:color w:val="5A6170"/>
          <w:sz w:val="17"/>
        </w:rPr>
        <w:t xml:space="preserve">  ·  Bengaluru, India</w:t>
      </w:r>
    </w:p>
    <w:p>
      <w:pPr>
        <w:pStyle w:val="ListBullet"/>
        <w:spacing w:before="0" w:after="40"/>
        <w:ind w:left="283"/>
      </w:pPr>
      <w:r>
        <w:rPr>
          <w:b w:val="0"/>
          <w:i w:val="0"/>
          <w:color w:val="2E2E3A"/>
          <w:sz w:val="19"/>
        </w:rPr>
        <w:t xml:space="preserve">Designed scalable, secure multi-cloud architectures across </w:t>
      </w:r>
      <w:r>
        <w:rPr>
          <w:b/>
          <w:i w:val="0"/>
          <w:color w:val="1A1A2E"/>
          <w:sz w:val="19"/>
        </w:rPr>
        <w:t>Azure, AWS, and VMware</w:t>
      </w:r>
      <w:r>
        <w:rPr>
          <w:b w:val="0"/>
          <w:i w:val="0"/>
          <w:color w:val="2E2E3A"/>
          <w:sz w:val="19"/>
        </w:rPr>
        <w:t>; led legacy-to-cloud-native modernisation projects</w:t>
      </w:r>
    </w:p>
    <w:p>
      <w:pPr>
        <w:pStyle w:val="ListBullet"/>
        <w:spacing w:before="0" w:after="40"/>
        <w:ind w:left="283"/>
      </w:pPr>
      <w:r>
        <w:rPr>
          <w:b w:val="0"/>
          <w:i w:val="0"/>
          <w:color w:val="2E2E3A"/>
          <w:sz w:val="19"/>
        </w:rPr>
        <w:t xml:space="preserve">Built IaC automation frameworks using </w:t>
      </w:r>
      <w:r>
        <w:rPr>
          <w:b/>
          <w:i w:val="0"/>
          <w:color w:val="1A1A2E"/>
          <w:sz w:val="19"/>
        </w:rPr>
        <w:t>Terraform, Ansible, and Jenkins</w:t>
      </w:r>
      <w:r>
        <w:rPr>
          <w:b w:val="0"/>
          <w:i w:val="0"/>
          <w:color w:val="2E2E3A"/>
          <w:sz w:val="19"/>
        </w:rPr>
        <w:t xml:space="preserve"> — streamlining provisioning, deployment pipelines, and configuration management</w:t>
      </w:r>
    </w:p>
    <w:p>
      <w:pPr>
        <w:pStyle w:val="ListBullet"/>
        <w:spacing w:before="0" w:after="40"/>
        <w:ind w:left="283"/>
      </w:pPr>
      <w:r>
        <w:rPr>
          <w:color w:val="2E2E3A"/>
          <w:sz w:val="18"/>
        </w:rPr>
        <w:t>Established cloud governance, security, and compliance standards; collaborated with DevOps, security, and business stakeholders to align cloud strategy with organisational goals</w:t>
      </w:r>
    </w:p>
    <w:p>
      <w:pPr>
        <w:spacing w:before="140" w:after="60"/>
      </w:pPr>
      <w:r>
        <w:rPr>
          <w:b/>
          <w:i w:val="0"/>
          <w:color w:val="5A6170"/>
          <w:sz w:val="17"/>
          <w:u w:val="none"/>
        </w:rPr>
        <w:t>Earlier Career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7370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 xml:space="preserve">Senior Software Engineer — Oracle India Pvt. Ltd.  </w:t>
            </w:r>
            <w:r>
              <w:rPr>
                <w:color w:val="5A6170"/>
                <w:sz w:val="17"/>
              </w:rPr>
              <w:t>Led Cloud Central team for SaaS Fusion post-provision assessments</w:t>
            </w:r>
          </w:p>
        </w:tc>
        <w:tc>
          <w:tcPr>
            <w:tcW w:type="dxa" w:w="2268"/>
          </w:tcPr>
          <w:p>
            <w:pPr>
              <w:spacing w:before="40" w:after="40"/>
              <w:jc w:val="right"/>
            </w:pPr>
            <w:r>
              <w:rPr>
                <w:color w:val="5A6170"/>
                <w:sz w:val="17"/>
              </w:rPr>
              <w:t>Jul 2015 – May 2018</w:t>
            </w:r>
          </w:p>
        </w:tc>
      </w:tr>
      <w:tr>
        <w:tc>
          <w:tcPr>
            <w:tcW w:type="dxa" w:w="7370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 xml:space="preserve">Cloud Engineer — Citrix R&amp;D India  </w:t>
            </w:r>
            <w:r>
              <w:rPr>
                <w:color w:val="5A6170"/>
                <w:sz w:val="17"/>
              </w:rPr>
              <w:t>End-to-end Citrix Cloud / XenServer, XenApp, XenDesktop, NetScaler deployments</w:t>
            </w:r>
          </w:p>
        </w:tc>
        <w:tc>
          <w:tcPr>
            <w:tcW w:type="dxa" w:w="2268"/>
          </w:tcPr>
          <w:p>
            <w:pPr>
              <w:spacing w:before="40" w:after="40"/>
              <w:jc w:val="right"/>
            </w:pPr>
            <w:r>
              <w:rPr>
                <w:color w:val="5A6170"/>
                <w:sz w:val="17"/>
              </w:rPr>
              <w:t>Jun 2013 – Jul 2015</w:t>
            </w:r>
          </w:p>
        </w:tc>
      </w:tr>
      <w:tr>
        <w:tc>
          <w:tcPr>
            <w:tcW w:type="dxa" w:w="7370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 xml:space="preserve">System Engineer — CSS Corp  </w:t>
            </w:r>
            <w:r>
              <w:rPr>
                <w:color w:val="5A6170"/>
                <w:sz w:val="17"/>
              </w:rPr>
              <w:t>Global Red Hat / XEN / VMware server administration for Blackboard clients</w:t>
            </w:r>
          </w:p>
        </w:tc>
        <w:tc>
          <w:tcPr>
            <w:tcW w:type="dxa" w:w="2268"/>
          </w:tcPr>
          <w:p>
            <w:pPr>
              <w:spacing w:before="40" w:after="40"/>
              <w:jc w:val="right"/>
            </w:pPr>
            <w:r>
              <w:rPr>
                <w:color w:val="5A6170"/>
                <w:sz w:val="17"/>
              </w:rPr>
              <w:t>Jun 2011 – Jun 2013</w:t>
            </w:r>
          </w:p>
        </w:tc>
      </w:tr>
      <w:tr>
        <w:tc>
          <w:tcPr>
            <w:tcW w:type="dxa" w:w="7370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 xml:space="preserve">Software Engineer (Contract) — Wipro Technologies  </w:t>
            </w:r>
            <w:r>
              <w:rPr>
                <w:color w:val="5A6170"/>
                <w:sz w:val="17"/>
              </w:rPr>
              <w:t>UNIX batch operations, HPSM/HPOM automation, production support</w:t>
            </w:r>
          </w:p>
        </w:tc>
        <w:tc>
          <w:tcPr>
            <w:tcW w:type="dxa" w:w="2268"/>
          </w:tcPr>
          <w:p>
            <w:pPr>
              <w:spacing w:before="40" w:after="40"/>
              <w:jc w:val="right"/>
            </w:pPr>
            <w:r>
              <w:rPr>
                <w:color w:val="5A6170"/>
                <w:sz w:val="17"/>
              </w:rPr>
              <w:t>Sep 2010 – Jun 2011</w:t>
            </w:r>
          </w:p>
        </w:tc>
      </w:tr>
    </w:tbl>
    <w:p>
      <w:pPr>
        <w:spacing w:after="40"/>
      </w:pPr>
    </w:p>
    <w:p>
      <w:pPr>
        <w:spacing w:before="160" w:after="80"/>
        <w:pBdr>
          <w:bottom w:val="single" w:sz="6" w:space="2" w:color="2E75B6"/>
        </w:pBdr>
      </w:pPr>
      <w:r>
        <w:rPr>
          <w:b/>
          <w:color w:val="2E75B6"/>
          <w:sz w:val="18"/>
        </w:rPr>
        <w:t>KEY PROJECTS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4989"/>
            <w:shd w:val="clear" w:color="auto" w:fill="EBF3FB"/>
          </w:tcPr>
          <w:p>
            <w:pPr>
              <w:spacing w:before="80" w:after="20"/>
              <w:ind w:left="113"/>
            </w:pPr>
            <w:r>
              <w:rPr>
                <w:b/>
                <w:color w:val="1A1A2E"/>
                <w:sz w:val="18"/>
              </w:rPr>
              <w:t>Petabyte-Scale Azure-to-GCP Lakehouse Migration</w:t>
            </w:r>
          </w:p>
          <w:p>
            <w:pPr>
              <w:spacing w:before="0" w:after="80"/>
              <w:ind w:left="113"/>
            </w:pPr>
            <w:r>
              <w:rPr>
                <w:color w:val="2E2E3A"/>
                <w:sz w:val="16"/>
              </w:rPr>
              <w:t>70+ TB zero-downtime migration for a global retail enterprise with full Unity Catalog governance and six-step automated Asset Migrator &amp; Validator framework.</w:t>
            </w:r>
          </w:p>
        </w:tc>
        <w:tc>
          <w:tcPr>
            <w:tcW w:type="dxa" w:w="4989"/>
            <w:shd w:val="clear" w:color="auto" w:fill="EBF3FB"/>
          </w:tcPr>
          <w:p>
            <w:pPr>
              <w:spacing w:before="80" w:after="20"/>
              <w:ind w:left="113"/>
            </w:pPr>
            <w:r>
              <w:rPr>
                <w:b/>
                <w:color w:val="1A1A2E"/>
                <w:sz w:val="18"/>
              </w:rPr>
              <w:t>GenAI RAG AI Bot Space on Databricks Apps</w:t>
            </w:r>
          </w:p>
          <w:p>
            <w:pPr>
              <w:spacing w:before="0" w:after="80"/>
              <w:ind w:left="113"/>
            </w:pPr>
            <w:r>
              <w:rPr>
                <w:color w:val="2E2E3A"/>
                <w:sz w:val="16"/>
              </w:rPr>
              <w:t>Enterprise AI Bot Space using RAG, Unity Catalog-managed models, and MLflow for secure, governed GenAI workflows at scale.</w:t>
            </w:r>
          </w:p>
        </w:tc>
      </w:tr>
      <w:tr>
        <w:tc>
          <w:tcPr>
            <w:tcW w:type="dxa" w:w="4989"/>
            <w:shd w:val="clear" w:color="auto" w:fill="EBF3FB"/>
          </w:tcPr>
          <w:p>
            <w:pPr>
              <w:spacing w:before="80" w:after="20"/>
              <w:ind w:left="113"/>
            </w:pPr>
            <w:r>
              <w:rPr>
                <w:b/>
                <w:color w:val="1A1A2E"/>
                <w:sz w:val="18"/>
              </w:rPr>
              <w:t>Delta Live Tables + dbt Enterprise Pipeline</w:t>
            </w:r>
          </w:p>
          <w:p>
            <w:pPr>
              <w:spacing w:before="0" w:after="80"/>
              <w:ind w:left="113"/>
            </w:pPr>
            <w:r>
              <w:rPr>
                <w:color w:val="2E2E3A"/>
                <w:sz w:val="16"/>
              </w:rPr>
              <w:t>Medallion architecture pipelines with data quality expectations and automated Databricks Workflows orchestration for enterprise ELT at scale.</w:t>
            </w:r>
          </w:p>
        </w:tc>
        <w:tc>
          <w:tcPr>
            <w:tcW w:type="dxa" w:w="4989"/>
            <w:shd w:val="clear" w:color="auto" w:fill="EBF3FB"/>
          </w:tcPr>
          <w:p>
            <w:pPr>
              <w:spacing w:before="80" w:after="20"/>
              <w:ind w:left="113"/>
            </w:pPr>
            <w:r>
              <w:rPr>
                <w:b/>
                <w:color w:val="1A1A2E"/>
                <w:sz w:val="18"/>
              </w:rPr>
              <w:t>Databricks Platform Cost Optimisation</w:t>
            </w:r>
          </w:p>
          <w:p>
            <w:pPr>
              <w:spacing w:before="0" w:after="80"/>
              <w:ind w:left="113"/>
            </w:pPr>
            <w:r>
              <w:rPr>
                <w:color w:val="2E2E3A"/>
                <w:sz w:val="16"/>
              </w:rPr>
              <w:t>System-tables observability — DBU tracking, cluster utilisation analysis, and autoscaling policies delivering measurable spend reduction.</w:t>
            </w:r>
          </w:p>
        </w:tc>
      </w:tr>
      <w:tr>
        <w:tc>
          <w:tcPr>
            <w:tcW w:type="dxa" w:w="4989"/>
            <w:shd w:val="clear" w:color="auto" w:fill="EBF3FB"/>
          </w:tcPr>
          <w:p>
            <w:pPr>
              <w:spacing w:before="80" w:after="20"/>
              <w:ind w:left="113"/>
            </w:pPr>
            <w:r>
              <w:rPr>
                <w:b/>
                <w:color w:val="1A1A2E"/>
                <w:sz w:val="18"/>
              </w:rPr>
              <w:t>Amazon Bedrock + Databricks Model Serving</w:t>
            </w:r>
          </w:p>
          <w:p>
            <w:pPr>
              <w:spacing w:before="0" w:after="80"/>
              <w:ind w:left="113"/>
            </w:pPr>
            <w:r>
              <w:rPr>
                <w:color w:val="2E2E3A"/>
                <w:sz w:val="16"/>
              </w:rPr>
              <w:t>Integration between Bedrock foundation models and Databricks Model Serving endpoints, demonstrated at Nasdaq AWS Community.</w:t>
            </w:r>
          </w:p>
        </w:tc>
        <w:tc>
          <w:tcPr>
            <w:tcW w:type="dxa" w:w="4989"/>
            <w:shd w:val="clear" w:color="auto" w:fill="EBF3FB"/>
          </w:tcPr>
          <w:p>
            <w:pPr>
              <w:spacing w:before="80" w:after="20"/>
              <w:ind w:left="113"/>
            </w:pPr>
            <w:r>
              <w:rPr>
                <w:b/>
                <w:color w:val="1A1A2E"/>
                <w:sz w:val="18"/>
              </w:rPr>
              <w:t>Multi-Cloud IaC Automation Framework</w:t>
            </w:r>
          </w:p>
          <w:p>
            <w:pPr>
              <w:spacing w:before="0" w:after="80"/>
              <w:ind w:left="113"/>
            </w:pPr>
            <w:r>
              <w:rPr>
                <w:color w:val="2E2E3A"/>
                <w:sz w:val="16"/>
              </w:rPr>
              <w:t>Terraform, Ansible &amp; Jenkins-based automation across Azure, AWS, VMware — provisioning, CI/CD pipelines, and cloud governance at NTT Data.</w:t>
            </w:r>
          </w:p>
        </w:tc>
      </w:tr>
      <w:tr>
        <w:tc>
          <w:tcPr>
            <w:tcW w:type="dxa" w:w="4989"/>
            <w:shd w:val="clear" w:color="auto" w:fill="EBF3FB"/>
          </w:tcPr>
          <w:p>
            <w:pPr>
              <w:spacing w:before="80" w:after="20"/>
              <w:ind w:left="113"/>
            </w:pPr>
            <w:r>
              <w:rPr>
                <w:b/>
                <w:color w:val="1A1A2E"/>
                <w:sz w:val="18"/>
              </w:rPr>
              <w:t>Unity Catalog Governance Framework</w:t>
            </w:r>
          </w:p>
          <w:p>
            <w:pPr>
              <w:spacing w:before="0" w:after="80"/>
              <w:ind w:left="113"/>
            </w:pPr>
            <w:r>
              <w:rPr>
                <w:color w:val="2E2E3A"/>
                <w:sz w:val="16"/>
              </w:rPr>
              <w:t>Enterprise UC — three-level namespace, fine-grained access controls, row/column-level security, data lineage, and audit logging across multi-workspace deployments.</w:t>
            </w:r>
          </w:p>
        </w:tc>
        <w:tc>
          <w:tcPr>
            <w:tcW w:type="dxa" w:w="4989"/>
            <w:shd w:val="clear" w:color="auto" w:fill="EBF3FB"/>
          </w:tcPr>
          <w:p>
            <w:pPr>
              <w:spacing w:before="80" w:after="20"/>
              <w:ind w:left="113"/>
            </w:pPr>
            <w:r>
              <w:rPr>
                <w:b/>
                <w:color w:val="1A1A2E"/>
                <w:sz w:val="18"/>
              </w:rPr>
              <w:t>Structured Streaming Real-Time Pipeline</w:t>
            </w:r>
          </w:p>
          <w:p>
            <w:pPr>
              <w:spacing w:before="0" w:after="80"/>
              <w:ind w:left="113"/>
            </w:pPr>
            <w:r>
              <w:rPr>
                <w:color w:val="2E2E3A"/>
                <w:sz w:val="16"/>
              </w:rPr>
              <w:t>High-throughput event ingestion using Structured Streaming &amp; Auto Loader — exactly-once semantics, schema evolution, and Delta Lake as sink.</w:t>
            </w:r>
          </w:p>
        </w:tc>
      </w:tr>
      <w:tr>
        <w:tc>
          <w:tcPr>
            <w:tcW w:type="dxa" w:w="4989"/>
            <w:shd w:val="clear" w:color="auto" w:fill="EBF3FB"/>
          </w:tcPr>
          <w:p>
            <w:pPr>
              <w:spacing w:before="80" w:after="20"/>
              <w:ind w:left="113"/>
            </w:pPr>
            <w:r>
              <w:rPr>
                <w:b/>
                <w:color w:val="1A1A2E"/>
                <w:sz w:val="18"/>
              </w:rPr>
              <w:t>DAB CI/CD Deployment Framework</w:t>
            </w:r>
          </w:p>
          <w:p>
            <w:pPr>
              <w:spacing w:before="0" w:after="80"/>
              <w:ind w:left="113"/>
            </w:pPr>
            <w:r>
              <w:rPr>
                <w:color w:val="2E2E3A"/>
                <w:sz w:val="16"/>
              </w:rPr>
              <w:t>Databricks Asset Bundle CI/CD best practices — automated workspace deployment, environment promotion, and version-controlled Jobs, pipelines, and clusters.</w:t>
            </w:r>
          </w:p>
        </w:tc>
        <w:tc>
          <w:tcPr>
            <w:tcW w:type="dxa" w:w="4989"/>
            <w:shd w:val="clear" w:color="auto" w:fill="EBF3FB"/>
          </w:tcPr>
          <w:p>
            <w:pPr>
              <w:spacing w:before="80" w:after="20"/>
              <w:ind w:left="113"/>
            </w:pPr>
            <w:r>
              <w:rPr>
                <w:b/>
                <w:color w:val="1A1A2E"/>
                <w:sz w:val="18"/>
              </w:rPr>
              <w:t>Databricks Security &amp; Access Control</w:t>
            </w:r>
          </w:p>
          <w:p>
            <w:pPr>
              <w:spacing w:before="0" w:after="80"/>
              <w:ind w:left="113"/>
            </w:pPr>
            <w:r>
              <w:rPr>
                <w:color w:val="2E2E3A"/>
                <w:sz w:val="16"/>
              </w:rPr>
              <w:t>Enterprise-grade security — cluster encryption, Unity Catalog row/column-level security, secret management, and compliance policy enforcement across workspaces.</w:t>
            </w:r>
          </w:p>
        </w:tc>
      </w:tr>
    </w:tbl>
    <w:p>
      <w:pPr>
        <w:spacing w:after="40"/>
      </w:pPr>
    </w:p>
    <w:p>
      <w:pPr>
        <w:spacing w:before="160" w:after="80"/>
        <w:pBdr>
          <w:bottom w:val="single" w:sz="6" w:space="2" w:color="2E75B6"/>
        </w:pBdr>
      </w:pPr>
      <w:r>
        <w:rPr>
          <w:b/>
          <w:color w:val="2E75B6"/>
          <w:sz w:val="18"/>
        </w:rPr>
        <w:t>TECHNICAL SKILLS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2551"/>
          </w:tcPr>
          <w:p>
            <w:pPr>
              <w:spacing w:before="40" w:after="40"/>
            </w:pPr>
            <w:r>
              <w:rPr>
                <w:b/>
                <w:color w:val="1F4E79"/>
                <w:sz w:val="18"/>
              </w:rPr>
              <w:t>Databricks &amp; AI/ML</w:t>
            </w:r>
          </w:p>
        </w:tc>
        <w:tc>
          <w:tcPr>
            <w:tcW w:type="dxa" w:w="7654"/>
          </w:tcPr>
          <w:p>
            <w:pPr>
              <w:spacing w:before="40" w:after="40"/>
            </w:pPr>
            <w:r>
              <w:rPr>
                <w:color w:val="2E2E3A"/>
                <w:sz w:val="18"/>
              </w:rPr>
              <w:t>Databricks Lakehouse · Unity Catalog · Delta Live Tables · LakeFlow · Genie AI/BI · AgentBrick · RAG/GenAI · MLflow · Model Serving · Auto Loader · Structured Streaming · Databricks Apps · Asset Bundles · Delta Lake · dbt · PySpark · Databricks SQL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</w:pPr>
            <w:r>
              <w:rPr>
                <w:b/>
                <w:color w:val="1F4E79"/>
                <w:sz w:val="18"/>
              </w:rPr>
              <w:t>Microsoft Azure</w:t>
            </w:r>
          </w:p>
        </w:tc>
        <w:tc>
          <w:tcPr>
            <w:tcW w:type="dxa" w:w="7654"/>
          </w:tcPr>
          <w:p>
            <w:pPr>
              <w:spacing w:before="40" w:after="40"/>
            </w:pPr>
            <w:r>
              <w:rPr>
                <w:color w:val="2E2E3A"/>
                <w:sz w:val="18"/>
              </w:rPr>
              <w:t>Azure Databricks · ADLS Gen2 · Azure Event Hubs · Azure Key Vault · Azure Active Directory · Azure DevOps · Azure Monitor · ARM Templates · AKS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</w:pPr>
            <w:r>
              <w:rPr>
                <w:b/>
                <w:color w:val="1F4E79"/>
                <w:sz w:val="18"/>
              </w:rPr>
              <w:t>Amazon Web Services</w:t>
            </w:r>
          </w:p>
        </w:tc>
        <w:tc>
          <w:tcPr>
            <w:tcW w:type="dxa" w:w="7654"/>
          </w:tcPr>
          <w:p>
            <w:pPr>
              <w:spacing w:before="40" w:after="40"/>
            </w:pPr>
            <w:r>
              <w:rPr>
                <w:color w:val="2E2E3A"/>
                <w:sz w:val="18"/>
              </w:rPr>
              <w:t>AWS Databricks · Amazon S3 / EC2 / EMR · Amazon Bedrock · AWS IAM · Amazon Kinesis · AWS CloudFormation · AWS Community Builder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</w:pPr>
            <w:r>
              <w:rPr>
                <w:b/>
                <w:color w:val="1F4E79"/>
                <w:sz w:val="18"/>
              </w:rPr>
              <w:t>Google Cloud Platform</w:t>
            </w:r>
          </w:p>
        </w:tc>
        <w:tc>
          <w:tcPr>
            <w:tcW w:type="dxa" w:w="7654"/>
          </w:tcPr>
          <w:p>
            <w:pPr>
              <w:spacing w:before="40" w:after="40"/>
            </w:pPr>
            <w:r>
              <w:rPr>
                <w:color w:val="2E2E3A"/>
                <w:sz w:val="18"/>
              </w:rPr>
              <w:t>GCP Databricks · Google Cloud Storage · BigQuery · GCP IAM · Cloud Composer · GCP VPC / Networking · Terraform on GCP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</w:pPr>
            <w:r>
              <w:rPr>
                <w:b/>
                <w:color w:val="1F4E79"/>
                <w:sz w:val="18"/>
              </w:rPr>
              <w:t>DevOps &amp; Containers</w:t>
            </w:r>
          </w:p>
        </w:tc>
        <w:tc>
          <w:tcPr>
            <w:tcW w:type="dxa" w:w="7654"/>
          </w:tcPr>
          <w:p>
            <w:pPr>
              <w:spacing w:before="40" w:after="40"/>
            </w:pPr>
            <w:r>
              <w:rPr>
                <w:color w:val="2E2E3A"/>
                <w:sz w:val="18"/>
              </w:rPr>
              <w:t>Docker · Kubernetes · CI/CD · Azure DevOps · Jenkins · Ansible · Maven · Terraform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</w:pPr>
            <w:r>
              <w:rPr>
                <w:b/>
                <w:color w:val="1F4E79"/>
                <w:sz w:val="18"/>
              </w:rPr>
              <w:t>Monitoring &amp; Programming</w:t>
            </w:r>
          </w:p>
        </w:tc>
        <w:tc>
          <w:tcPr>
            <w:tcW w:type="dxa" w:w="7654"/>
          </w:tcPr>
          <w:p>
            <w:pPr>
              <w:spacing w:before="40" w:after="40"/>
            </w:pPr>
            <w:r>
              <w:rPr>
                <w:color w:val="2E2E3A"/>
                <w:sz w:val="18"/>
              </w:rPr>
              <w:t>Grafana · Prometheus · ELK Stack · SolarWinds · Python · SQL / Spark SQL · Bash · PowerShell</w:t>
            </w:r>
          </w:p>
        </w:tc>
      </w:tr>
    </w:tbl>
    <w:p>
      <w:pPr>
        <w:spacing w:after="40"/>
      </w:pPr>
    </w:p>
    <w:p>
      <w:pPr>
        <w:spacing w:before="160" w:after="80"/>
        <w:pBdr>
          <w:bottom w:val="single" w:sz="6" w:space="2" w:color="2E75B6"/>
        </w:pBdr>
      </w:pPr>
      <w:r>
        <w:rPr>
          <w:b/>
          <w:color w:val="2E75B6"/>
          <w:sz w:val="18"/>
        </w:rPr>
        <w:t>CERTIFICATIONS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  <w:color w:val="1F4E79"/>
                <w:sz w:val="18"/>
              </w:rPr>
              <w:t>Databricks</w:t>
            </w:r>
          </w:p>
        </w:tc>
        <w:tc>
          <w:tcPr>
            <w:tcW w:type="dxa" w:w="7937"/>
          </w:tcPr>
          <w:p>
            <w:pPr>
              <w:spacing w:before="40" w:after="40"/>
            </w:pPr>
            <w:r>
              <w:rPr>
                <w:color w:val="2E2E3A"/>
                <w:sz w:val="18"/>
              </w:rPr>
              <w:t>Data Engineering Associate · Platform Administrator · Generative AI Fundamentals · Lakehouse Fundamentals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  <w:color w:val="1F4E79"/>
                <w:sz w:val="18"/>
              </w:rPr>
              <w:t>Microsoft Azure</w:t>
            </w:r>
          </w:p>
        </w:tc>
        <w:tc>
          <w:tcPr>
            <w:tcW w:type="dxa" w:w="7937"/>
          </w:tcPr>
          <w:p>
            <w:pPr>
              <w:spacing w:before="40" w:after="40"/>
            </w:pPr>
            <w:r>
              <w:rPr>
                <w:color w:val="2E2E3A"/>
                <w:sz w:val="18"/>
              </w:rPr>
              <w:t>Solutions Architect Expert · DevOps Engineer Expert · Administrator Associate · Identity &amp; Access Administrator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  <w:color w:val="1F4E79"/>
                <w:sz w:val="18"/>
              </w:rPr>
              <w:t>Amazon Web Services</w:t>
            </w:r>
          </w:p>
        </w:tc>
        <w:tc>
          <w:tcPr>
            <w:tcW w:type="dxa" w:w="7937"/>
          </w:tcPr>
          <w:p>
            <w:pPr>
              <w:spacing w:before="40" w:after="40"/>
            </w:pPr>
            <w:r>
              <w:rPr>
                <w:color w:val="2E2E3A"/>
                <w:sz w:val="18"/>
              </w:rPr>
              <w:t>Solutions Architect Professional · Solutions Architect Associate · AWS Community Builder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  <w:color w:val="1F4E79"/>
                <w:sz w:val="18"/>
              </w:rPr>
              <w:t>Oracle</w:t>
            </w:r>
          </w:p>
        </w:tc>
        <w:tc>
          <w:tcPr>
            <w:tcW w:type="dxa" w:w="7937"/>
          </w:tcPr>
          <w:p>
            <w:pPr>
              <w:spacing w:before="40" w:after="40"/>
            </w:pPr>
            <w:r>
              <w:rPr>
                <w:color w:val="2E2E3A"/>
                <w:sz w:val="18"/>
              </w:rPr>
              <w:t>VM 3.0 Implementation Specialist · Cloud Infrastructure Classic Associate Architect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  <w:color w:val="1F4E79"/>
                <w:sz w:val="18"/>
              </w:rPr>
              <w:t>Others</w:t>
            </w:r>
          </w:p>
        </w:tc>
        <w:tc>
          <w:tcPr>
            <w:tcW w:type="dxa" w:w="7937"/>
          </w:tcPr>
          <w:p>
            <w:pPr>
              <w:spacing w:before="40" w:after="40"/>
            </w:pPr>
            <w:r>
              <w:rPr>
                <w:color w:val="2E2E3A"/>
                <w:sz w:val="18"/>
              </w:rPr>
              <w:t>Red Hat Certified Engineer (RHCE) · VMware VCP-DCV · Citrix XenServer Administration · ITIL V3</w:t>
            </w:r>
          </w:p>
        </w:tc>
      </w:tr>
    </w:tbl>
    <w:p>
      <w:pPr>
        <w:spacing w:after="40"/>
      </w:pPr>
    </w:p>
    <w:p>
      <w:pPr>
        <w:spacing w:before="160" w:after="80"/>
        <w:pBdr>
          <w:bottom w:val="single" w:sz="6" w:space="2" w:color="2E75B6"/>
        </w:pBdr>
      </w:pPr>
      <w:r>
        <w:rPr>
          <w:b/>
          <w:color w:val="2E75B6"/>
          <w:sz w:val="18"/>
        </w:rPr>
        <w:t>EDUCATION</w:t>
      </w:r>
    </w:p>
    <w:p>
      <w:pPr>
        <w:spacing w:before="0" w:after="60"/>
      </w:pPr>
      <w:r>
        <w:rPr>
          <w:b/>
          <w:i w:val="0"/>
          <w:color w:val="1A1A2E"/>
          <w:sz w:val="20"/>
        </w:rPr>
        <w:t>Bachelor of Technology — Electronics &amp; Communication Engineering</w:t>
      </w:r>
      <w:r>
        <w:rPr>
          <w:b w:val="0"/>
          <w:i w:val="0"/>
          <w:color w:val="2E75B6"/>
          <w:sz w:val="19"/>
        </w:rPr>
        <w:t xml:space="preserve">   |   Pondicherry University</w:t>
      </w:r>
      <w:r>
        <w:rPr>
          <w:b w:val="0"/>
          <w:i w:val="0"/>
          <w:color w:val="5A6170"/>
          <w:sz w:val="18"/>
        </w:rPr>
        <w:t xml:space="preserve">   |   2004 – 2007   ·   Pondicherry, India</w:t>
      </w:r>
    </w:p>
    <w:p>
      <w:pPr>
        <w:spacing w:before="160" w:after="80"/>
        <w:pBdr>
          <w:bottom w:val="single" w:sz="6" w:space="2" w:color="2E75B6"/>
        </w:pBdr>
      </w:pPr>
      <w:r>
        <w:rPr>
          <w:b/>
          <w:color w:val="2E75B6"/>
          <w:sz w:val="18"/>
        </w:rPr>
        <w:t>SPEAKING &amp; COMMUNITY</w:t>
      </w:r>
    </w:p>
    <w:p>
      <w:pPr>
        <w:pStyle w:val="ListBullet"/>
        <w:spacing w:before="0" w:after="40"/>
        <w:ind w:left="283"/>
      </w:pPr>
      <w:r>
        <w:rPr>
          <w:b/>
          <w:color w:val="1A1A2E"/>
          <w:sz w:val="18"/>
        </w:rPr>
        <w:t>Founder &amp; Lead</w:t>
      </w:r>
      <w:r>
        <w:rPr>
          <w:color w:val="2E2E3A"/>
          <w:sz w:val="18"/>
        </w:rPr>
        <w:t xml:space="preserve"> — Databricks User Group India (India's largest; 6 cities: Bangalore, Hyderabad, Pune, Coimbatore, Kolkata, Chennai)</w:t>
      </w:r>
    </w:p>
    <w:p>
      <w:pPr>
        <w:pStyle w:val="ListBullet"/>
        <w:spacing w:before="0" w:after="40"/>
        <w:ind w:left="283"/>
      </w:pPr>
      <w:r>
        <w:rPr>
          <w:b/>
          <w:color w:val="1A1A2E"/>
          <w:sz w:val="18"/>
        </w:rPr>
        <w:t>Creator</w:t>
      </w:r>
      <w:r>
        <w:rPr>
          <w:color w:val="2E2E3A"/>
          <w:sz w:val="18"/>
        </w:rPr>
        <w:t xml:space="preserve"> — #LearnWithAbi (Databricks &amp; GenAI content on LinkedIn, Medium, GitHub)</w:t>
      </w:r>
    </w:p>
    <w:p>
      <w:pPr>
        <w:pStyle w:val="ListBullet"/>
        <w:spacing w:before="0" w:after="40"/>
        <w:ind w:left="283"/>
      </w:pPr>
      <w:r>
        <w:rPr>
          <w:b/>
          <w:color w:val="1A1A2E"/>
          <w:sz w:val="18"/>
        </w:rPr>
        <w:t>Speaker</w:t>
      </w:r>
      <w:r>
        <w:rPr>
          <w:color w:val="2E2E3A"/>
          <w:sz w:val="18"/>
        </w:rPr>
        <w:t xml:space="preserve"> — Databricks DATA+AI Summit Recap: Databricks &amp; Apache Iceberg</w:t>
      </w:r>
    </w:p>
    <w:p>
      <w:pPr>
        <w:pStyle w:val="ListBullet"/>
        <w:spacing w:before="0" w:after="40"/>
        <w:ind w:left="283"/>
      </w:pPr>
      <w:r>
        <w:rPr>
          <w:b/>
          <w:color w:val="1A1A2E"/>
          <w:sz w:val="18"/>
        </w:rPr>
        <w:t>Speaker</w:t>
      </w:r>
      <w:r>
        <w:rPr>
          <w:color w:val="2E2E3A"/>
          <w:sz w:val="18"/>
        </w:rPr>
        <w:t xml:space="preserve"> — 9th World ML Summit, Bengaluru: "Unlocking MLOps Potential"</w:t>
      </w:r>
    </w:p>
    <w:p>
      <w:pPr>
        <w:pStyle w:val="ListBullet"/>
        <w:spacing w:before="0" w:after="40"/>
        <w:ind w:left="283"/>
      </w:pPr>
      <w:r>
        <w:rPr>
          <w:b/>
          <w:color w:val="1A1A2E"/>
          <w:sz w:val="18"/>
        </w:rPr>
        <w:t>Speaker</w:t>
      </w:r>
      <w:r>
        <w:rPr>
          <w:color w:val="2E2E3A"/>
          <w:sz w:val="18"/>
        </w:rPr>
        <w:t xml:space="preserve"> — ServerlessDays Bengaluru: Databricks Serverless SQL</w:t>
      </w:r>
    </w:p>
    <w:p>
      <w:pPr>
        <w:pStyle w:val="ListBullet"/>
        <w:spacing w:before="0" w:after="40"/>
        <w:ind w:left="283"/>
      </w:pPr>
      <w:r>
        <w:rPr>
          <w:b/>
          <w:color w:val="1A1A2E"/>
          <w:sz w:val="18"/>
        </w:rPr>
        <w:t>Speaker</w:t>
      </w:r>
      <w:r>
        <w:rPr>
          <w:color w:val="2E2E3A"/>
          <w:sz w:val="18"/>
        </w:rPr>
        <w:t xml:space="preserve"> — TechXConf 2024, Asia's largest AI &amp; cloud conference</w:t>
      </w:r>
    </w:p>
    <w:p>
      <w:pPr>
        <w:pStyle w:val="ListBullet"/>
        <w:spacing w:before="0" w:after="40"/>
        <w:ind w:left="283"/>
      </w:pPr>
      <w:r>
        <w:rPr>
          <w:b/>
          <w:color w:val="1A1A2E"/>
          <w:sz w:val="18"/>
        </w:rPr>
        <w:t>Session</w:t>
      </w:r>
      <w:r>
        <w:rPr>
          <w:color w:val="2E2E3A"/>
          <w:sz w:val="18"/>
        </w:rPr>
        <w:t xml:space="preserve"> — Nasdaq AWS Community: Amazon Bedrock + Databricks Model Serving</w:t>
      </w:r>
    </w:p>
    <w:p>
      <w:pPr>
        <w:pStyle w:val="ListBullet"/>
        <w:spacing w:before="0" w:after="40"/>
        <w:ind w:left="283"/>
      </w:pPr>
      <w:r>
        <w:rPr>
          <w:b/>
          <w:color w:val="1A1A2E"/>
          <w:sz w:val="18"/>
        </w:rPr>
        <w:t>Led</w:t>
      </w:r>
      <w:r>
        <w:rPr>
          <w:color w:val="2E2E3A"/>
          <w:sz w:val="18"/>
        </w:rPr>
        <w:t xml:space="preserve"> — "Mastering Generative AI" session on building &amp; serving models with Databricks</w:t>
      </w:r>
    </w:p>
    <w:p>
      <w:pPr>
        <w:pStyle w:val="ListBullet"/>
        <w:spacing w:before="0" w:after="40"/>
        <w:ind w:left="283"/>
      </w:pPr>
      <w:r>
        <w:rPr>
          <w:b/>
          <w:color w:val="1A1A2E"/>
          <w:sz w:val="18"/>
        </w:rPr>
        <w:t>Workshops</w:t>
      </w:r>
      <w:r>
        <w:rPr>
          <w:color w:val="2E2E3A"/>
          <w:sz w:val="18"/>
        </w:rPr>
        <w:t xml:space="preserve"> — PSG Tech Coimbatore, Adamas University Kolkata &amp; MITS on Databricks GenAI &amp; data pipelines</w:t>
      </w:r>
    </w:p>
    <w:p>
      <w:pPr>
        <w:pStyle w:val="ListBullet"/>
        <w:spacing w:before="0" w:after="40"/>
        <w:ind w:left="283"/>
      </w:pPr>
      <w:r>
        <w:rPr>
          <w:b/>
          <w:color w:val="1A1A2E"/>
          <w:sz w:val="18"/>
        </w:rPr>
        <w:t>Nominated</w:t>
      </w:r>
      <w:r>
        <w:rPr>
          <w:color w:val="2E2E3A"/>
          <w:sz w:val="18"/>
        </w:rPr>
        <w:t xml:space="preserve"> — Topmate Creator Awards 2024, Extraordinaire Category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