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t xml:space="preserve">23 de febrero de 2023</w:t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Unidad 2: Introducción a la probabilidad</w:t>
      </w:r>
      <w:r>
        <w:rPr>
          <w:b/>
        </w:rPr>
      </w:r>
    </w:p>
    <w:p>
      <w:pPr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Si lo elementos involucrados son independientes, la ley de la multiplicación se simplifica: P(AnB)==P(A)P(B).</w:t>
      </w:r>
      <w:r>
        <w:rPr>
          <w:b w:val="0"/>
        </w:rPr>
      </w:r>
    </w:p>
    <w:p>
      <w:pPr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Si p(AnB)==P(A)P(B), entonces A y B son independientes; si P(AnB)!=P(A)P(B), entonces A y B son dependientes.</w:t>
      </w:r>
      <w:r>
        <w:rPr>
          <w:b w:val="0"/>
          <w:highlight w:val="none"/>
        </w:rPr>
      </w:r>
    </w:p>
    <w:p>
      <w:pPr>
        <w:jc w:val="both"/>
        <w:rPr>
          <w:b w:val="0"/>
          <w:i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i/>
          <w:highlight w:val="none"/>
        </w:rPr>
        <w:t xml:space="preserve">Ejemplo:</w:t>
      </w:r>
      <w:r>
        <w:rPr>
          <w:b w:val="0"/>
          <w:i/>
        </w:rPr>
      </w:r>
    </w:p>
    <w:p>
      <w:pPr>
        <w:jc w:val="both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Un gerente de estaciones de servicio sabe que el 80% de sus clientes usan tarjeta de crédito cuando compra gasolina. ¿Cuál es la probabilidad de que los siguientes dos clientes que compren gasolina (...)</w:t>
      </w:r>
      <w:r>
        <w:rPr>
          <w:b w:val="0"/>
          <w:i w:val="0"/>
        </w:rPr>
      </w:r>
    </w:p>
    <w:p>
      <w:pPr>
        <w:jc w:val="both"/>
        <w:rPr>
          <w:b w:val="0"/>
          <w:i w:val="0"/>
        </w:rPr>
      </w:pPr>
      <w:r>
        <w:rPr>
          <w:b w:val="0"/>
          <w:i w:val="0"/>
        </w:rPr>
      </w:r>
      <w:r>
        <w:rPr>
          <w:b w:val="0"/>
          <w:i w:val="0"/>
        </w:rPr>
      </w:r>
    </w:p>
    <w:p>
      <w:pPr>
        <w:jc w:val="both"/>
        <w:rPr>
          <w:b w:val="0"/>
          <w:i w:val="0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2023-02-23T18:48:32Z</dcterms:modified>
</cp:coreProperties>
</file>