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TATAHEER TRADERS (TAT)  ·  INFINITY CORP (INF)</w:t>
            </w:r>
          </w:p>
          <w:p>
            <w:pPr>
              <w:spacing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TET – ERP SYSTEM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0C8F0"/>
                <w:sz w:val="28"/>
                <w:szCs w:val="28"/>
              </w:rPr>
              <w:t xml:space="preserve">Architecture &amp; Formula Blueprint</w:t>
            </w:r>
          </w:p>
        </w:tc>
      </w:tr>
    </w:tbl>
    <w:p>
      <w:pPr>
        <w:spacing w:after="0" w:before="4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2026.1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Developer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CONFIDENTIAL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System Overview</w:t>
      </w:r>
    </w:p>
    <w:p>
      <w:pPr>
        <w:pBdr>
          <w:bottom w:val="single" w:color="2E5FA3" w:sz="6" w:space="1"/>
        </w:pBdr>
        <w:spacing w:after="160" w:before="16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TET-ERP is a full-stack, multi-company Enterprise Resource Planning system purpose-built for the corporate operations of Tataheer Traders and Infinity Corp. It provides real-time data isolation, double-entry ledger accounting, inventory management, client invoicing, and supply chain tracking — all in a single Progressive Web Application.</w:t>
      </w:r>
    </w:p>
    <w:p>
      <w:pPr>
        <w:spacing w:after="0" w:before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1.1  Technology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Frontend: React 18 (Vite), PWA-enabled with Service Worker cache-busting (__BUILD_TIME__ replacement)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Backend: Node.js + Express.js REST API (ES Modules)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Database: MongoDB Atlas via Mongoose ODM (strict: false flexible schemas)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Cloud Storage: Cloudinary (product images, 10 MB 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Authentication: Master Code + Role-based access (Admin / Employee / 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PDF Export: jsPDF + autoTable (client-side, no server processing)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Excel Export: SheetJS (client-side)</w:t>
      </w:r>
    </w:p>
    <w:p>
      <w:pPr>
        <w:spacing w:after="0" w:before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1.2  Multi-Company Configuration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Two isolated companies operate on the same platform. Each has its own invoice counter, wallets, and prefix settings: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100"/>
        <w:gridCol w:w="3560"/>
        <w:gridCol w:w="2200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Company ID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Invoice Start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TAT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Tataheer Traders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INV-201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426-Ali Arcade, 13-km Main Multan Road, Lahore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tataheertraders@gmail.com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INF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Infinity Corp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INV-180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101-Choudery Plaza, Royal Park, Lahore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infinity.crop512@gmail.com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Data isolation is enforced at the API layer: every document stores a companyId field. All queries use a txFilter = { companyId } filter before returning any results to the frontend.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Module Flow &amp; State Transitions</w:t>
      </w:r>
    </w:p>
    <w:p>
      <w:pPr>
        <w:pBdr>
          <w:bottom w:val="single" w:color="2E5FA3" w:sz="6" w:space="1"/>
        </w:pBdr>
        <w:spacing w:after="160" w:before="16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full sales and operations pipeline spans six interconnected document types. Each document has defined status states and automatically triggers the creation of the next document.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2.1  Full Sales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600"/>
        <w:gridCol w:w="4760"/>
      </w:tblGrid>
      <w:tr>
        <w:trPr>
          <w:tblHeader/>
        </w:trP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Statuses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Triggers Next</w:t>
            </w:r>
          </w:p>
        </w:tc>
      </w:tr>
      <w:t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Quotation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draft → sent → approved → expired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Convert to Invoice button</w:t>
            </w:r>
          </w:p>
        </w:tc>
      </w:tr>
      <w:t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draft → sent → partial → paid → cancelled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Payment recorded in DayBook</w:t>
            </w:r>
          </w:p>
        </w:tc>
      </w:tr>
      <w:t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Supply Order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pending → delivered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Confirm Purchase button</w:t>
            </w:r>
          </w:p>
        </w:tc>
      </w:tr>
      <w:t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received / partial / returned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Stock Movement IN auto-created</w:t>
            </w:r>
          </w:p>
        </w:tc>
      </w:tr>
      <w:t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Delivery Note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Reduces invoiced qty tracker on invoice</w:t>
            </w:r>
          </w:p>
        </w:tc>
      </w:tr>
      <w:t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DayBook entry (income)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Invoice.advancePaid updated → partial/paid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2.2  Quotation Schema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Collection: quotations  |  Prefix: QUO-001  |  Company-isolated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Auto-generated (QUO-001, QUO-002…)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clientName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Contact name (from Contacts module)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accountHeadID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Linked ledger account (e.g. CLI-001)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ISO date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Title printed on PDF header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items[]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Array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Line items: description, color, qty, unitPrice, useMatrix, matrixRows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taxRate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Selected rate (0, 5.5, 15, 18, or -1=custom)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subtotal / taxAmount / total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Computed on save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draft | sent | approved | expired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Printed at bottom of PDF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stealthPrint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Hides unit prices on PDF if true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companyId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TAT or INF — enforces data isolation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2.3  Invoice Schema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Collection: invoices  |  Prefix: INV-201+ (TAT), INV-180+ (INF)  |  Company-isolated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Auto-incremented per company, skip-taken logic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accountHeadID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Linked ledger account (e.g. CLI-001)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clientName / clientContact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Client details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date / dueDate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 and due dates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Title printed on PDF header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items[]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Array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Line items with qty, unitPrice, matrix support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subtotal / taxAmount / total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Computed fields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advancePaid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Cumulative payments received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− advancePaid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draft | sent | partial | paid | cancelled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Printed at bottom of invoice PDF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stealthPrint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Stealth mode hides unit prices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companyId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TAT or INF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2.4  Invoice Number Generation Logic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On every call to POST /api/next-invoice: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Read company.invoiceCounter from Singleton document in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While an Invoice with that number already exists → num++ (skip-taken logic)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Return the next safe, unused number to the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On confirmed save → bump company.invoiceCounter in the Singleton document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Startup repair also runs: enforces a minimum floor (TAT=201, INF=180) and scans existing invoices to find the actual highest number, preventing counter regression after data restoration.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Mathematical Formulas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3.1  Line Item Amount Formula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Each line item supports two qty modes: simple integer OR size/color matrix.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qty_i  =  if (useMatrix)  →  Σ [ Σ Object.values(row.sizes) ]  for each row in matrixRows</w:t>
            </w:r>
          </w:p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     =  else  →  parseInt(item.qty)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lineAmount_i  =  qty_i  ×  unitPrice_i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calcMatrixTotal(rows)  =  Σ rows → Σ Object.values(row.sizes)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3.2  Invoice &amp; Quotation Totals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8"/>
              <w:left w:val="single" w:color="1A7A3C" w:sz="8"/>
              <w:bottom w:val="single" w:color="1A7A3C" w:sz="8"/>
              <w:right w:val="single" w:color="1A7A3C" w:sz="8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effectiveTaxRate  =  (taxRate === -1)  ?  customTax  :  taxRate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subtotal    =  Σ ( qty_i  ×  unitPrice_i )   for all items i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taxAmount   =  subtotal  ×  effectiveTaxRate  ÷  100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1A7A3C"/>
                <w:sz w:val="20"/>
                <w:szCs w:val="20"/>
              </w:rPr>
              <w:t xml:space="preserve">total       =  subtotal  +  taxAmount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balance     =  total  −  advancePaid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3.3  Sales Profitability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8"/>
              <w:left w:val="single" w:color="C97B00" w:sz="8"/>
              <w:bottom w:val="single" w:color="C97B00" w:sz="8"/>
              <w:right w:val="single" w:color="C97B00" w:sz="8"/>
            </w:tcBorders>
            <w:shd w:fill="FFF8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subtotal    =  Σ ( qty_i  ×  salePrice_i )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totalCost   =  Σ ( qty_i  ×  costPrice_i )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taxAmount   =  subtotal  ×  taxRate  ÷  100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total       =  subtotal  +  taxAmount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C97B00"/>
                <w:sz w:val="20"/>
                <w:szCs w:val="20"/>
              </w:rPr>
              <w:t xml:space="preserve">profit      =  subtotal  −  totalCost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C97B00"/>
                <w:sz w:val="20"/>
                <w:szCs w:val="20"/>
              </w:rPr>
              <w:t xml:space="preserve">marginPct   =  ( profit  ÷  subtotal )  ×  100    →  displayed as %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balance     =  total  −  paidAmount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3.4  Net Profit Margin — Vendor / Supply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Net Profit  =  Quotation.total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−  ( Raw Item Cost  +  Printing/Vendor Cost  +  Logistics  +  Tax )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</w:rPr>
              <w:t xml:space="preserve">In system terms: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20"/>
                <w:szCs w:val="20"/>
              </w:rPr>
              <w:t xml:space="preserve">Net Profit  =  Invoice.total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B91C1C"/>
                <w:sz w:val="20"/>
                <w:szCs w:val="20"/>
              </w:rPr>
              <w:t xml:space="preserve">            −  ( Purchase.totalAmount  +  DayBook[expense].amount )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3.5  Advance Tracking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totalAdvances  =  Σ advances.amount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recovered      =  Σ advances[status="recovered"].amount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outstanding    =  totalAdvances  −  recovered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After recording a payment against an invoice: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invoice.advancePaid  +=  paymentAmount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advancePaid  &gt;=  invoice.total  →  status = "paid"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else if advancePaid  &gt;  0            →  status = "partial"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Ledger &amp; Accounting Rules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4.1  Double-Entry Direction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Transaction Type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Ledger Debit (Dr)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Ledger Credit (Cr)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Accounting Meaning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Income — Client Payment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7A3C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7A3C"/>
                <w:sz w:val="18"/>
                <w:szCs w:val="18"/>
              </w:rPr>
              <w:t xml:space="preserve">amount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Client paid us — AR reduces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Expense — Supplier Payment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We paid supplier — AP reduces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Advance Given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97B00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97B00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Cash out, receivable created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Advance Received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7A3C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7A3C"/>
                <w:sz w:val="18"/>
                <w:szCs w:val="18"/>
              </w:rPr>
              <w:t xml:space="preserve">amount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Cash in, liability created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Internal Transfer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amount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Both sides move simultaneously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 Created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Client now owes us (AR increases)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 Confirmed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7A3C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7A3C"/>
                <w:sz w:val="18"/>
                <w:szCs w:val="18"/>
              </w:rPr>
              <w:t xml:space="preserve">amount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We now owe supplier (AP increases)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4.2  Ledger Entry Schema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Collection: ledger  |  One entry per financial event  |  Running balance maintained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Notes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accountHeadID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CLI-001, SUP-002, etc. — links to Contact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contactName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Human-readable party name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ISO date of transaction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Auto-generated or manual description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documentRef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INV-201, SO-001, QUO-005, etc.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documentType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 | quotation | daybook | advance | payment | purchase | sale | manual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debit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Amount going out / owed to us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credit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Amount coming in / owed by us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Running balance after this entry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4.3  Running Balance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runningBalance  =  openingBalance  +  Σ credits  −  Σ debits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4.4  Dedup Protection (Ledger POST)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5-second dedup window: if a ledger entry with same accountHeadID + debit + credit + description was created within the last 5 seconds → return existing record (no duplicate inserted). This prevents double-posting from rapid-clicks or network retries.</w:t>
      </w:r>
    </w:p>
    <w:p>
      <w:pPr>
        <w:spacing w:after="0" w:before="1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4.5  DayBook Delete — Ledger Reversal Logic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When a DayBook entry is deleted, the system automatically reverses its ledger effect: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1: Determine original ledger direction from type/category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income → ledgerCredit = amount (0 debit)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expense → ledgerDebit = amount (0 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2: Post exact OPPOSITE entry (debit ↔ credit swapped)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Step 3: Net ledger effect = zero — fully reversed in real time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Multi-Company Wallet Architecture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5.1  Wallet Structure (Per Company)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Each company maintains 4 independent wallet balances stored in its entry inside the Singleton "companies" document in MongoDB: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Wallet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Cash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cash</w:t>
            </w:r>
          </w:p>
        </w:tc>
        <w:tc>
          <w:tcPr>
            <w:tcW w:type="dxa" w:w="5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Physical cash on hand in office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bank</w:t>
            </w:r>
          </w:p>
        </w:tc>
        <w:tc>
          <w:tcPr>
            <w:tcW w:type="dxa" w:w="5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Corporate bank account balance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JazzCash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jazzcash</w:t>
            </w:r>
          </w:p>
        </w:tc>
        <w:tc>
          <w:tcPr>
            <w:tcW w:type="dxa" w:w="5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Mobile wallet (JazzCash)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EasyPaisa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easypaisa</w:t>
            </w:r>
          </w:p>
        </w:tc>
        <w:tc>
          <w:tcPr>
            <w:tcW w:type="dxa" w:w="5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Mobile wallet (EasyPaisa)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5.2  Company Isolation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Every DayBook, Invoice, Purchase, Quotation, SupplyOrder, and Advance document stores companyId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central data-load endpoint filters ALL collection queries with txFilter = { companyId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Wallet balances are stored separately per company in the companies[] array in the Singleton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Ledger collection is shared but filtered by companyId on load — cross-company ledger leakage is impossible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Invoice counter sequences are company-specific — TAT starts at INV-201, INF at INV-180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5.3  Idempotency — Duplicate Save Prevention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All POST endpoints implement the following check before inserting: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if (req.body.id) {</w:t>
            </w:r>
          </w:p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  const existing = await Model.findOne({ id: req.body.id })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3C"/>
                <w:sz w:val="18"/>
                <w:szCs w:val="18"/>
              </w:rPr>
              <w:t xml:space="preserve">  if (existing) return res.json(existing)  // ← no double-insert</w:t>
            </w:r>
          </w:p>
          <w:p>
            <w:r>
              <w:rPr>
                <w:rFonts w:ascii="Courier New" w:cs="Courier New" w:eastAsia="Courier New" w:hAnsi="Courier New"/>
                <w:color w:val="1B2A4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client generates a unique id = Date.now().toString() before the first POST. If the user double-clicks Save or the network retries, the server returns the already-saved record rather than creating a duplicate.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Supply Chain &amp; Vendor Module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6.1  Supply Order → Purchase → Stock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1. Supply Order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Created with items, vendor, and unit prices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Status: pending — no stock change yet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2. Confirm Received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Admin clicks "Confirm Received" on SO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 record auto-created; SO status → delivered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3. Stock Movement IN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Triggered automatically on purchase confirm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inventory.qty += qty for each item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4. Ledger AP Entry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Auto-posted to supplier ledger on purchase</w:t>
            </w:r>
          </w:p>
        </w:tc>
        <w:tc>
          <w:tcPr>
            <w:tcW w:type="dxa" w:w="3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Accounts Payable increases by totalAmount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6.2  Stock Movement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 on Inventory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 confirmed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inventory.qty += qty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OUT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Sale confirmed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inventory.qty -= qty (with low-stock warning if &lt; 0)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ADJUSTMENT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Manual admin action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inventory.qty = newQty (absolute set)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RETURN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 or Sale returned</w:t>
            </w:r>
          </w:p>
        </w:tc>
        <w:tc>
          <w:tcPr>
            <w:tcW w:type="dxa" w:w="4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Reverses the original qty change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6.3  Inventory Item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UUID-style timestamp ID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sku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Stock Keeping Unit code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Product category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pcs, kg, meters, etc.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costPrice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Weighted average purchase cost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sellPrice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Default selling price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qty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Current stock on hand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Default color (overridden by matrix)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Internal notes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Financial Report — June 2026</w:t>
      </w:r>
    </w:p>
    <w:p>
      <w:pPr>
        <w:pBdr>
          <w:bottom w:val="single" w:color="2E5FA3" w:sz="6" w:space="1"/>
        </w:pBdr>
        <w:spacing w:after="160" w:before="16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This section defines the exact formulas and data sources used to compute all financial metrics displayed on the Dashboard and exportable reports. Figures shown here are formula definitions; actual values are computed live from MongoDB collections.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7.1  Revenue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Invoiced</w:t>
            </w:r>
          </w:p>
        </w:tc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invoice.total  (all statuses)</w:t>
            </w:r>
          </w:p>
        </w:tc>
        <w:tc>
          <w:tcPr>
            <w:tcW w:type="dxa" w:w="3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invoices collection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Collected</w:t>
            </w:r>
          </w:p>
        </w:tc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invoice.advancePaid</w:t>
            </w:r>
          </w:p>
        </w:tc>
        <w:tc>
          <w:tcPr>
            <w:tcW w:type="dxa" w:w="3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invoices collection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Outstanding AR</w:t>
            </w:r>
          </w:p>
        </w:tc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Invoiced − Total Collected</w:t>
            </w:r>
          </w:p>
        </w:tc>
        <w:tc>
          <w:tcPr>
            <w:tcW w:type="dxa" w:w="3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Sales Revenue</w:t>
            </w:r>
          </w:p>
        </w:tc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sale.total  (status = confirmed)</w:t>
            </w:r>
          </w:p>
        </w:tc>
        <w:tc>
          <w:tcPr>
            <w:tcW w:type="dxa" w:w="3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sales collection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7.2  Cost &amp; 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COGS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sale.totalCost</w:t>
            </w:r>
          </w:p>
        </w:tc>
        <w:tc>
          <w:tcPr>
            <w:tcW w:type="dxa" w:w="2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sales collection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Sales Revenue − Total COGS</w:t>
            </w:r>
          </w:p>
        </w:tc>
        <w:tc>
          <w:tcPr>
            <w:tcW w:type="dxa" w:w="2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Average Gross Margin %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( Gross Profit ÷ Revenue ) × 100</w:t>
            </w:r>
          </w:p>
        </w:tc>
        <w:tc>
          <w:tcPr>
            <w:tcW w:type="dxa" w:w="2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Net Profit (est.)</w:t>
            </w:r>
          </w:p>
        </w:tc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Invoice.total − Purchase.totalAmount − DayBook[expense].amount</w:t>
            </w:r>
          </w:p>
        </w:tc>
        <w:tc>
          <w:tcPr>
            <w:tcW w:type="dxa" w:w="2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Multi-collection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7.3  Payables (Accounts Payable)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Purchases</w:t>
            </w:r>
          </w:p>
        </w:tc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purchase.totalAmount</w:t>
            </w:r>
          </w:p>
        </w:tc>
        <w:tc>
          <w:tcPr>
            <w:tcW w:type="dxa" w:w="3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purchases collection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Paid to Suppliers</w:t>
            </w:r>
          </w:p>
        </w:tc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purchase.paidAmount</w:t>
            </w:r>
          </w:p>
        </w:tc>
        <w:tc>
          <w:tcPr>
            <w:tcW w:type="dxa" w:w="3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purchases collection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Outstanding AP</w:t>
            </w:r>
          </w:p>
        </w:tc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Purchases − Paid to Suppliers</w:t>
            </w:r>
          </w:p>
        </w:tc>
        <w:tc>
          <w:tcPr>
            <w:tcW w:type="dxa" w:w="3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Calculated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7.4  Cash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Wallet</w:t>
            </w:r>
          </w:p>
        </w:tc>
        <w:tc>
          <w:tcPr>
            <w:tcW w:type="dxa" w:w="7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Balance Source (per company Singleton)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Cash</w:t>
            </w:r>
          </w:p>
        </w:tc>
        <w:tc>
          <w:tcPr>
            <w:tcW w:type="dxa" w:w="7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companies[TAT].wallets.cash  +  companies[INF].wallets.cash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Bank</w:t>
            </w:r>
          </w:p>
        </w:tc>
        <w:tc>
          <w:tcPr>
            <w:tcW w:type="dxa" w:w="7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companies[TAT].wallets.bank  +  companies[INF].wallets.bank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JazzCash</w:t>
            </w:r>
          </w:p>
        </w:tc>
        <w:tc>
          <w:tcPr>
            <w:tcW w:type="dxa" w:w="7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companies[TAT].wallets.jazzcash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EasyPaisa</w:t>
            </w:r>
          </w:p>
        </w:tc>
        <w:tc>
          <w:tcPr>
            <w:tcW w:type="dxa" w:w="7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companies[TAT].wallets.easypaisa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7.5  Advances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Advances Given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advances.amount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Recovered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advances[status = "recovered"].amount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Advances − Recovered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7.6  DayBook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Debit (money out)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dayBook.debit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Credit (money in)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dayBook.credit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Net Cash Balance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Total Credit − Total Debit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Income Entries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dayBook[type = "income"].debit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Expense Entries</w:t>
            </w:r>
          </w:p>
        </w:tc>
        <w:tc>
          <w:tcPr>
            <w:tcW w:type="dxa" w:w="5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Σ dayBook[type = "expense"].credit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8. Module Reference Table</w:t>
      </w:r>
    </w:p>
    <w:p>
      <w:pPr>
        <w:pBdr>
          <w:bottom w:val="single" w:color="2E5FA3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100"/>
        <w:gridCol w:w="2660"/>
      </w:tblGrid>
      <w:tr>
        <w:trPr>
          <w:tblHeader/>
        </w:trP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Route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Linked Modules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Quotation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/api/quotations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Create, Convert→Invoice, Convert→SO, PDF, Stealth print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Invoice, SupplyOrder, Ledger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/api/invoices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Create, Mark Paid, PDF, Delivery Note, Convert→SO, Status track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Ledger, DayBook, DeliveryNote, Contacts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Supply Order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/api/supplyOrders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Create from Quote/Invoice, Confirm Received→Purchase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Purchase, Inventory, Ledger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/api/purchases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Confirm receipt, Stock IN, Ledger AP auto-post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Inventory, Ledger, SupplyOrder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/api/sales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Record sale, Stock OUT, Profit &amp; margin calc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Inventory, Ledger, Invoice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Delivery Note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/api/deliveryNotes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Partial or full delivery tracking per invoice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DayBook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/api/dayBook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Income/Expense/Advance/Transfer, ledger auto-post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Ledger, Invoice (status update)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Ledger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/api/ledger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Running balance per contact, all transaction history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Inventory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/api/inventory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Stock management, Cloudinary images, cost/sell price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Purchase, Sales, SupplyOrder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Contacts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/api/contacts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Clients, Suppliers, Staff — account head IDs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Advances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/api/advances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Advance tracking, invoice payment linkage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Invoice, Ledger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3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Master code, company config, wallets, categories</w:t>
            </w:r>
          </w:p>
        </w:tc>
        <w:tc>
          <w:tcPr>
            <w:tcW w:type="dxa" w:w="2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8"/>
                <w:szCs w:val="18"/>
              </w:rPr>
              <w:t xml:space="preserve">All modules</w:t>
            </w:r>
          </w:p>
        </w:tc>
      </w:tr>
    </w:tbl>
    <w:p>
      <w:pPr>
        <w:spacing w:after="0" w:before="3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2E5FA3" w:sz="6" w:space="1"/>
        </w:pBdr>
        <w:spacing w:after="160" w:before="16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2E5FA3"/>
          <w:sz w:val="18"/>
          <w:szCs w:val="18"/>
        </w:rPr>
        <w:t xml:space="preserve">TET-ERP Architecture Blueprint  ·  Version 2026.1  ·  Tataheer Traders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B91C1C"/>
          <w:sz w:val="16"/>
          <w:szCs w:val="16"/>
        </w:rPr>
        <w:t xml:space="preserve">CONFIDENTIAL —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1"/>
      </w:pBdr>
    </w:pPr>
    <w:r>
      <w:rPr>
        <w:rFonts w:ascii="Calibri" w:cs="Calibri" w:eastAsia="Calibri" w:hAnsi="Calibri"/>
        <w:color w:val="2E5FA3"/>
        <w:sz w:val="16"/>
        <w:szCs w:val="16"/>
      </w:rPr>
      <w:t xml:space="preserve">Tataheer Traders ERP  ·  Version 2026.1</w:t>
    </w:r>
    <w:r>
      <w:rPr>
        <w:rFonts w:ascii="Calibri" w:cs="Calibri" w:eastAsia="Calibri" w:hAnsi="Calibri"/>
        <w:color w:val="2E5FA3"/>
        <w:sz w:val="16"/>
        <w:szCs w:val="16"/>
      </w:rPr>
      <w:t xml:space="preserve">          Page </w:t>
    </w:r>
    <w:r>
      <w:rPr>
        <w:rFonts w:ascii="Calibri" w:cs="Calibri" w:eastAsia="Calibri" w:hAnsi="Calibri"/>
        <w:color w:val="2E5F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E5FA3"/>
        <w:sz w:val="16"/>
        <w:szCs w:val="16"/>
      </w:rPr>
      <w:t xml:space="preserve"> of </w:t>
    </w:r>
    <w:r>
      <w:rPr>
        <w:rFonts w:ascii="Calibri" w:cs="Calibri" w:eastAsia="Calibri" w:hAnsi="Calibri"/>
        <w:color w:val="2E5FA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jc w:val="right"/>
    </w:pPr>
    <w:r>
      <w:rPr>
        <w:rFonts w:ascii="Calibri" w:cs="Calibri" w:eastAsia="Calibri" w:hAnsi="Calibri"/>
        <w:i/>
        <w:iCs/>
        <w:color w:val="2E5FA3"/>
        <w:sz w:val="16"/>
        <w:szCs w:val="16"/>
      </w:rPr>
      <w:t xml:space="preserve">TET-ERP Blueprint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2026-06-18T19:02:46.938Z</dcterms:created>
  <dcterms:modified xsi:type="dcterms:W3CDTF">2026-06-18T19:02:46.939Z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