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rFonts w:ascii="Calibri" w:cs="Calibri" w:eastAsia="Calibri" w:hAnsi="Calibri"/>
          <w:b/>
          <w:bCs/>
          <w:color w:val="1E3AA0"/>
          <w:sz w:val="26"/>
          <w:szCs w:val="26"/>
        </w:rPr>
        <w:t xml:space="preserve">INSTITUT UNIVERSITAIRE DU GOLFE DE GUINÉE</w:t>
      </w:r>
    </w:p>
    <w:p>
      <w:pPr>
        <w:jc w:val="center"/>
      </w:pPr>
      <w:r>
        <w:rPr>
          <w:rFonts w:ascii="Calibri" w:cs="Calibri" w:eastAsia="Calibri" w:hAnsi="Calibri"/>
          <w:color w:val="E63946"/>
          <w:sz w:val="22"/>
          <w:szCs w:val="22"/>
        </w:rPr>
        <w:t xml:space="preserve">IUGET — Campus de Bonabéri · Douala, Cameroon</w:t>
      </w:r>
    </w:p>
    <w:p>
      <w:pPr>
        <w:spacing w:after="400"/>
        <w:jc w:val="center"/>
      </w:pPr>
      <w:r>
        <w:rPr>
          <w:rFonts w:ascii="Calibri" w:cs="Calibri" w:eastAsia="Calibri" w:hAnsi="Calibri"/>
          <w:i/>
          <w:iCs/>
          <w:color w:val="64748B"/>
          <w:sz w:val="20"/>
          <w:szCs w:val="20"/>
        </w:rPr>
        <w:t xml:space="preserve">« Bien choisir c'est déjà réussir »</w:t>
      </w:r>
    </w:p>
    <w:p>
      <w:pPr>
        <w:spacing w:after="400"/>
        <w:jc w:val="center"/>
      </w:pPr>
      <w:r>
        <w:drawing>
          <wp:inline distT="0" distB="0" distL="0" distR="0">
            <wp:extent cx="19050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0" cy="1714500"/>
                    </a:xfrm>
                    <a:prstGeom prst="rect">
                      <a:avLst/>
                    </a:prstGeom>
                  </pic:spPr>
                </pic:pic>
              </a:graphicData>
            </a:graphic>
          </wp:inline>
        </w:drawing>
      </w:r>
    </w:p>
    <w:p>
      <w:pPr>
        <w:spacing w:after="200" w:before="200"/>
        <w:jc w:val="center"/>
      </w:pPr>
      <w:r>
        <w:rPr>
          <w:rFonts w:ascii="Calibri" w:cs="Calibri" w:eastAsia="Calibri" w:hAnsi="Calibri"/>
          <w:b/>
          <w:bCs/>
          <w:color w:val="1E293B"/>
          <w:sz w:val="24"/>
          <w:szCs w:val="24"/>
        </w:rPr>
        <w:t xml:space="preserve">BACHELOR PROJECT REPORT</w:t>
      </w:r>
    </w:p>
    <w:p>
      <w:pPr>
        <w:spacing w:after="600"/>
        <w:jc w:val="center"/>
      </w:pPr>
      <w:r>
        <w:rPr>
          <w:rFonts w:ascii="Calibri" w:cs="Calibri" w:eastAsia="Calibri" w:hAnsi="Calibri"/>
          <w:color w:val="64748B"/>
          <w:sz w:val="20"/>
          <w:szCs w:val="20"/>
        </w:rPr>
        <w:t xml:space="preserve">Department of Software Engineering · Level 3 · Sixth Semester</w:t>
      </w:r>
    </w:p>
    <w:p>
      <w:pPr>
        <w:jc w:val="center"/>
      </w:pPr>
      <w:r>
        <w:rPr>
          <w:rFonts w:ascii="Calibri" w:cs="Calibri" w:eastAsia="Calibri" w:hAnsi="Calibri"/>
          <w:b/>
          <w:bCs/>
          <w:color w:val="1E3AA0"/>
          <w:sz w:val="60"/>
          <w:szCs w:val="60"/>
        </w:rPr>
        <w:t xml:space="preserve">SIARM</w:t>
      </w:r>
    </w:p>
    <w:p>
      <w:pPr>
        <w:spacing w:after="200"/>
        <w:jc w:val="center"/>
      </w:pPr>
      <w:r>
        <w:rPr>
          <w:rFonts w:ascii="Calibri" w:cs="Calibri" w:eastAsia="Calibri" w:hAnsi="Calibri"/>
          <w:b/>
          <w:bCs/>
          <w:color w:val="E63946"/>
          <w:sz w:val="28"/>
          <w:szCs w:val="28"/>
        </w:rPr>
        <w:t xml:space="preserve">Smart Institution Academic Resource Management</w:t>
      </w:r>
    </w:p>
    <w:p>
      <w:pPr>
        <w:spacing w:after="800"/>
        <w:jc w:val="center"/>
      </w:pPr>
      <w:r>
        <w:rPr>
          <w:rFonts w:ascii="Calibri" w:cs="Calibri" w:eastAsia="Calibri" w:hAnsi="Calibri"/>
          <w:i/>
          <w:iCs/>
          <w:color w:val="64748B"/>
          <w:sz w:val="22"/>
          <w:szCs w:val="22"/>
        </w:rPr>
        <w:t xml:space="preserve">A unified academic platform for IUGET Bonabéri</w:t>
      </w:r>
    </w:p>
    <w:p>
      <w:pPr>
        <w:jc w:val="center"/>
      </w:pPr>
      <w:r>
        <w:rPr>
          <w:rFonts w:ascii="Calibri" w:cs="Calibri" w:eastAsia="Calibri" w:hAnsi="Calibri"/>
          <w:color w:val="64748B"/>
          <w:sz w:val="20"/>
          <w:szCs w:val="20"/>
        </w:rPr>
        <w:t xml:space="preserve">Presented by</w:t>
      </w:r>
    </w:p>
    <w:p>
      <w:pPr>
        <w:jc w:val="center"/>
      </w:pPr>
      <w:r>
        <w:rPr>
          <w:rFonts w:ascii="Calibri" w:cs="Calibri" w:eastAsia="Calibri" w:hAnsi="Calibri"/>
          <w:b/>
          <w:bCs/>
          <w:color w:val="1E293B"/>
          <w:sz w:val="26"/>
          <w:szCs w:val="26"/>
        </w:rPr>
        <w:t xml:space="preserve">James Murdza</w:t>
      </w:r>
    </w:p>
    <w:p>
      <w:pPr>
        <w:spacing w:after="400"/>
        <w:jc w:val="center"/>
      </w:pPr>
      <w:r>
        <w:rPr>
          <w:rFonts w:ascii="Calibri" w:cs="Calibri" w:eastAsia="Calibri" w:hAnsi="Calibri"/>
          <w:color w:val="64748B"/>
          <w:sz w:val="20"/>
          <w:szCs w:val="20"/>
        </w:rPr>
        <w:t xml:space="preserve">Level-3 Software Engineering</w:t>
      </w:r>
    </w:p>
    <w:p>
      <w:pPr>
        <w:jc w:val="center"/>
      </w:pPr>
      <w:r>
        <w:rPr>
          <w:rFonts w:ascii="Calibri" w:cs="Calibri" w:eastAsia="Calibri" w:hAnsi="Calibri"/>
          <w:b/>
          <w:bCs/>
          <w:color w:val="1E3AA0"/>
          <w:sz w:val="22"/>
          <w:szCs w:val="22"/>
        </w:rPr>
        <w:t xml:space="preserve">Academic Year 2025 – 2026</w:t>
      </w:r>
    </w:p>
    <w:p>
      <w:r>
        <w:br w:type="page"/>
      </w:r>
    </w:p>
    <w:p>
      <w:pPr>
        <w:spacing w:before="1200"/>
        <w:jc w:val="center"/>
      </w:pPr>
      <w:r>
        <w:rPr>
          <w:rFonts w:ascii="Calibri" w:cs="Calibri" w:eastAsia="Calibri" w:hAnsi="Calibri"/>
          <w:b/>
          <w:bCs/>
          <w:color w:val="1E3AA0"/>
          <w:sz w:val="28"/>
          <w:szCs w:val="28"/>
        </w:rPr>
        <w:t xml:space="preserve">DEDICATION</w:t>
      </w:r>
    </w:p>
    <w:p>
      <w:pPr>
        <w:spacing w:after="160" w:line="300" w:lineRule="auto"/>
      </w:pPr>
      <w:r>
        <w:rPr>
          <w:rFonts w:ascii="Calibri" w:cs="Calibri" w:eastAsia="Calibri" w:hAnsi="Calibri"/>
        </w:rPr>
        <w:t xml:space="preserve"/>
      </w:r>
    </w:p>
    <w:p>
      <w:pPr>
        <w:spacing w:after="160" w:line="300" w:lineRule="auto"/>
        <w:jc w:val="center"/>
      </w:pPr>
      <w:r>
        <w:rPr>
          <w:rFonts w:ascii="Calibri" w:cs="Calibri" w:eastAsia="Calibri" w:hAnsi="Calibri"/>
          <w:i/>
          <w:iCs/>
          <w:color w:val="1E293B"/>
          <w:sz w:val="24"/>
          <w:szCs w:val="24"/>
        </w:rPr>
        <w:t xml:space="preserve">To my parents,</w:t>
      </w:r>
    </w:p>
    <w:p>
      <w:pPr>
        <w:spacing w:after="160" w:line="300" w:lineRule="auto"/>
        <w:jc w:val="center"/>
      </w:pPr>
      <w:r>
        <w:rPr>
          <w:rFonts w:ascii="Calibri" w:cs="Calibri" w:eastAsia="Calibri" w:hAnsi="Calibri"/>
          <w:i/>
          <w:iCs/>
          <w:color w:val="64748B"/>
          <w:sz w:val="22"/>
          <w:szCs w:val="22"/>
        </w:rPr>
        <w:t xml:space="preserve">whose sacrifices made this education possible.</w:t>
      </w:r>
    </w:p>
    <w:p>
      <w:pPr>
        <w:spacing w:after="160" w:line="300" w:lineRule="auto"/>
      </w:pPr>
      <w:r>
        <w:rPr>
          <w:rFonts w:ascii="Calibri" w:cs="Calibri" w:eastAsia="Calibri" w:hAnsi="Calibri"/>
        </w:rPr>
        <w:t xml:space="preserve"/>
      </w:r>
    </w:p>
    <w:p>
      <w:pPr>
        <w:spacing w:after="160" w:line="300" w:lineRule="auto"/>
        <w:jc w:val="center"/>
      </w:pPr>
      <w:r>
        <w:rPr>
          <w:rFonts w:ascii="Calibri" w:cs="Calibri" w:eastAsia="Calibri" w:hAnsi="Calibri"/>
          <w:i/>
          <w:iCs/>
          <w:color w:val="1E293B"/>
          <w:sz w:val="22"/>
          <w:szCs w:val="22"/>
        </w:rPr>
        <w:t xml:space="preserve">To my lecturers at IUGET Bonabéri,</w:t>
      </w:r>
    </w:p>
    <w:p>
      <w:pPr>
        <w:spacing w:after="160" w:line="300" w:lineRule="auto"/>
        <w:jc w:val="center"/>
      </w:pPr>
      <w:r>
        <w:rPr>
          <w:rFonts w:ascii="Calibri" w:cs="Calibri" w:eastAsia="Calibri" w:hAnsi="Calibri"/>
          <w:i/>
          <w:iCs/>
          <w:color w:val="64748B"/>
          <w:sz w:val="22"/>
          <w:szCs w:val="22"/>
        </w:rPr>
        <w:t xml:space="preserve">Mr Nkoma Ngouloure, Dr Romeo Mougnol, Eng Fotseu Julien, Mr Smith Wills, and Mr Asongafack Patrick,</w:t>
      </w:r>
    </w:p>
    <w:p>
      <w:pPr>
        <w:spacing w:after="160" w:line="300" w:lineRule="auto"/>
        <w:jc w:val="center"/>
      </w:pPr>
      <w:r>
        <w:rPr>
          <w:rFonts w:ascii="Calibri" w:cs="Calibri" w:eastAsia="Calibri" w:hAnsi="Calibri"/>
          <w:i/>
          <w:iCs/>
          <w:color w:val="64748B"/>
          <w:sz w:val="22"/>
          <w:szCs w:val="22"/>
        </w:rPr>
        <w:t xml:space="preserve">whose patient teaching shaped the engineer behind this work.</w:t>
      </w:r>
    </w:p>
    <w:p>
      <w:r>
        <w:br w:type="page"/>
      </w:r>
    </w:p>
    <w:p>
      <w:pPr>
        <w:jc w:val="center"/>
      </w:pPr>
      <w:r>
        <w:rPr>
          <w:rFonts w:ascii="Calibri" w:cs="Calibri" w:eastAsia="Calibri" w:hAnsi="Calibri"/>
          <w:b/>
          <w:bCs/>
          <w:color w:val="1E3AA0"/>
          <w:sz w:val="28"/>
          <w:szCs w:val="28"/>
        </w:rPr>
        <w:t xml:space="preserve">ACKNOWLEDGEMENTS</w:t>
      </w:r>
    </w:p>
    <w:p>
      <w:pPr>
        <w:spacing w:after="160" w:line="300" w:lineRule="auto"/>
      </w:pPr>
      <w:r>
        <w:rPr>
          <w:rFonts w:ascii="Calibri" w:cs="Calibri" w:eastAsia="Calibri" w:hAnsi="Calibri"/>
        </w:rPr>
        <w:t xml:space="preserve"/>
      </w:r>
    </w:p>
    <w:p>
      <w:pPr>
        <w:spacing w:after="160" w:line="300" w:lineRule="auto"/>
        <w:jc w:val="both"/>
      </w:pPr>
      <w:r>
        <w:rPr>
          <w:rFonts w:ascii="Calibri" w:cs="Calibri" w:eastAsia="Calibri" w:hAnsi="Calibri"/>
          <w:color w:val="1E293B"/>
          <w:sz w:val="22"/>
          <w:szCs w:val="22"/>
        </w:rPr>
        <w:t xml:space="preserve">The completion of this bachelor project owes much to the support and guidance of many. I wish to express my gratitude to the administration of IUGET Bonabéri for creating a learning environment where students are encouraged to undertake practical engineering work rooted in real institutional needs.</w:t>
      </w:r>
    </w:p>
    <w:p>
      <w:pPr>
        <w:spacing w:after="160" w:line="300" w:lineRule="auto"/>
        <w:jc w:val="both"/>
      </w:pPr>
      <w:r>
        <w:rPr>
          <w:rFonts w:ascii="Calibri" w:cs="Calibri" w:eastAsia="Calibri" w:hAnsi="Calibri"/>
          <w:color w:val="1E293B"/>
          <w:sz w:val="22"/>
          <w:szCs w:val="22"/>
        </w:rPr>
        <w:t xml:space="preserve">I am particularly indebted to my project supervisor, whose constructive critique kept this work focused. I extend the same gratitude to the lecturers of the Department of Software Engineering — Mr Nkoma Ngouloure, Dr Romeo Mougnol, Eng Fotseu Julien, Mr Smith Wills, and Mr Asongafack Patrick — for foundational knowledge that runs through every page of this report.</w:t>
      </w:r>
    </w:p>
    <w:p>
      <w:pPr>
        <w:spacing w:after="160" w:line="300" w:lineRule="auto"/>
        <w:jc w:val="both"/>
      </w:pPr>
      <w:r>
        <w:rPr>
          <w:rFonts w:ascii="Calibri" w:cs="Calibri" w:eastAsia="Calibri" w:hAnsi="Calibri"/>
          <w:color w:val="1E293B"/>
          <w:sz w:val="22"/>
          <w:szCs w:val="22"/>
        </w:rPr>
        <w:t xml:space="preserve">Thanks go to the administrative and bursary staff of IUGET, who answered numerous questions about registration, tuition collection and timetable publication. Their candour is the reason this project addresses real problems.</w:t>
      </w:r>
    </w:p>
    <w:p>
      <w:pPr>
        <w:spacing w:after="160" w:line="300" w:lineRule="auto"/>
        <w:jc w:val="both"/>
      </w:pPr>
      <w:r>
        <w:rPr>
          <w:rFonts w:ascii="Calibri" w:cs="Calibri" w:eastAsia="Calibri" w:hAnsi="Calibri"/>
          <w:color w:val="1E293B"/>
          <w:sz w:val="22"/>
          <w:szCs w:val="22"/>
        </w:rPr>
        <w:t xml:space="preserve">Finally, I am grateful to my classmates — Chituh Innocentia, Nkwenti Deshnic, Winner Chinuere, Zelio Gerald and Wandji Adrien — and to my family, whose encouragement carried me through the long evenings of implementation.</w:t>
      </w:r>
    </w:p>
    <w:p>
      <w:r>
        <w:br w:type="page"/>
      </w:r>
    </w:p>
    <w:p>
      <w:pPr>
        <w:jc w:val="center"/>
      </w:pPr>
      <w:r>
        <w:rPr>
          <w:rFonts w:ascii="Calibri" w:cs="Calibri" w:eastAsia="Calibri" w:hAnsi="Calibri"/>
          <w:b/>
          <w:bCs/>
          <w:color w:val="1E3AA0"/>
          <w:sz w:val="28"/>
          <w:szCs w:val="28"/>
        </w:rPr>
        <w:t xml:space="preserve">ABSTRACT</w:t>
      </w:r>
    </w:p>
    <w:p>
      <w:pPr>
        <w:spacing w:after="160" w:line="300" w:lineRule="auto"/>
      </w:pPr>
      <w:r>
        <w:rPr>
          <w:rFonts w:ascii="Calibri" w:cs="Calibri" w:eastAsia="Calibri" w:hAnsi="Calibri"/>
        </w:rPr>
        <w:t xml:space="preserve"/>
      </w:r>
    </w:p>
    <w:p>
      <w:pPr>
        <w:spacing w:after="160" w:line="300" w:lineRule="auto"/>
        <w:jc w:val="both"/>
      </w:pPr>
      <w:r>
        <w:rPr>
          <w:rFonts w:ascii="Calibri" w:cs="Calibri" w:eastAsia="Calibri" w:hAnsi="Calibri"/>
          <w:color w:val="1E293B"/>
          <w:sz w:val="22"/>
          <w:szCs w:val="22"/>
        </w:rPr>
        <w:t xml:space="preserve">SIARM (Smart Institution Academic Resource Management) is a unified web platform for private universities in Cameroon, with IUGET Bonabéri as its reference deployment. It consolidates admissions, attendance, timetable, results, tuition payment, transcripts, ID cards, announcements, and reporting into a single role-aware application.</w:t>
      </w:r>
    </w:p>
    <w:p>
      <w:pPr>
        <w:spacing w:after="160" w:line="300" w:lineRule="auto"/>
        <w:jc w:val="both"/>
      </w:pPr>
      <w:r>
        <w:rPr>
          <w:rFonts w:ascii="Calibri" w:cs="Calibri" w:eastAsia="Calibri" w:hAnsi="Calibri"/>
          <w:color w:val="1E293B"/>
          <w:sz w:val="22"/>
          <w:szCs w:val="22"/>
        </w:rPr>
        <w:t xml:space="preserve">Implemented as a React 18 single-page application with Firebase Authentication and Cloud Firestore, SIARM exposes four role-specific surfaces (Student, Lecturer, Staff, Admin) plus a public Parent Portal reachable without an account.</w:t>
      </w:r>
    </w:p>
    <w:p>
      <w:pPr>
        <w:spacing w:after="160" w:line="300" w:lineRule="auto"/>
        <w:jc w:val="both"/>
      </w:pPr>
      <w:r>
        <w:rPr>
          <w:rFonts w:ascii="Calibri" w:cs="Calibri" w:eastAsia="Calibri" w:hAnsi="Calibri"/>
          <w:color w:val="1E293B"/>
          <w:sz w:val="22"/>
          <w:szCs w:val="22"/>
        </w:rPr>
        <w:t xml:space="preserve">Parents can register a child end-to-end — choosing a specialty, paying through MTN MoMo, Orange Money, PayPal, Visa or bank transfer — and receive a printable, QR-verifiable receipt. PIN/password/card data are never persisted.</w:t>
      </w:r>
    </w:p>
    <w:p>
      <w:pPr>
        <w:spacing w:after="160" w:line="300" w:lineRule="auto"/>
        <w:jc w:val="both"/>
      </w:pPr>
      <w:r>
        <w:rPr>
          <w:rFonts w:ascii="Calibri" w:cs="Calibri" w:eastAsia="Calibri" w:hAnsi="Calibri"/>
          <w:color w:val="1E293B"/>
          <w:sz w:val="22"/>
          <w:szCs w:val="22"/>
        </w:rPr>
        <w:t xml:space="preserve">The platform supports IUGET's three specialties (SWE, CNSM, BST), evening and Saturday schedules, printable academic artefacts, and a bursary dashboard tracking tuition collection. This document describes the problem context, methodology, architecture, implementation, testing and path to production rollout.</w:t>
      </w:r>
    </w:p>
    <w:p>
      <w:pPr>
        <w:spacing w:after="160" w:line="300" w:lineRule="auto"/>
      </w:pPr>
      <w:r>
        <w:rPr>
          <w:rFonts w:ascii="Calibri" w:cs="Calibri" w:eastAsia="Calibri" w:hAnsi="Calibri"/>
          <w:b/>
          <w:bCs/>
          <w:sz w:val="22"/>
          <w:szCs w:val="22"/>
        </w:rPr>
        <w:t xml:space="preserve">Keywords: </w:t>
      </w:r>
      <w:r>
        <w:rPr>
          <w:rFonts w:ascii="Calibri" w:cs="Calibri" w:eastAsia="Calibri" w:hAnsi="Calibri"/>
          <w:sz w:val="22"/>
          <w:szCs w:val="22"/>
        </w:rPr>
        <w:t xml:space="preserve">academic resource management, role-based access control, React, Firebase, mobile payment, IUGET, Cameroon higher education, parent portal, automated enrolment.</w:t>
      </w:r>
    </w:p>
    <w:p>
      <w:r>
        <w:br w:type="page"/>
      </w:r>
    </w:p>
    <w:p>
      <w:pPr>
        <w:jc w:val="center"/>
      </w:pPr>
      <w:r>
        <w:rPr>
          <w:rFonts w:ascii="Calibri" w:cs="Calibri" w:eastAsia="Calibri" w:hAnsi="Calibri"/>
          <w:b/>
          <w:bCs/>
          <w:color w:val="1E3AA0"/>
          <w:sz w:val="28"/>
          <w:szCs w:val="28"/>
        </w:rPr>
        <w:t xml:space="preserve">RÉSUMÉ</w:t>
      </w:r>
    </w:p>
    <w:p>
      <w:pPr>
        <w:spacing w:after="160" w:line="300" w:lineRule="auto"/>
      </w:pPr>
      <w:r>
        <w:rPr>
          <w:rFonts w:ascii="Calibri" w:cs="Calibri" w:eastAsia="Calibri" w:hAnsi="Calibri"/>
        </w:rPr>
        <w:t xml:space="preserve"/>
      </w:r>
    </w:p>
    <w:p>
      <w:pPr>
        <w:spacing w:after="160" w:line="300" w:lineRule="auto"/>
        <w:jc w:val="both"/>
      </w:pPr>
      <w:r>
        <w:rPr>
          <w:rFonts w:ascii="Calibri" w:cs="Calibri" w:eastAsia="Calibri" w:hAnsi="Calibri"/>
          <w:color w:val="1E293B"/>
          <w:sz w:val="22"/>
          <w:szCs w:val="22"/>
        </w:rPr>
        <w:t xml:space="preserve">SIARM (Smart Institution Academic Resource Management) est une plateforme web unifiée pour les universités privées au Cameroun, avec l'IUGET Bonabéri comme déploiement de référence. Elle regroupe admissions, présence, emploi du temps, notes, paiement de la scolarité, bulletins, carte d'étudiant, annonces et reporting au sein d'une seule application sensible aux rôles.</w:t>
      </w:r>
    </w:p>
    <w:p>
      <w:pPr>
        <w:spacing w:after="160" w:line="300" w:lineRule="auto"/>
        <w:jc w:val="both"/>
      </w:pPr>
      <w:r>
        <w:rPr>
          <w:rFonts w:ascii="Calibri" w:cs="Calibri" w:eastAsia="Calibri" w:hAnsi="Calibri"/>
          <w:color w:val="1E293B"/>
          <w:sz w:val="22"/>
          <w:szCs w:val="22"/>
        </w:rPr>
        <w:t xml:space="preserve">Construite avec React 18, Firebase Authentication et Cloud Firestore, elle expose quatre interfaces (Étudiant, Enseignant, Personnel, Direction) plus un portail public accessible aux parents sans compte. Les parents peuvent inscrire leur enfant et régler la scolarité par MTN MoMo, Orange Money, PayPal, Visa ou virement, obtenant un reçu vérifiable par QR. Aucun code PIN n'est conservé.</w:t>
      </w:r>
    </w:p>
    <w:p>
      <w:pPr>
        <w:spacing w:after="160" w:line="300" w:lineRule="auto"/>
      </w:pPr>
      <w:r>
        <w:rPr>
          <w:rFonts w:ascii="Calibri" w:cs="Calibri" w:eastAsia="Calibri" w:hAnsi="Calibri"/>
          <w:b/>
          <w:bCs/>
          <w:sz w:val="22"/>
          <w:szCs w:val="22"/>
        </w:rPr>
        <w:t xml:space="preserve">Mots-clés : </w:t>
      </w:r>
      <w:r>
        <w:rPr>
          <w:rFonts w:ascii="Calibri" w:cs="Calibri" w:eastAsia="Calibri" w:hAnsi="Calibri"/>
          <w:sz w:val="22"/>
          <w:szCs w:val="22"/>
        </w:rPr>
        <w:t xml:space="preserve">gestion académique, contrôle d'accès par rôles, React, Firebase, paiement mobile, IUGET, enseignement supérieur camerounais, portail parents.</w:t>
      </w:r>
    </w:p>
    <w:p>
      <w:r>
        <w:br w:type="page"/>
      </w:r>
    </w:p>
    <w:p>
      <w:pPr>
        <w:jc w:val="center"/>
      </w:pPr>
      <w:r>
        <w:rPr>
          <w:rFonts w:ascii="Calibri" w:cs="Calibri" w:eastAsia="Calibri" w:hAnsi="Calibri"/>
          <w:b/>
          <w:bCs/>
          <w:color w:val="1E3AA0"/>
          <w:sz w:val="28"/>
          <w:szCs w:val="28"/>
        </w:rPr>
        <w:t xml:space="preserve">TABLE OF CONTENTS</w:t>
      </w:r>
    </w:p>
    <w:p>
      <w:pPr>
        <w:spacing w:after="160" w:line="300" w:lineRule="auto"/>
      </w:pPr>
      <w:r>
        <w:rPr>
          <w:rFonts w:ascii="Calibri" w:cs="Calibri" w:eastAsia="Calibri" w:hAnsi="Calibri"/>
        </w:rPr>
        <w:t xml:space="preserve"/>
      </w:r>
    </w:p>
    <w:p>
      <w:pPr>
        <w:spacing w:after="160" w:line="300" w:lineRule="auto"/>
      </w:pPr>
      <w:r>
        <w:rPr>
          <w:rFonts w:ascii="Calibri" w:cs="Calibri" w:eastAsia="Calibri" w:hAnsi="Calibri"/>
          <w:color w:val="1E293B"/>
          <w:sz w:val="22"/>
          <w:szCs w:val="22"/>
        </w:rPr>
        <w:t xml:space="preserve">Dedication</w:t>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i</w:t>
      </w:r>
    </w:p>
    <w:p>
      <w:pPr>
        <w:spacing w:after="160" w:line="300" w:lineRule="auto"/>
      </w:pPr>
      <w:r>
        <w:rPr>
          <w:rFonts w:ascii="Calibri" w:cs="Calibri" w:eastAsia="Calibri" w:hAnsi="Calibri"/>
          <w:color w:val="1E293B"/>
          <w:sz w:val="22"/>
          <w:szCs w:val="22"/>
        </w:rPr>
        <w:t xml:space="preserve">Acknowledgements</w:t>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ii</w:t>
      </w:r>
    </w:p>
    <w:p>
      <w:pPr>
        <w:spacing w:after="160" w:line="300" w:lineRule="auto"/>
      </w:pPr>
      <w:r>
        <w:rPr>
          <w:rFonts w:ascii="Calibri" w:cs="Calibri" w:eastAsia="Calibri" w:hAnsi="Calibri"/>
          <w:color w:val="1E293B"/>
          <w:sz w:val="22"/>
          <w:szCs w:val="22"/>
        </w:rPr>
        <w:t xml:space="preserve">Abstract</w:t>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iii</w:t>
      </w:r>
    </w:p>
    <w:p>
      <w:pPr>
        <w:spacing w:after="160" w:line="300" w:lineRule="auto"/>
      </w:pPr>
      <w:r>
        <w:rPr>
          <w:rFonts w:ascii="Calibri" w:cs="Calibri" w:eastAsia="Calibri" w:hAnsi="Calibri"/>
          <w:color w:val="1E293B"/>
          <w:sz w:val="22"/>
          <w:szCs w:val="22"/>
        </w:rPr>
        <w:t xml:space="preserve">Résumé</w:t>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iv</w:t>
      </w:r>
    </w:p>
    <w:p>
      <w:pPr>
        <w:spacing w:after="160" w:line="300" w:lineRule="auto"/>
      </w:pPr>
      <w:r>
        <w:rPr>
          <w:rFonts w:ascii="Calibri" w:cs="Calibri" w:eastAsia="Calibri" w:hAnsi="Calibri"/>
          <w:color w:val="1E293B"/>
          <w:sz w:val="22"/>
          <w:szCs w:val="22"/>
        </w:rPr>
        <w:t xml:space="preserve">Table of Contents</w:t>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v</w:t>
      </w:r>
    </w:p>
    <w:p>
      <w:pPr>
        <w:spacing w:after="160" w:line="300" w:lineRule="auto"/>
      </w:pPr>
      <w:r>
        <w:rPr>
          <w:rFonts w:ascii="Calibri" w:cs="Calibri" w:eastAsia="Calibri" w:hAnsi="Calibri"/>
          <w:color w:val="1E293B"/>
          <w:sz w:val="22"/>
          <w:szCs w:val="22"/>
        </w:rPr>
        <w:t xml:space="preserve">List of Figures</w:t>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vi</w:t>
      </w:r>
    </w:p>
    <w:p>
      <w:pPr>
        <w:spacing w:after="160" w:line="300" w:lineRule="auto"/>
      </w:pPr>
      <w:r>
        <w:rPr>
          <w:rFonts w:ascii="Calibri" w:cs="Calibri" w:eastAsia="Calibri" w:hAnsi="Calibri"/>
          <w:color w:val="1E293B"/>
          <w:sz w:val="22"/>
          <w:szCs w:val="22"/>
        </w:rPr>
        <w:t xml:space="preserve">List of Tables</w:t>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vii</w:t>
      </w:r>
    </w:p>
    <w:p>
      <w:pPr>
        <w:spacing w:after="160" w:line="300" w:lineRule="auto"/>
      </w:pPr>
      <w:r>
        <w:rPr>
          <w:rFonts w:ascii="Calibri" w:cs="Calibri" w:eastAsia="Calibri" w:hAnsi="Calibri"/>
          <w:color w:val="1E293B"/>
          <w:sz w:val="22"/>
          <w:szCs w:val="22"/>
        </w:rPr>
        <w:t xml:space="preserve">List of Abbreviations</w:t>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viii</w:t>
      </w:r>
    </w:p>
    <w:p>
      <w:pPr>
        <w:spacing w:after="160" w:line="300" w:lineRule="auto"/>
      </w:pPr>
      <w:r>
        <w:rPr>
          <w:rFonts w:ascii="Calibri" w:cs="Calibri" w:eastAsia="Calibri" w:hAnsi="Calibri"/>
          <w:color w:val="1E293B"/>
          <w:sz w:val="22"/>
          <w:szCs w:val="22"/>
        </w:rPr>
        <w:t xml:space="preserve"/>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
      </w:r>
    </w:p>
    <w:p>
      <w:pPr>
        <w:spacing w:after="160" w:line="300" w:lineRule="auto"/>
      </w:pPr>
      <w:r>
        <w:rPr>
          <w:rFonts w:ascii="Calibri" w:cs="Calibri" w:eastAsia="Calibri" w:hAnsi="Calibri"/>
          <w:color w:val="1E293B"/>
          <w:sz w:val="22"/>
          <w:szCs w:val="22"/>
        </w:rPr>
        <w:t xml:space="preserve">Chapter 1 — General Introduction</w:t>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1</w:t>
      </w:r>
    </w:p>
    <w:p>
      <w:pPr>
        <w:spacing w:after="160" w:line="300" w:lineRule="auto"/>
      </w:pPr>
      <w:r>
        <w:rPr>
          <w:rFonts w:ascii="Calibri" w:cs="Calibri" w:eastAsia="Calibri" w:hAnsi="Calibri"/>
          <w:color w:val="1E293B"/>
          <w:sz w:val="22"/>
          <w:szCs w:val="22"/>
        </w:rPr>
        <w:t xml:space="preserve">Chapter 2 — Literature Review</w:t>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7</w:t>
      </w:r>
    </w:p>
    <w:p>
      <w:pPr>
        <w:spacing w:after="160" w:line="300" w:lineRule="auto"/>
      </w:pPr>
      <w:r>
        <w:rPr>
          <w:rFonts w:ascii="Calibri" w:cs="Calibri" w:eastAsia="Calibri" w:hAnsi="Calibri"/>
          <w:color w:val="1E293B"/>
          <w:sz w:val="22"/>
          <w:szCs w:val="22"/>
        </w:rPr>
        <w:t xml:space="preserve">Chapter 3 — Requirements Analysis</w:t>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13</w:t>
      </w:r>
    </w:p>
    <w:p>
      <w:pPr>
        <w:spacing w:after="160" w:line="300" w:lineRule="auto"/>
      </w:pPr>
      <w:r>
        <w:rPr>
          <w:rFonts w:ascii="Calibri" w:cs="Calibri" w:eastAsia="Calibri" w:hAnsi="Calibri"/>
          <w:color w:val="1E293B"/>
          <w:sz w:val="22"/>
          <w:szCs w:val="22"/>
        </w:rPr>
        <w:t xml:space="preserve">Chapter 4 — System Design</w:t>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19</w:t>
      </w:r>
    </w:p>
    <w:p>
      <w:pPr>
        <w:spacing w:after="160" w:line="300" w:lineRule="auto"/>
      </w:pPr>
      <w:r>
        <w:rPr>
          <w:rFonts w:ascii="Calibri" w:cs="Calibri" w:eastAsia="Calibri" w:hAnsi="Calibri"/>
          <w:color w:val="1E293B"/>
          <w:sz w:val="22"/>
          <w:szCs w:val="22"/>
        </w:rPr>
        <w:t xml:space="preserve">Chapter 5 — Implementation</w:t>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28</w:t>
      </w:r>
    </w:p>
    <w:p>
      <w:pPr>
        <w:spacing w:after="160" w:line="300" w:lineRule="auto"/>
      </w:pPr>
      <w:r>
        <w:rPr>
          <w:rFonts w:ascii="Calibri" w:cs="Calibri" w:eastAsia="Calibri" w:hAnsi="Calibri"/>
          <w:color w:val="1E293B"/>
          <w:sz w:val="22"/>
          <w:szCs w:val="22"/>
        </w:rPr>
        <w:t xml:space="preserve">Chapter 5 bis — Agile Methodology</w:t>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38</w:t>
      </w:r>
    </w:p>
    <w:p>
      <w:pPr>
        <w:spacing w:after="160" w:line="300" w:lineRule="auto"/>
      </w:pPr>
      <w:r>
        <w:rPr>
          <w:rFonts w:ascii="Calibri" w:cs="Calibri" w:eastAsia="Calibri" w:hAnsi="Calibri"/>
          <w:color w:val="1E293B"/>
          <w:sz w:val="22"/>
          <w:szCs w:val="22"/>
        </w:rPr>
        <w:t xml:space="preserve">Chapter 6 — Testing and Validation</w:t>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44</w:t>
      </w:r>
    </w:p>
    <w:p>
      <w:pPr>
        <w:spacing w:after="160" w:line="300" w:lineRule="auto"/>
      </w:pPr>
      <w:r>
        <w:rPr>
          <w:rFonts w:ascii="Calibri" w:cs="Calibri" w:eastAsia="Calibri" w:hAnsi="Calibri"/>
          <w:color w:val="1E293B"/>
          <w:sz w:val="22"/>
          <w:szCs w:val="22"/>
        </w:rPr>
        <w:t xml:space="preserve">Chapter 7 — Results and Discussion</w:t>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48</w:t>
      </w:r>
    </w:p>
    <w:p>
      <w:pPr>
        <w:spacing w:after="160" w:line="300" w:lineRule="auto"/>
      </w:pPr>
      <w:r>
        <w:rPr>
          <w:rFonts w:ascii="Calibri" w:cs="Calibri" w:eastAsia="Calibri" w:hAnsi="Calibri"/>
          <w:color w:val="1E293B"/>
          <w:sz w:val="22"/>
          <w:szCs w:val="22"/>
        </w:rPr>
        <w:t xml:space="preserve">Chapter 8 — Conclusion and Future Work</w:t>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52</w:t>
      </w:r>
    </w:p>
    <w:p>
      <w:pPr>
        <w:spacing w:after="160" w:line="300" w:lineRule="auto"/>
      </w:pPr>
      <w:r>
        <w:rPr>
          <w:rFonts w:ascii="Calibri" w:cs="Calibri" w:eastAsia="Calibri" w:hAnsi="Calibri"/>
          <w:color w:val="1E293B"/>
          <w:sz w:val="22"/>
          <w:szCs w:val="22"/>
        </w:rPr>
        <w:t xml:space="preserve"/>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
      </w:r>
    </w:p>
    <w:p>
      <w:pPr>
        <w:spacing w:after="160" w:line="300" w:lineRule="auto"/>
      </w:pPr>
      <w:r>
        <w:rPr>
          <w:rFonts w:ascii="Calibri" w:cs="Calibri" w:eastAsia="Calibri" w:hAnsi="Calibri"/>
          <w:color w:val="1E293B"/>
          <w:sz w:val="22"/>
          <w:szCs w:val="22"/>
        </w:rPr>
        <w:t xml:space="preserve">References</w:t>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54</w:t>
      </w:r>
    </w:p>
    <w:p>
      <w:pPr>
        <w:spacing w:after="160" w:line="300" w:lineRule="auto"/>
      </w:pPr>
      <w:r>
        <w:rPr>
          <w:rFonts w:ascii="Calibri" w:cs="Calibri" w:eastAsia="Calibri" w:hAnsi="Calibri"/>
          <w:color w:val="1E293B"/>
          <w:sz w:val="22"/>
          <w:szCs w:val="22"/>
        </w:rPr>
        <w:t xml:space="preserve">Appendix A — Architectural Diagrams (full size)</w:t>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55</w:t>
      </w:r>
    </w:p>
    <w:p>
      <w:pPr>
        <w:spacing w:after="160" w:line="300" w:lineRule="auto"/>
      </w:pPr>
      <w:r>
        <w:rPr>
          <w:rFonts w:ascii="Calibri" w:cs="Calibri" w:eastAsia="Calibri" w:hAnsi="Calibri"/>
          <w:color w:val="1E293B"/>
          <w:sz w:val="22"/>
          <w:szCs w:val="22"/>
        </w:rPr>
        <w:t xml:space="preserve">Appendix B — Demo Credentials and Quick Reference</w:t>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56</w:t>
      </w:r>
    </w:p>
    <w:p>
      <w:r>
        <w:br w:type="page"/>
      </w:r>
    </w:p>
    <w:p>
      <w:pPr>
        <w:jc w:val="center"/>
      </w:pPr>
      <w:r>
        <w:rPr>
          <w:rFonts w:ascii="Calibri" w:cs="Calibri" w:eastAsia="Calibri" w:hAnsi="Calibri"/>
          <w:b/>
          <w:bCs/>
          <w:color w:val="1E3AA0"/>
          <w:sz w:val="26"/>
          <w:szCs w:val="26"/>
        </w:rPr>
        <w:t xml:space="preserve">LIST OF FIGURES</w:t>
      </w:r>
    </w:p>
    <w:p>
      <w:pPr>
        <w:spacing w:after="160" w:line="300" w:lineRule="auto"/>
      </w:pPr>
      <w:r>
        <w:rPr>
          <w:rFonts w:ascii="Calibri" w:cs="Calibri" w:eastAsia="Calibri" w:hAnsi="Calibri"/>
        </w:rPr>
        <w:t xml:space="preserve"/>
      </w:r>
    </w:p>
    <w:p>
      <w:pPr>
        <w:spacing w:after="160" w:line="300" w:lineRule="auto"/>
      </w:pPr>
      <w:r>
        <w:rPr>
          <w:rFonts w:ascii="Calibri" w:cs="Calibri" w:eastAsia="Calibri" w:hAnsi="Calibri"/>
          <w:sz w:val="22"/>
          <w:szCs w:val="22"/>
        </w:rPr>
        <w:t xml:space="preserve">Figure 4.1 — System architecture overview (three-tier)</w:t>
      </w:r>
    </w:p>
    <w:p>
      <w:pPr>
        <w:spacing w:after="160" w:line="300" w:lineRule="auto"/>
      </w:pPr>
      <w:r>
        <w:rPr>
          <w:rFonts w:ascii="Calibri" w:cs="Calibri" w:eastAsia="Calibri" w:hAnsi="Calibri"/>
          <w:sz w:val="22"/>
          <w:szCs w:val="22"/>
        </w:rPr>
        <w:t xml:space="preserve">Figure 4.2 — Entity-Relationship Diagram</w:t>
      </w:r>
    </w:p>
    <w:p>
      <w:pPr>
        <w:spacing w:after="160" w:line="300" w:lineRule="auto"/>
      </w:pPr>
      <w:r>
        <w:rPr>
          <w:rFonts w:ascii="Calibri" w:cs="Calibri" w:eastAsia="Calibri" w:hAnsi="Calibri"/>
          <w:sz w:val="22"/>
          <w:szCs w:val="22"/>
        </w:rPr>
        <w:t xml:space="preserve">Figure 4.3 — Use-case diagram across four roles</w:t>
      </w:r>
    </w:p>
    <w:p>
      <w:pPr>
        <w:spacing w:after="160" w:line="300" w:lineRule="auto"/>
      </w:pPr>
      <w:r>
        <w:rPr>
          <w:rFonts w:ascii="Calibri" w:cs="Calibri" w:eastAsia="Calibri" w:hAnsi="Calibri"/>
          <w:sz w:val="22"/>
          <w:szCs w:val="22"/>
        </w:rPr>
        <w:t xml:space="preserve">Figure 4.4 — Authentication sequence diagram</w:t>
      </w:r>
    </w:p>
    <w:p>
      <w:pPr>
        <w:spacing w:after="160" w:line="300" w:lineRule="auto"/>
      </w:pPr>
      <w:r>
        <w:rPr>
          <w:rFonts w:ascii="Calibri" w:cs="Calibri" w:eastAsia="Calibri" w:hAnsi="Calibri"/>
          <w:sz w:val="22"/>
          <w:szCs w:val="22"/>
        </w:rPr>
        <w:t xml:space="preserve">Figure 4.5 — Component diagram of the React front-end</w:t>
      </w:r>
    </w:p>
    <w:p>
      <w:pPr>
        <w:spacing w:after="160" w:line="300" w:lineRule="auto"/>
      </w:pPr>
      <w:r>
        <w:rPr>
          <w:rFonts w:ascii="Calibri" w:cs="Calibri" w:eastAsia="Calibri" w:hAnsi="Calibri"/>
          <w:sz w:val="22"/>
          <w:szCs w:val="22"/>
        </w:rPr>
        <w:t xml:space="preserve">Figure 4.6 — Data-flow diagram for tuition payment</w:t>
      </w:r>
    </w:p>
    <w:p>
      <w:pPr>
        <w:spacing w:after="160" w:line="300" w:lineRule="auto"/>
      </w:pPr>
      <w:r>
        <w:rPr>
          <w:rFonts w:ascii="Calibri" w:cs="Calibri" w:eastAsia="Calibri" w:hAnsi="Calibri"/>
          <w:sz w:val="22"/>
          <w:szCs w:val="22"/>
        </w:rPr>
        <w:t xml:space="preserve">Figure 4.7 — Deployment topology</w:t>
      </w:r>
    </w:p>
    <w:p>
      <w:pPr>
        <w:spacing w:after="160" w:line="300" w:lineRule="auto"/>
      </w:pPr>
      <w:r>
        <w:rPr>
          <w:rFonts w:ascii="Calibri" w:cs="Calibri" w:eastAsia="Calibri" w:hAnsi="Calibri"/>
          <w:sz w:val="22"/>
          <w:szCs w:val="22"/>
        </w:rPr>
        <w:t xml:space="preserve">Figure 5.1 — Parent registration flow (5 steps)</w:t>
      </w:r>
    </w:p>
    <w:p>
      <w:pPr>
        <w:spacing w:after="160" w:line="300" w:lineRule="auto"/>
      </w:pPr>
      <w:r>
        <w:rPr>
          <w:rFonts w:ascii="Calibri" w:cs="Calibri" w:eastAsia="Calibri" w:hAnsi="Calibri"/>
          <w:sz w:val="22"/>
          <w:szCs w:val="22"/>
        </w:rPr>
        <w:t xml:space="preserve">Figure 5.2 — Tuition payment simulation across 5 channels</w:t>
      </w:r>
    </w:p>
    <w:p>
      <w:pPr>
        <w:spacing w:after="160" w:line="300" w:lineRule="auto"/>
      </w:pPr>
      <w:r>
        <w:rPr>
          <w:rFonts w:ascii="Calibri" w:cs="Calibri" w:eastAsia="Calibri" w:hAnsi="Calibri"/>
          <w:sz w:val="22"/>
          <w:szCs w:val="22"/>
        </w:rPr>
        <w:t xml:space="preserve">Figure 5.3 — Automated student enrolment pipeline</w:t>
      </w:r>
    </w:p>
    <w:p>
      <w:pPr>
        <w:spacing w:after="160" w:line="300" w:lineRule="auto"/>
      </w:pPr>
      <w:r>
        <w:rPr>
          <w:rFonts w:ascii="Calibri" w:cs="Calibri" w:eastAsia="Calibri" w:hAnsi="Calibri"/>
          <w:sz w:val="22"/>
          <w:szCs w:val="22"/>
        </w:rPr>
        <w:t xml:space="preserve">Figure 5b.1 — Kanban board snapshot (end of Sprint 4)</w:t>
      </w:r>
    </w:p>
    <w:p>
      <w:pPr>
        <w:spacing w:after="160" w:line="300" w:lineRule="auto"/>
      </w:pPr>
      <w:r>
        <w:rPr>
          <w:rFonts w:ascii="Calibri" w:cs="Calibri" w:eastAsia="Calibri" w:hAnsi="Calibri"/>
          <w:sz w:val="22"/>
          <w:szCs w:val="22"/>
        </w:rPr>
        <w:t xml:space="preserve">Figure 5b.2 — Sprint burndown chart</w:t>
      </w:r>
    </w:p>
    <w:p>
      <w:r>
        <w:br w:type="page"/>
      </w:r>
    </w:p>
    <w:p>
      <w:pPr>
        <w:jc w:val="center"/>
      </w:pPr>
      <w:r>
        <w:rPr>
          <w:rFonts w:ascii="Calibri" w:cs="Calibri" w:eastAsia="Calibri" w:hAnsi="Calibri"/>
          <w:b/>
          <w:bCs/>
          <w:color w:val="1E3AA0"/>
          <w:sz w:val="26"/>
          <w:szCs w:val="26"/>
        </w:rPr>
        <w:t xml:space="preserve">LIST OF TABLES</w:t>
      </w:r>
    </w:p>
    <w:p>
      <w:pPr>
        <w:spacing w:after="160" w:line="300" w:lineRule="auto"/>
      </w:pPr>
      <w:r>
        <w:rPr>
          <w:rFonts w:ascii="Calibri" w:cs="Calibri" w:eastAsia="Calibri" w:hAnsi="Calibri"/>
        </w:rPr>
        <w:t xml:space="preserve"/>
      </w:r>
    </w:p>
    <w:p>
      <w:pPr>
        <w:spacing w:after="160" w:line="300" w:lineRule="auto"/>
      </w:pPr>
      <w:r>
        <w:rPr>
          <w:rFonts w:ascii="Calibri" w:cs="Calibri" w:eastAsia="Calibri" w:hAnsi="Calibri"/>
          <w:sz w:val="22"/>
          <w:szCs w:val="22"/>
        </w:rPr>
        <w:t xml:space="preserve">Table 3.1 — Functional requirements per role</w:t>
      </w:r>
    </w:p>
    <w:p>
      <w:pPr>
        <w:spacing w:after="160" w:line="300" w:lineRule="auto"/>
      </w:pPr>
      <w:r>
        <w:rPr>
          <w:rFonts w:ascii="Calibri" w:cs="Calibri" w:eastAsia="Calibri" w:hAnsi="Calibri"/>
          <w:sz w:val="22"/>
          <w:szCs w:val="22"/>
        </w:rPr>
        <w:t xml:space="preserve">Table 3.2 — Non-functional requirements</w:t>
      </w:r>
    </w:p>
    <w:p>
      <w:pPr>
        <w:spacing w:after="160" w:line="300" w:lineRule="auto"/>
      </w:pPr>
      <w:r>
        <w:rPr>
          <w:rFonts w:ascii="Calibri" w:cs="Calibri" w:eastAsia="Calibri" w:hAnsi="Calibri"/>
          <w:sz w:val="22"/>
          <w:szCs w:val="22"/>
        </w:rPr>
        <w:t xml:space="preserve">Table 3.3 — Use cases</w:t>
      </w:r>
    </w:p>
    <w:p>
      <w:pPr>
        <w:spacing w:after="160" w:line="300" w:lineRule="auto"/>
      </w:pPr>
      <w:r>
        <w:rPr>
          <w:rFonts w:ascii="Calibri" w:cs="Calibri" w:eastAsia="Calibri" w:hAnsi="Calibri"/>
          <w:sz w:val="22"/>
          <w:szCs w:val="22"/>
        </w:rPr>
        <w:t xml:space="preserve">Table 4.1 — Technology choice justification</w:t>
      </w:r>
    </w:p>
    <w:p>
      <w:pPr>
        <w:spacing w:after="160" w:line="300" w:lineRule="auto"/>
      </w:pPr>
      <w:r>
        <w:rPr>
          <w:rFonts w:ascii="Calibri" w:cs="Calibri" w:eastAsia="Calibri" w:hAnsi="Calibri"/>
          <w:sz w:val="22"/>
          <w:szCs w:val="22"/>
        </w:rPr>
        <w:t xml:space="preserve">Table 4.2 — Database collections and relationships</w:t>
      </w:r>
    </w:p>
    <w:p>
      <w:pPr>
        <w:spacing w:after="160" w:line="300" w:lineRule="auto"/>
      </w:pPr>
      <w:r>
        <w:rPr>
          <w:rFonts w:ascii="Calibri" w:cs="Calibri" w:eastAsia="Calibri" w:hAnsi="Calibri"/>
          <w:sz w:val="22"/>
          <w:szCs w:val="22"/>
        </w:rPr>
        <w:t xml:space="preserve">Table 5.1 — IUGET specialties supported</w:t>
      </w:r>
    </w:p>
    <w:p>
      <w:pPr>
        <w:spacing w:after="160" w:line="300" w:lineRule="auto"/>
      </w:pPr>
      <w:r>
        <w:rPr>
          <w:rFonts w:ascii="Calibri" w:cs="Calibri" w:eastAsia="Calibri" w:hAnsi="Calibri"/>
          <w:sz w:val="22"/>
          <w:szCs w:val="22"/>
        </w:rPr>
        <w:t xml:space="preserve">Table 5.2 — Lecturer-course assignments (Sixth Semester)</w:t>
      </w:r>
    </w:p>
    <w:p>
      <w:pPr>
        <w:spacing w:after="160" w:line="300" w:lineRule="auto"/>
      </w:pPr>
      <w:r>
        <w:rPr>
          <w:rFonts w:ascii="Calibri" w:cs="Calibri" w:eastAsia="Calibri" w:hAnsi="Calibri"/>
          <w:sz w:val="22"/>
          <w:szCs w:val="22"/>
        </w:rPr>
        <w:t xml:space="preserve">Table 5.3 — Tuition fee breakdown</w:t>
      </w:r>
    </w:p>
    <w:p>
      <w:pPr>
        <w:spacing w:after="160" w:line="300" w:lineRule="auto"/>
      </w:pPr>
      <w:r>
        <w:rPr>
          <w:rFonts w:ascii="Calibri" w:cs="Calibri" w:eastAsia="Calibri" w:hAnsi="Calibri"/>
          <w:sz w:val="22"/>
          <w:szCs w:val="22"/>
        </w:rPr>
        <w:t xml:space="preserve">Table 5.4 — Payment methods and behaviours</w:t>
      </w:r>
    </w:p>
    <w:p>
      <w:pPr>
        <w:spacing w:after="160" w:line="300" w:lineRule="auto"/>
      </w:pPr>
      <w:r>
        <w:rPr>
          <w:rFonts w:ascii="Calibri" w:cs="Calibri" w:eastAsia="Calibri" w:hAnsi="Calibri"/>
          <w:sz w:val="22"/>
          <w:szCs w:val="22"/>
        </w:rPr>
        <w:t xml:space="preserve">Table 5b.1 — Agile Manifesto values honoured</w:t>
      </w:r>
    </w:p>
    <w:p>
      <w:pPr>
        <w:spacing w:after="160" w:line="300" w:lineRule="auto"/>
      </w:pPr>
      <w:r>
        <w:rPr>
          <w:rFonts w:ascii="Calibri" w:cs="Calibri" w:eastAsia="Calibri" w:hAnsi="Calibri"/>
          <w:sz w:val="22"/>
          <w:szCs w:val="22"/>
        </w:rPr>
        <w:t xml:space="preserve">Table 5b.2 — Scrum roles in solo-developer Agile</w:t>
      </w:r>
    </w:p>
    <w:p>
      <w:pPr>
        <w:spacing w:after="160" w:line="300" w:lineRule="auto"/>
      </w:pPr>
      <w:r>
        <w:rPr>
          <w:rFonts w:ascii="Calibri" w:cs="Calibri" w:eastAsia="Calibri" w:hAnsi="Calibri"/>
          <w:sz w:val="22"/>
          <w:szCs w:val="22"/>
        </w:rPr>
        <w:t xml:space="preserve">Table 5b.3 — Backlog distribution by role</w:t>
      </w:r>
    </w:p>
    <w:p>
      <w:pPr>
        <w:spacing w:after="160" w:line="300" w:lineRule="auto"/>
      </w:pPr>
      <w:r>
        <w:rPr>
          <w:rFonts w:ascii="Calibri" w:cs="Calibri" w:eastAsia="Calibri" w:hAnsi="Calibri"/>
          <w:sz w:val="22"/>
          <w:szCs w:val="22"/>
        </w:rPr>
        <w:t xml:space="preserve">Table 5b.4 — Sprint backlog and delivery</w:t>
      </w:r>
    </w:p>
    <w:p>
      <w:pPr>
        <w:spacing w:after="160" w:line="300" w:lineRule="auto"/>
      </w:pPr>
      <w:r>
        <w:rPr>
          <w:rFonts w:ascii="Calibri" w:cs="Calibri" w:eastAsia="Calibri" w:hAnsi="Calibri"/>
          <w:sz w:val="22"/>
          <w:szCs w:val="22"/>
        </w:rPr>
        <w:t xml:space="preserve">Table 6.1 — Test case summary</w:t>
      </w:r>
    </w:p>
    <w:p>
      <w:pPr>
        <w:spacing w:after="160" w:line="300" w:lineRule="auto"/>
      </w:pPr>
      <w:r>
        <w:rPr>
          <w:rFonts w:ascii="Calibri" w:cs="Calibri" w:eastAsia="Calibri" w:hAnsi="Calibri"/>
          <w:sz w:val="22"/>
          <w:szCs w:val="22"/>
        </w:rPr>
        <w:t xml:space="preserve">Table 7.1 — Performance measurements</w:t>
      </w:r>
    </w:p>
    <w:p>
      <w:r>
        <w:br w:type="page"/>
      </w:r>
    </w:p>
    <w:p>
      <w:pPr>
        <w:jc w:val="center"/>
      </w:pPr>
      <w:r>
        <w:rPr>
          <w:rFonts w:ascii="Calibri" w:cs="Calibri" w:eastAsia="Calibri" w:hAnsi="Calibri"/>
          <w:b/>
          <w:bCs/>
          <w:color w:val="1E3AA0"/>
          <w:sz w:val="26"/>
          <w:szCs w:val="26"/>
        </w:rPr>
        <w:t xml:space="preserve">LIST OF ABBREVIATIONS</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FF4FF" w:color="auto" w:val="clear"/>
          </w:tcPr>
          <w:p>
            <w:r>
              <w:rPr>
                <w:rFonts w:ascii="Calibri" w:cs="Calibri" w:eastAsia="Calibri" w:hAnsi="Calibri"/>
                <w:b/>
                <w:bCs/>
                <w:color w:val="1E3AA0"/>
                <w:sz w:val="20"/>
                <w:szCs w:val="20"/>
              </w:rPr>
              <w:t xml:space="preserve">Abbreviation</w:t>
            </w:r>
          </w:p>
        </w:tc>
        <w:tc>
          <w:tcPr>
            <w:tcW w:type="pct" w:w="70%"/>
            <w:shd w:fill="EFF4FF" w:color="auto" w:val="clear"/>
          </w:tcPr>
          <w:p>
            <w:r>
              <w:rPr>
                <w:rFonts w:ascii="Calibri" w:cs="Calibri" w:eastAsia="Calibri" w:hAnsi="Calibri"/>
                <w:b/>
                <w:bCs/>
                <w:color w:val="1E3AA0"/>
                <w:sz w:val="20"/>
                <w:szCs w:val="20"/>
              </w:rPr>
              <w:t xml:space="preserve">Meaning</w:t>
            </w:r>
          </w:p>
        </w:tc>
      </w:tr>
      <w:tr>
        <w:tc>
          <w:tcPr>
            <w:tcW w:type="pct" w:w="30%"/>
          </w:tcPr>
          <w:p>
            <w:r>
              <w:rPr>
                <w:rFonts w:ascii="Calibri" w:cs="Calibri" w:eastAsia="Calibri" w:hAnsi="Calibri"/>
                <w:b w:val="false"/>
                <w:bCs w:val="false"/>
                <w:color w:val="1E293B"/>
                <w:sz w:val="20"/>
                <w:szCs w:val="20"/>
              </w:rPr>
              <w:t xml:space="preserve">IUGET</w:t>
            </w:r>
          </w:p>
        </w:tc>
        <w:tc>
          <w:tcPr>
            <w:tcW w:type="pct" w:w="70%"/>
          </w:tcPr>
          <w:p>
            <w:r>
              <w:rPr>
                <w:rFonts w:ascii="Calibri" w:cs="Calibri" w:eastAsia="Calibri" w:hAnsi="Calibri"/>
                <w:b w:val="false"/>
                <w:bCs w:val="false"/>
                <w:color w:val="1E293B"/>
                <w:sz w:val="20"/>
                <w:szCs w:val="20"/>
              </w:rPr>
              <w:t xml:space="preserve">Institut Universitaire du Golfe de Guinée</w:t>
            </w:r>
          </w:p>
        </w:tc>
      </w:tr>
      <w:tr>
        <w:tc>
          <w:tcPr>
            <w:tcW w:type="pct" w:w="30%"/>
          </w:tcPr>
          <w:p>
            <w:r>
              <w:rPr>
                <w:rFonts w:ascii="Calibri" w:cs="Calibri" w:eastAsia="Calibri" w:hAnsi="Calibri"/>
                <w:b w:val="false"/>
                <w:bCs w:val="false"/>
                <w:color w:val="1E293B"/>
                <w:sz w:val="20"/>
                <w:szCs w:val="20"/>
              </w:rPr>
              <w:t xml:space="preserve">SIARM</w:t>
            </w:r>
          </w:p>
        </w:tc>
        <w:tc>
          <w:tcPr>
            <w:tcW w:type="pct" w:w="70%"/>
          </w:tcPr>
          <w:p>
            <w:r>
              <w:rPr>
                <w:rFonts w:ascii="Calibri" w:cs="Calibri" w:eastAsia="Calibri" w:hAnsi="Calibri"/>
                <w:b w:val="false"/>
                <w:bCs w:val="false"/>
                <w:color w:val="1E293B"/>
                <w:sz w:val="20"/>
                <w:szCs w:val="20"/>
              </w:rPr>
              <w:t xml:space="preserve">Smart Institution Academic Resource Management</w:t>
            </w:r>
          </w:p>
        </w:tc>
      </w:tr>
      <w:tr>
        <w:tc>
          <w:tcPr>
            <w:tcW w:type="pct" w:w="30%"/>
          </w:tcPr>
          <w:p>
            <w:r>
              <w:rPr>
                <w:rFonts w:ascii="Calibri" w:cs="Calibri" w:eastAsia="Calibri" w:hAnsi="Calibri"/>
                <w:b w:val="false"/>
                <w:bCs w:val="false"/>
                <w:color w:val="1E293B"/>
                <w:sz w:val="20"/>
                <w:szCs w:val="20"/>
              </w:rPr>
              <w:t xml:space="preserve">SWE</w:t>
            </w:r>
          </w:p>
        </w:tc>
        <w:tc>
          <w:tcPr>
            <w:tcW w:type="pct" w:w="70%"/>
          </w:tcPr>
          <w:p>
            <w:r>
              <w:rPr>
                <w:rFonts w:ascii="Calibri" w:cs="Calibri" w:eastAsia="Calibri" w:hAnsi="Calibri"/>
                <w:b w:val="false"/>
                <w:bCs w:val="false"/>
                <w:color w:val="1E293B"/>
                <w:sz w:val="20"/>
                <w:szCs w:val="20"/>
              </w:rPr>
              <w:t xml:space="preserve">Software Engineering (specialty)</w:t>
            </w:r>
          </w:p>
        </w:tc>
      </w:tr>
      <w:tr>
        <w:tc>
          <w:tcPr>
            <w:tcW w:type="pct" w:w="30%"/>
          </w:tcPr>
          <w:p>
            <w:r>
              <w:rPr>
                <w:rFonts w:ascii="Calibri" w:cs="Calibri" w:eastAsia="Calibri" w:hAnsi="Calibri"/>
                <w:b w:val="false"/>
                <w:bCs w:val="false"/>
                <w:color w:val="1E293B"/>
                <w:sz w:val="20"/>
                <w:szCs w:val="20"/>
              </w:rPr>
              <w:t xml:space="preserve">CNSM</w:t>
            </w:r>
          </w:p>
        </w:tc>
        <w:tc>
          <w:tcPr>
            <w:tcW w:type="pct" w:w="70%"/>
          </w:tcPr>
          <w:p>
            <w:r>
              <w:rPr>
                <w:rFonts w:ascii="Calibri" w:cs="Calibri" w:eastAsia="Calibri" w:hAnsi="Calibri"/>
                <w:b w:val="false"/>
                <w:bCs w:val="false"/>
                <w:color w:val="1E293B"/>
                <w:sz w:val="20"/>
                <w:szCs w:val="20"/>
              </w:rPr>
              <w:t xml:space="preserve">Computer Networks and Multimedia Systems (specialty)</w:t>
            </w:r>
          </w:p>
        </w:tc>
      </w:tr>
      <w:tr>
        <w:tc>
          <w:tcPr>
            <w:tcW w:type="pct" w:w="30%"/>
          </w:tcPr>
          <w:p>
            <w:r>
              <w:rPr>
                <w:rFonts w:ascii="Calibri" w:cs="Calibri" w:eastAsia="Calibri" w:hAnsi="Calibri"/>
                <w:b w:val="false"/>
                <w:bCs w:val="false"/>
                <w:color w:val="1E293B"/>
                <w:sz w:val="20"/>
                <w:szCs w:val="20"/>
              </w:rPr>
              <w:t xml:space="preserve">BST</w:t>
            </w:r>
          </w:p>
        </w:tc>
        <w:tc>
          <w:tcPr>
            <w:tcW w:type="pct" w:w="70%"/>
          </w:tcPr>
          <w:p>
            <w:r>
              <w:rPr>
                <w:rFonts w:ascii="Calibri" w:cs="Calibri" w:eastAsia="Calibri" w:hAnsi="Calibri"/>
                <w:b w:val="false"/>
                <w:bCs w:val="false"/>
                <w:color w:val="1E293B"/>
                <w:sz w:val="20"/>
                <w:szCs w:val="20"/>
              </w:rPr>
              <w:t xml:space="preserve">Business Strategy and Technology (specialty)</w:t>
            </w:r>
          </w:p>
        </w:tc>
      </w:tr>
      <w:tr>
        <w:tc>
          <w:tcPr>
            <w:tcW w:type="pct" w:w="30%"/>
          </w:tcPr>
          <w:p>
            <w:r>
              <w:rPr>
                <w:rFonts w:ascii="Calibri" w:cs="Calibri" w:eastAsia="Calibri" w:hAnsi="Calibri"/>
                <w:b w:val="false"/>
                <w:bCs w:val="false"/>
                <w:color w:val="1E293B"/>
                <w:sz w:val="20"/>
                <w:szCs w:val="20"/>
              </w:rPr>
              <w:t xml:space="preserve">MoMo</w:t>
            </w:r>
          </w:p>
        </w:tc>
        <w:tc>
          <w:tcPr>
            <w:tcW w:type="pct" w:w="70%"/>
          </w:tcPr>
          <w:p>
            <w:r>
              <w:rPr>
                <w:rFonts w:ascii="Calibri" w:cs="Calibri" w:eastAsia="Calibri" w:hAnsi="Calibri"/>
                <w:b w:val="false"/>
                <w:bCs w:val="false"/>
                <w:color w:val="1E293B"/>
                <w:sz w:val="20"/>
                <w:szCs w:val="20"/>
              </w:rPr>
              <w:t xml:space="preserve">MTN Mobile Money</w:t>
            </w:r>
          </w:p>
        </w:tc>
      </w:tr>
      <w:tr>
        <w:tc>
          <w:tcPr>
            <w:tcW w:type="pct" w:w="30%"/>
          </w:tcPr>
          <w:p>
            <w:r>
              <w:rPr>
                <w:rFonts w:ascii="Calibri" w:cs="Calibri" w:eastAsia="Calibri" w:hAnsi="Calibri"/>
                <w:b w:val="false"/>
                <w:bCs w:val="false"/>
                <w:color w:val="1E293B"/>
                <w:sz w:val="20"/>
                <w:szCs w:val="20"/>
              </w:rPr>
              <w:t xml:space="preserve">OM</w:t>
            </w:r>
          </w:p>
        </w:tc>
        <w:tc>
          <w:tcPr>
            <w:tcW w:type="pct" w:w="70%"/>
          </w:tcPr>
          <w:p>
            <w:r>
              <w:rPr>
                <w:rFonts w:ascii="Calibri" w:cs="Calibri" w:eastAsia="Calibri" w:hAnsi="Calibri"/>
                <w:b w:val="false"/>
                <w:bCs w:val="false"/>
                <w:color w:val="1E293B"/>
                <w:sz w:val="20"/>
                <w:szCs w:val="20"/>
              </w:rPr>
              <w:t xml:space="preserve">Orange Money</w:t>
            </w:r>
          </w:p>
        </w:tc>
      </w:tr>
      <w:tr>
        <w:tc>
          <w:tcPr>
            <w:tcW w:type="pct" w:w="30%"/>
          </w:tcPr>
          <w:p>
            <w:r>
              <w:rPr>
                <w:rFonts w:ascii="Calibri" w:cs="Calibri" w:eastAsia="Calibri" w:hAnsi="Calibri"/>
                <w:b w:val="false"/>
                <w:bCs w:val="false"/>
                <w:color w:val="1E293B"/>
                <w:sz w:val="20"/>
                <w:szCs w:val="20"/>
              </w:rPr>
              <w:t xml:space="preserve">FCFA</w:t>
            </w:r>
          </w:p>
        </w:tc>
        <w:tc>
          <w:tcPr>
            <w:tcW w:type="pct" w:w="70%"/>
          </w:tcPr>
          <w:p>
            <w:r>
              <w:rPr>
                <w:rFonts w:ascii="Calibri" w:cs="Calibri" w:eastAsia="Calibri" w:hAnsi="Calibri"/>
                <w:b w:val="false"/>
                <w:bCs w:val="false"/>
                <w:color w:val="1E293B"/>
                <w:sz w:val="20"/>
                <w:szCs w:val="20"/>
              </w:rPr>
              <w:t xml:space="preserve">Franc de la Coopération Financière en Afrique Centrale</w:t>
            </w:r>
          </w:p>
        </w:tc>
      </w:tr>
      <w:tr>
        <w:tc>
          <w:tcPr>
            <w:tcW w:type="pct" w:w="30%"/>
          </w:tcPr>
          <w:p>
            <w:r>
              <w:rPr>
                <w:rFonts w:ascii="Calibri" w:cs="Calibri" w:eastAsia="Calibri" w:hAnsi="Calibri"/>
                <w:b w:val="false"/>
                <w:bCs w:val="false"/>
                <w:color w:val="1E293B"/>
                <w:sz w:val="20"/>
                <w:szCs w:val="20"/>
              </w:rPr>
              <w:t xml:space="preserve">MINESUP</w:t>
            </w:r>
          </w:p>
        </w:tc>
        <w:tc>
          <w:tcPr>
            <w:tcW w:type="pct" w:w="70%"/>
          </w:tcPr>
          <w:p>
            <w:r>
              <w:rPr>
                <w:rFonts w:ascii="Calibri" w:cs="Calibri" w:eastAsia="Calibri" w:hAnsi="Calibri"/>
                <w:b w:val="false"/>
                <w:bCs w:val="false"/>
                <w:color w:val="1E293B"/>
                <w:sz w:val="20"/>
                <w:szCs w:val="20"/>
              </w:rPr>
              <w:t xml:space="preserve">Ministère de l'Enseignement Supérieur du Cameroun</w:t>
            </w:r>
          </w:p>
        </w:tc>
      </w:tr>
      <w:tr>
        <w:tc>
          <w:tcPr>
            <w:tcW w:type="pct" w:w="30%"/>
          </w:tcPr>
          <w:p>
            <w:r>
              <w:rPr>
                <w:rFonts w:ascii="Calibri" w:cs="Calibri" w:eastAsia="Calibri" w:hAnsi="Calibri"/>
                <w:b w:val="false"/>
                <w:bCs w:val="false"/>
                <w:color w:val="1E293B"/>
                <w:sz w:val="20"/>
                <w:szCs w:val="20"/>
              </w:rPr>
              <w:t xml:space="preserve">RBAC</w:t>
            </w:r>
          </w:p>
        </w:tc>
        <w:tc>
          <w:tcPr>
            <w:tcW w:type="pct" w:w="70%"/>
          </w:tcPr>
          <w:p>
            <w:r>
              <w:rPr>
                <w:rFonts w:ascii="Calibri" w:cs="Calibri" w:eastAsia="Calibri" w:hAnsi="Calibri"/>
                <w:b w:val="false"/>
                <w:bCs w:val="false"/>
                <w:color w:val="1E293B"/>
                <w:sz w:val="20"/>
                <w:szCs w:val="20"/>
              </w:rPr>
              <w:t xml:space="preserve">Role-Based Access Control</w:t>
            </w:r>
          </w:p>
        </w:tc>
      </w:tr>
      <w:tr>
        <w:tc>
          <w:tcPr>
            <w:tcW w:type="pct" w:w="30%"/>
          </w:tcPr>
          <w:p>
            <w:r>
              <w:rPr>
                <w:rFonts w:ascii="Calibri" w:cs="Calibri" w:eastAsia="Calibri" w:hAnsi="Calibri"/>
                <w:b w:val="false"/>
                <w:bCs w:val="false"/>
                <w:color w:val="1E293B"/>
                <w:sz w:val="20"/>
                <w:szCs w:val="20"/>
              </w:rPr>
              <w:t xml:space="preserve">SPA</w:t>
            </w:r>
          </w:p>
        </w:tc>
        <w:tc>
          <w:tcPr>
            <w:tcW w:type="pct" w:w="70%"/>
          </w:tcPr>
          <w:p>
            <w:r>
              <w:rPr>
                <w:rFonts w:ascii="Calibri" w:cs="Calibri" w:eastAsia="Calibri" w:hAnsi="Calibri"/>
                <w:b w:val="false"/>
                <w:bCs w:val="false"/>
                <w:color w:val="1E293B"/>
                <w:sz w:val="20"/>
                <w:szCs w:val="20"/>
              </w:rPr>
              <w:t xml:space="preserve">Single-Page Application</w:t>
            </w:r>
          </w:p>
        </w:tc>
      </w:tr>
      <w:tr>
        <w:tc>
          <w:tcPr>
            <w:tcW w:type="pct" w:w="30%"/>
          </w:tcPr>
          <w:p>
            <w:r>
              <w:rPr>
                <w:rFonts w:ascii="Calibri" w:cs="Calibri" w:eastAsia="Calibri" w:hAnsi="Calibri"/>
                <w:b w:val="false"/>
                <w:bCs w:val="false"/>
                <w:color w:val="1E293B"/>
                <w:sz w:val="20"/>
                <w:szCs w:val="20"/>
              </w:rPr>
              <w:t xml:space="preserve">PWA</w:t>
            </w:r>
          </w:p>
        </w:tc>
        <w:tc>
          <w:tcPr>
            <w:tcW w:type="pct" w:w="70%"/>
          </w:tcPr>
          <w:p>
            <w:r>
              <w:rPr>
                <w:rFonts w:ascii="Calibri" w:cs="Calibri" w:eastAsia="Calibri" w:hAnsi="Calibri"/>
                <w:b w:val="false"/>
                <w:bCs w:val="false"/>
                <w:color w:val="1E293B"/>
                <w:sz w:val="20"/>
                <w:szCs w:val="20"/>
              </w:rPr>
              <w:t xml:space="preserve">Progressive Web Application</w:t>
            </w:r>
          </w:p>
        </w:tc>
      </w:tr>
      <w:tr>
        <w:tc>
          <w:tcPr>
            <w:tcW w:type="pct" w:w="30%"/>
          </w:tcPr>
          <w:p>
            <w:r>
              <w:rPr>
                <w:rFonts w:ascii="Calibri" w:cs="Calibri" w:eastAsia="Calibri" w:hAnsi="Calibri"/>
                <w:b w:val="false"/>
                <w:bCs w:val="false"/>
                <w:color w:val="1E293B"/>
                <w:sz w:val="20"/>
                <w:szCs w:val="20"/>
              </w:rPr>
              <w:t xml:space="preserve">ERD</w:t>
            </w:r>
          </w:p>
        </w:tc>
        <w:tc>
          <w:tcPr>
            <w:tcW w:type="pct" w:w="70%"/>
          </w:tcPr>
          <w:p>
            <w:r>
              <w:rPr>
                <w:rFonts w:ascii="Calibri" w:cs="Calibri" w:eastAsia="Calibri" w:hAnsi="Calibri"/>
                <w:b w:val="false"/>
                <w:bCs w:val="false"/>
                <w:color w:val="1E293B"/>
                <w:sz w:val="20"/>
                <w:szCs w:val="20"/>
              </w:rPr>
              <w:t xml:space="preserve">Entity-Relationship Diagram</w:t>
            </w:r>
          </w:p>
        </w:tc>
      </w:tr>
      <w:tr>
        <w:tc>
          <w:tcPr>
            <w:tcW w:type="pct" w:w="30%"/>
          </w:tcPr>
          <w:p>
            <w:r>
              <w:rPr>
                <w:rFonts w:ascii="Calibri" w:cs="Calibri" w:eastAsia="Calibri" w:hAnsi="Calibri"/>
                <w:b w:val="false"/>
                <w:bCs w:val="false"/>
                <w:color w:val="1E293B"/>
                <w:sz w:val="20"/>
                <w:szCs w:val="20"/>
              </w:rPr>
              <w:t xml:space="preserve">CA</w:t>
            </w:r>
          </w:p>
        </w:tc>
        <w:tc>
          <w:tcPr>
            <w:tcW w:type="pct" w:w="70%"/>
          </w:tcPr>
          <w:p>
            <w:r>
              <w:rPr>
                <w:rFonts w:ascii="Calibri" w:cs="Calibri" w:eastAsia="Calibri" w:hAnsi="Calibri"/>
                <w:b w:val="false"/>
                <w:bCs w:val="false"/>
                <w:color w:val="1E293B"/>
                <w:sz w:val="20"/>
                <w:szCs w:val="20"/>
              </w:rPr>
              <w:t xml:space="preserve">Continuous Assessment</w:t>
            </w:r>
          </w:p>
        </w:tc>
      </w:tr>
      <w:tr>
        <w:tc>
          <w:tcPr>
            <w:tcW w:type="pct" w:w="30%"/>
          </w:tcPr>
          <w:p>
            <w:r>
              <w:rPr>
                <w:rFonts w:ascii="Calibri" w:cs="Calibri" w:eastAsia="Calibri" w:hAnsi="Calibri"/>
                <w:b w:val="false"/>
                <w:bCs w:val="false"/>
                <w:color w:val="1E293B"/>
                <w:sz w:val="20"/>
                <w:szCs w:val="20"/>
              </w:rPr>
              <w:t xml:space="preserve">GPA</w:t>
            </w:r>
          </w:p>
        </w:tc>
        <w:tc>
          <w:tcPr>
            <w:tcW w:type="pct" w:w="70%"/>
          </w:tcPr>
          <w:p>
            <w:r>
              <w:rPr>
                <w:rFonts w:ascii="Calibri" w:cs="Calibri" w:eastAsia="Calibri" w:hAnsi="Calibri"/>
                <w:b w:val="false"/>
                <w:bCs w:val="false"/>
                <w:color w:val="1E293B"/>
                <w:sz w:val="20"/>
                <w:szCs w:val="20"/>
              </w:rPr>
              <w:t xml:space="preserve">Grade Point Average</w:t>
            </w:r>
          </w:p>
        </w:tc>
      </w:tr>
      <w:tr>
        <w:tc>
          <w:tcPr>
            <w:tcW w:type="pct" w:w="30%"/>
          </w:tcPr>
          <w:p>
            <w:r>
              <w:rPr>
                <w:rFonts w:ascii="Calibri" w:cs="Calibri" w:eastAsia="Calibri" w:hAnsi="Calibri"/>
                <w:b w:val="false"/>
                <w:bCs w:val="false"/>
                <w:color w:val="1E293B"/>
                <w:sz w:val="20"/>
                <w:szCs w:val="20"/>
              </w:rPr>
              <w:t xml:space="preserve">CGPA</w:t>
            </w:r>
          </w:p>
        </w:tc>
        <w:tc>
          <w:tcPr>
            <w:tcW w:type="pct" w:w="70%"/>
          </w:tcPr>
          <w:p>
            <w:r>
              <w:rPr>
                <w:rFonts w:ascii="Calibri" w:cs="Calibri" w:eastAsia="Calibri" w:hAnsi="Calibri"/>
                <w:b w:val="false"/>
                <w:bCs w:val="false"/>
                <w:color w:val="1E293B"/>
                <w:sz w:val="20"/>
                <w:szCs w:val="20"/>
              </w:rPr>
              <w:t xml:space="preserve">Cumulative Grade Point Average</w:t>
            </w:r>
          </w:p>
        </w:tc>
      </w:tr>
      <w:tr>
        <w:tc>
          <w:tcPr>
            <w:tcW w:type="pct" w:w="30%"/>
          </w:tcPr>
          <w:p>
            <w:r>
              <w:rPr>
                <w:rFonts w:ascii="Calibri" w:cs="Calibri" w:eastAsia="Calibri" w:hAnsi="Calibri"/>
                <w:b w:val="false"/>
                <w:bCs w:val="false"/>
                <w:color w:val="1E293B"/>
                <w:sz w:val="20"/>
                <w:szCs w:val="20"/>
              </w:rPr>
              <w:t xml:space="preserve">USSD</w:t>
            </w:r>
          </w:p>
        </w:tc>
        <w:tc>
          <w:tcPr>
            <w:tcW w:type="pct" w:w="70%"/>
          </w:tcPr>
          <w:p>
            <w:r>
              <w:rPr>
                <w:rFonts w:ascii="Calibri" w:cs="Calibri" w:eastAsia="Calibri" w:hAnsi="Calibri"/>
                <w:b w:val="false"/>
                <w:bCs w:val="false"/>
                <w:color w:val="1E293B"/>
                <w:sz w:val="20"/>
                <w:szCs w:val="20"/>
              </w:rPr>
              <w:t xml:space="preserve">Unstructured Supplementary Service Data</w:t>
            </w:r>
          </w:p>
        </w:tc>
      </w:tr>
      <w:tr>
        <w:tc>
          <w:tcPr>
            <w:tcW w:type="pct" w:w="30%"/>
          </w:tcPr>
          <w:p>
            <w:r>
              <w:rPr>
                <w:rFonts w:ascii="Calibri" w:cs="Calibri" w:eastAsia="Calibri" w:hAnsi="Calibri"/>
                <w:b w:val="false"/>
                <w:bCs w:val="false"/>
                <w:color w:val="1E293B"/>
                <w:sz w:val="20"/>
                <w:szCs w:val="20"/>
              </w:rPr>
              <w:t xml:space="preserve">3-DS</w:t>
            </w:r>
          </w:p>
        </w:tc>
        <w:tc>
          <w:tcPr>
            <w:tcW w:type="pct" w:w="70%"/>
          </w:tcPr>
          <w:p>
            <w:r>
              <w:rPr>
                <w:rFonts w:ascii="Calibri" w:cs="Calibri" w:eastAsia="Calibri" w:hAnsi="Calibri"/>
                <w:b w:val="false"/>
                <w:bCs w:val="false"/>
                <w:color w:val="1E293B"/>
                <w:sz w:val="20"/>
                <w:szCs w:val="20"/>
              </w:rPr>
              <w:t xml:space="preserve">Three-Domain Secure (Visa/Mastercard authentication)</w:t>
            </w:r>
          </w:p>
        </w:tc>
      </w:tr>
      <w:tr>
        <w:tc>
          <w:tcPr>
            <w:tcW w:type="pct" w:w="30%"/>
          </w:tcPr>
          <w:p>
            <w:r>
              <w:rPr>
                <w:rFonts w:ascii="Calibri" w:cs="Calibri" w:eastAsia="Calibri" w:hAnsi="Calibri"/>
                <w:b w:val="false"/>
                <w:bCs w:val="false"/>
                <w:color w:val="1E293B"/>
                <w:sz w:val="20"/>
                <w:szCs w:val="20"/>
              </w:rPr>
              <w:t xml:space="preserve">CRUD</w:t>
            </w:r>
          </w:p>
        </w:tc>
        <w:tc>
          <w:tcPr>
            <w:tcW w:type="pct" w:w="70%"/>
          </w:tcPr>
          <w:p>
            <w:r>
              <w:rPr>
                <w:rFonts w:ascii="Calibri" w:cs="Calibri" w:eastAsia="Calibri" w:hAnsi="Calibri"/>
                <w:b w:val="false"/>
                <w:bCs w:val="false"/>
                <w:color w:val="1E293B"/>
                <w:sz w:val="20"/>
                <w:szCs w:val="20"/>
              </w:rPr>
              <w:t xml:space="preserve">Create, Read, Update, Delete</w:t>
            </w:r>
          </w:p>
        </w:tc>
      </w:tr>
    </w:tbl>
    <w:p>
      <w:r>
        <w:br w:type="page"/>
      </w:r>
    </w:p>
    <w:p>
      <w:pPr>
        <w:pStyle w:val="Heading1"/>
        <w:pageBreakBefore/>
        <w:spacing w:after="240" w:before="480"/>
      </w:pPr>
      <w:r>
        <w:t xml:space="preserve">Chapter 1 — General Introduction</w:t>
      </w:r>
    </w:p>
    <w:p>
      <w:pPr>
        <w:pStyle w:val="Heading2"/>
        <w:spacing w:after="200" w:before="360"/>
      </w:pPr>
      <w:r>
        <w:t xml:space="preserve">1.1  Background of the Study</w:t>
      </w:r>
    </w:p>
    <w:p>
      <w:pPr>
        <w:spacing w:after="160" w:line="300" w:lineRule="auto"/>
        <w:jc w:val="both"/>
      </w:pPr>
      <w:r>
        <w:rPr>
          <w:rFonts w:ascii="Calibri" w:cs="Calibri" w:eastAsia="Calibri" w:hAnsi="Calibri"/>
          <w:color w:val="1E293B"/>
          <w:sz w:val="22"/>
          <w:szCs w:val="22"/>
        </w:rPr>
        <w:t xml:space="preserve">Higher education in Cameroon has expanded rapidly in the past fifteen years. The Ministry of Higher Education (MINESUP) reports that the number of accredited private universities has more than tripled since 2010, and IUGET (Institut Universitaire du Golfe de Guinée) is one of the institutions that has grown alongside that trend. With campuses in Bonabéri and Bonamoussadi, IUGET offers Bachelor of Technology programmes across three specialties, including the Software Engineering programme to which the author belongs.</w:t>
      </w:r>
    </w:p>
    <w:p>
      <w:pPr>
        <w:spacing w:after="160" w:line="300" w:lineRule="auto"/>
        <w:jc w:val="both"/>
      </w:pPr>
      <w:r>
        <w:rPr>
          <w:rFonts w:ascii="Calibri" w:cs="Calibri" w:eastAsia="Calibri" w:hAnsi="Calibri"/>
          <w:color w:val="1E293B"/>
          <w:sz w:val="22"/>
          <w:szCs w:val="22"/>
        </w:rPr>
        <w:t xml:space="preserve">The increase in student intake has not been matched by a proportional increase in digital infrastructure. Day-to-day administration still relies on paper roll-call sheets, spreadsheet-based grade entry, WhatsApp groups for announcements, and unstructured cash or mobile-money receipts for tuition. Information is fragmented across disconnected tools and is rarely visible to leadership in real time. Students lose hours queueing at the bursary; lecturers spend time on paperwork that could be automated; leadership lacks the live indicators needed for timely decisions.</w:t>
      </w:r>
    </w:p>
    <w:p>
      <w:pPr>
        <w:spacing w:after="160" w:line="300" w:lineRule="auto"/>
        <w:jc w:val="both"/>
      </w:pPr>
      <w:r>
        <w:rPr>
          <w:rFonts w:ascii="Calibri" w:cs="Calibri" w:eastAsia="Calibri" w:hAnsi="Calibri"/>
          <w:color w:val="1E293B"/>
          <w:sz w:val="22"/>
          <w:szCs w:val="22"/>
        </w:rPr>
        <w:t xml:space="preserve">SIARM is a direct response to that gap — a working academic platform that an institution like IUGET Bonabéri could realistically adopt, with mobile-money payment, evening teaching, bilingual touches, and offline-capable delivery deliberately built in.</w:t>
      </w:r>
    </w:p>
    <w:p>
      <w:pPr>
        <w:pStyle w:val="Heading2"/>
        <w:spacing w:after="200" w:before="360"/>
      </w:pPr>
      <w:r>
        <w:t xml:space="preserve">1.2  Statement of the Problem</w:t>
      </w:r>
    </w:p>
    <w:p>
      <w:pPr>
        <w:spacing w:after="160" w:line="300" w:lineRule="auto"/>
        <w:jc w:val="both"/>
      </w:pPr>
      <w:r>
        <w:rPr>
          <w:rFonts w:ascii="Calibri" w:cs="Calibri" w:eastAsia="Calibri" w:hAnsi="Calibri"/>
          <w:color w:val="1E293B"/>
          <w:sz w:val="22"/>
          <w:szCs w:val="22"/>
        </w:rPr>
        <w:t xml:space="preserve">From observation, interviews with IUGET staff, and the author's three-year student experience, six recurring problems were identified:</w:t>
      </w:r>
    </w:p>
    <w:p>
      <w:pPr>
        <w:pStyle w:val="ListParagraph"/>
        <w:numPr>
          <w:ilvl w:val="0"/>
          <w:numId w:val="1"/>
        </w:numPr>
        <w:spacing w:after="80"/>
      </w:pPr>
      <w:r>
        <w:rPr>
          <w:rFonts w:ascii="Calibri" w:cs="Calibri" w:eastAsia="Calibri" w:hAnsi="Calibri"/>
          <w:sz w:val="22"/>
          <w:szCs w:val="22"/>
        </w:rPr>
        <w:t xml:space="preserve">Fragmented systems — attendance, grades, timetables, tuition and communication live in separate tools requiring manual reconciliation.</w:t>
      </w:r>
    </w:p>
    <w:p>
      <w:pPr>
        <w:pStyle w:val="ListParagraph"/>
        <w:numPr>
          <w:ilvl w:val="0"/>
          <w:numId w:val="1"/>
        </w:numPr>
        <w:spacing w:after="80"/>
      </w:pPr>
      <w:r>
        <w:rPr>
          <w:rFonts w:ascii="Calibri" w:cs="Calibri" w:eastAsia="Calibri" w:hAnsi="Calibri"/>
          <w:sz w:val="22"/>
          <w:szCs w:val="22"/>
        </w:rPr>
        <w:t xml:space="preserve">Manual workflows — roll-call on paper, grade sheets by hand, transcripts typed on request, each introducing latency and error.</w:t>
      </w:r>
    </w:p>
    <w:p>
      <w:pPr>
        <w:pStyle w:val="ListParagraph"/>
        <w:numPr>
          <w:ilvl w:val="0"/>
          <w:numId w:val="1"/>
        </w:numPr>
        <w:spacing w:after="80"/>
      </w:pPr>
      <w:r>
        <w:rPr>
          <w:rFonts w:ascii="Calibri" w:cs="Calibri" w:eastAsia="Calibri" w:hAnsi="Calibri"/>
          <w:sz w:val="22"/>
          <w:szCs w:val="22"/>
        </w:rPr>
        <w:t xml:space="preserve">Limited visibility — leadership has no live view of attendance, tuition collection, or at-risk cohorts.</w:t>
      </w:r>
    </w:p>
    <w:p>
      <w:pPr>
        <w:pStyle w:val="ListParagraph"/>
        <w:numPr>
          <w:ilvl w:val="0"/>
          <w:numId w:val="1"/>
        </w:numPr>
        <w:spacing w:after="80"/>
      </w:pPr>
      <w:r>
        <w:rPr>
          <w:rFonts w:ascii="Calibri" w:cs="Calibri" w:eastAsia="Calibri" w:hAnsi="Calibri"/>
          <w:sz w:val="22"/>
          <w:szCs w:val="22"/>
        </w:rPr>
        <w:t xml:space="preserve">Connectivity constraints — many students face intermittent internet; always-online platforms create friction.</w:t>
      </w:r>
    </w:p>
    <w:p>
      <w:pPr>
        <w:pStyle w:val="ListParagraph"/>
        <w:numPr>
          <w:ilvl w:val="0"/>
          <w:numId w:val="1"/>
        </w:numPr>
        <w:spacing w:after="80"/>
      </w:pPr>
      <w:r>
        <w:rPr>
          <w:rFonts w:ascii="Calibri" w:cs="Calibri" w:eastAsia="Calibri" w:hAnsi="Calibri"/>
          <w:sz w:val="22"/>
          <w:szCs w:val="22"/>
        </w:rPr>
        <w:t xml:space="preserve">Cumbersome enrolment — parents must visit campus, queue at the bursary, and return proof of payment to the registrar.</w:t>
      </w:r>
    </w:p>
    <w:p>
      <w:pPr>
        <w:pStyle w:val="ListParagraph"/>
        <w:numPr>
          <w:ilvl w:val="0"/>
          <w:numId w:val="1"/>
        </w:numPr>
        <w:spacing w:after="80"/>
      </w:pPr>
      <w:r>
        <w:rPr>
          <w:rFonts w:ascii="Calibri" w:cs="Calibri" w:eastAsia="Calibri" w:hAnsi="Calibri"/>
          <w:sz w:val="22"/>
          <w:szCs w:val="22"/>
        </w:rPr>
        <w:t xml:space="preserve">Fraud vulnerability — hand-stamped receipts and transcripts are easily copied; QR-linked digital trails would strengthen credibility.</w:t>
      </w:r>
    </w:p>
    <w:p>
      <w:pPr>
        <w:pStyle w:val="Heading2"/>
        <w:spacing w:after="200" w:before="360"/>
      </w:pPr>
      <w:r>
        <w:t xml:space="preserve">1.3  Objectives of the Study</w:t>
      </w:r>
    </w:p>
    <w:p>
      <w:pPr>
        <w:pStyle w:val="Heading3"/>
        <w:spacing w:after="160" w:before="280"/>
      </w:pPr>
      <w:r>
        <w:t xml:space="preserve">1.3.1  General Objective</w:t>
      </w:r>
    </w:p>
    <w:p>
      <w:pPr>
        <w:spacing w:after="160" w:line="300" w:lineRule="auto"/>
        <w:jc w:val="both"/>
      </w:pPr>
      <w:r>
        <w:rPr>
          <w:rFonts w:ascii="Calibri" w:cs="Calibri" w:eastAsia="Calibri" w:hAnsi="Calibri"/>
          <w:color w:val="1E293B"/>
          <w:sz w:val="22"/>
          <w:szCs w:val="22"/>
        </w:rPr>
        <w:t xml:space="preserve">The general objective of this work is to design, implement and document a unified web platform that automates the core administrative and pedagogical operations of a private university, using IUGET Bonabéri as the reference deployment.</w:t>
      </w:r>
    </w:p>
    <w:p>
      <w:pPr>
        <w:pStyle w:val="Heading3"/>
        <w:spacing w:after="160" w:before="280"/>
      </w:pPr>
      <w:r>
        <w:t xml:space="preserve">1.3.2  Specific Objectives</w:t>
      </w:r>
    </w:p>
    <w:p>
      <w:pPr>
        <w:pStyle w:val="ListParagraph"/>
        <w:numPr>
          <w:ilvl w:val="0"/>
          <w:numId w:val="1"/>
        </w:numPr>
        <w:spacing w:after="80"/>
      </w:pPr>
      <w:r>
        <w:rPr>
          <w:rFonts w:ascii="Calibri" w:cs="Calibri" w:eastAsia="Calibri" w:hAnsi="Calibri"/>
          <w:sz w:val="22"/>
          <w:szCs w:val="22"/>
        </w:rPr>
        <w:t xml:space="preserve">To analyse the current administrative workflows at IUGET Bonabéri and identify the operations that benefit most from digitalisation.</w:t>
      </w:r>
    </w:p>
    <w:p>
      <w:pPr>
        <w:pStyle w:val="ListParagraph"/>
        <w:numPr>
          <w:ilvl w:val="0"/>
          <w:numId w:val="1"/>
        </w:numPr>
        <w:spacing w:after="80"/>
      </w:pPr>
      <w:r>
        <w:rPr>
          <w:rFonts w:ascii="Calibri" w:cs="Calibri" w:eastAsia="Calibri" w:hAnsi="Calibri"/>
          <w:sz w:val="22"/>
          <w:szCs w:val="22"/>
        </w:rPr>
        <w:t xml:space="preserve">To design a role-aware information architecture suitable for students, lecturers, staff and leadership, plus a public surface usable by parents without an account.</w:t>
      </w:r>
    </w:p>
    <w:p>
      <w:pPr>
        <w:pStyle w:val="ListParagraph"/>
        <w:numPr>
          <w:ilvl w:val="0"/>
          <w:numId w:val="1"/>
        </w:numPr>
        <w:spacing w:after="80"/>
      </w:pPr>
      <w:r>
        <w:rPr>
          <w:rFonts w:ascii="Calibri" w:cs="Calibri" w:eastAsia="Calibri" w:hAnsi="Calibri"/>
          <w:sz w:val="22"/>
          <w:szCs w:val="22"/>
        </w:rPr>
        <w:t xml:space="preserve">To implement a working web application that supports attendance, timetable, results, transcripts, official student identification, announcements, tuition payment, and a financial-tracking dashboard.</w:t>
      </w:r>
    </w:p>
    <w:p>
      <w:pPr>
        <w:pStyle w:val="ListParagraph"/>
        <w:numPr>
          <w:ilvl w:val="0"/>
          <w:numId w:val="1"/>
        </w:numPr>
        <w:spacing w:after="80"/>
      </w:pPr>
      <w:r>
        <w:rPr>
          <w:rFonts w:ascii="Calibri" w:cs="Calibri" w:eastAsia="Calibri" w:hAnsi="Calibri"/>
          <w:sz w:val="22"/>
          <w:szCs w:val="22"/>
        </w:rPr>
        <w:t xml:space="preserve">To simulate end-to-end tuition payment through five realistic channels — MTN Mobile Money, Orange Money, PayPal, Visa/Mastercard 3-D Secure, and bank transfer — without ever persisting the parent's credentials.</w:t>
      </w:r>
    </w:p>
    <w:p>
      <w:pPr>
        <w:pStyle w:val="ListParagraph"/>
        <w:numPr>
          <w:ilvl w:val="0"/>
          <w:numId w:val="1"/>
        </w:numPr>
        <w:spacing w:after="80"/>
      </w:pPr>
      <w:r>
        <w:rPr>
          <w:rFonts w:ascii="Calibri" w:cs="Calibri" w:eastAsia="Calibri" w:hAnsi="Calibri"/>
          <w:sz w:val="22"/>
          <w:szCs w:val="22"/>
        </w:rPr>
        <w:t xml:space="preserve">To automate student enrolment by generating matricule, university email, login account, ID-card record and tuition account from a single submission or a CSV upload.</w:t>
      </w:r>
    </w:p>
    <w:p>
      <w:pPr>
        <w:pStyle w:val="ListParagraph"/>
        <w:numPr>
          <w:ilvl w:val="0"/>
          <w:numId w:val="1"/>
        </w:numPr>
        <w:spacing w:after="80"/>
      </w:pPr>
      <w:r>
        <w:rPr>
          <w:rFonts w:ascii="Calibri" w:cs="Calibri" w:eastAsia="Calibri" w:hAnsi="Calibri"/>
          <w:sz w:val="22"/>
          <w:szCs w:val="22"/>
        </w:rPr>
        <w:t xml:space="preserve">To make every printable academic artefact — receipt, results, transcript, ID card — verifiable through a QR code that resolves to an institutional URL.</w:t>
      </w:r>
    </w:p>
    <w:p>
      <w:pPr>
        <w:pStyle w:val="ListParagraph"/>
        <w:numPr>
          <w:ilvl w:val="0"/>
          <w:numId w:val="1"/>
        </w:numPr>
        <w:spacing w:after="80"/>
      </w:pPr>
      <w:r>
        <w:rPr>
          <w:rFonts w:ascii="Calibri" w:cs="Calibri" w:eastAsia="Calibri" w:hAnsi="Calibri"/>
          <w:sz w:val="22"/>
          <w:szCs w:val="22"/>
        </w:rPr>
        <w:t xml:space="preserve">To deliver the platform as an offline-capable Progressive Web Application that remains usable when connectivity is intermittent.</w:t>
      </w:r>
    </w:p>
    <w:p>
      <w:pPr>
        <w:pStyle w:val="ListParagraph"/>
        <w:numPr>
          <w:ilvl w:val="0"/>
          <w:numId w:val="1"/>
        </w:numPr>
        <w:spacing w:after="80"/>
      </w:pPr>
      <w:r>
        <w:rPr>
          <w:rFonts w:ascii="Calibri" w:cs="Calibri" w:eastAsia="Calibri" w:hAnsi="Calibri"/>
          <w:sz w:val="22"/>
          <w:szCs w:val="22"/>
        </w:rPr>
        <w:t xml:space="preserve">To produce defence-ready documentation: this report, a presentation, and a deployable production build.</w:t>
      </w:r>
    </w:p>
    <w:p>
      <w:pPr>
        <w:pStyle w:val="Heading2"/>
        <w:spacing w:after="200" w:before="360"/>
      </w:pPr>
      <w:r>
        <w:t xml:space="preserve">1.4  Significance of the Study</w:t>
      </w:r>
    </w:p>
    <w:p>
      <w:pPr>
        <w:spacing w:after="160" w:line="300" w:lineRule="auto"/>
        <w:jc w:val="both"/>
      </w:pPr>
      <w:r>
        <w:rPr>
          <w:rFonts w:ascii="Calibri" w:cs="Calibri" w:eastAsia="Calibri" w:hAnsi="Calibri"/>
          <w:color w:val="1E293B"/>
          <w:sz w:val="22"/>
          <w:szCs w:val="22"/>
        </w:rPr>
        <w:t xml:space="preserve">A successful SIARM deployment would shorten the administrative loop between every action a student or parent takes and the institution's ability to record and act on it. Concretely:</w:t>
      </w:r>
    </w:p>
    <w:p>
      <w:pPr>
        <w:pStyle w:val="ListParagraph"/>
        <w:numPr>
          <w:ilvl w:val="0"/>
          <w:numId w:val="1"/>
        </w:numPr>
        <w:spacing w:after="80"/>
      </w:pPr>
      <w:r>
        <w:rPr>
          <w:rFonts w:ascii="Calibri" w:cs="Calibri" w:eastAsia="Calibri" w:hAnsi="Calibri"/>
          <w:sz w:val="22"/>
          <w:szCs w:val="22"/>
        </w:rPr>
        <w:t xml:space="preserve">Students gain immediate visibility of attendance, grades, fees and their own academic standing, with one-click printable transcripts and ID cards.</w:t>
      </w:r>
    </w:p>
    <w:p>
      <w:pPr>
        <w:pStyle w:val="ListParagraph"/>
        <w:numPr>
          <w:ilvl w:val="0"/>
          <w:numId w:val="1"/>
        </w:numPr>
        <w:spacing w:after="80"/>
      </w:pPr>
      <w:r>
        <w:rPr>
          <w:rFonts w:ascii="Calibri" w:cs="Calibri" w:eastAsia="Calibri" w:hAnsi="Calibri"/>
          <w:sz w:val="22"/>
          <w:szCs w:val="22"/>
        </w:rPr>
        <w:t xml:space="preserve">Parents can register their child without travelling to the campus, see exactly what they are paying for, and receive an instantly printable receipt.</w:t>
      </w:r>
    </w:p>
    <w:p>
      <w:pPr>
        <w:pStyle w:val="ListParagraph"/>
        <w:numPr>
          <w:ilvl w:val="0"/>
          <w:numId w:val="1"/>
        </w:numPr>
        <w:spacing w:after="80"/>
      </w:pPr>
      <w:r>
        <w:rPr>
          <w:rFonts w:ascii="Calibri" w:cs="Calibri" w:eastAsia="Calibri" w:hAnsi="Calibri"/>
          <w:sz w:val="22"/>
          <w:szCs w:val="22"/>
        </w:rPr>
        <w:t xml:space="preserve">Lecturers replace hand-written attendance and grade sheets with two-tap mobile interactions.</w:t>
      </w:r>
    </w:p>
    <w:p>
      <w:pPr>
        <w:pStyle w:val="ListParagraph"/>
        <w:numPr>
          <w:ilvl w:val="0"/>
          <w:numId w:val="1"/>
        </w:numPr>
        <w:spacing w:after="80"/>
      </w:pPr>
      <w:r>
        <w:rPr>
          <w:rFonts w:ascii="Calibri" w:cs="Calibri" w:eastAsia="Calibri" w:hAnsi="Calibri"/>
          <w:sz w:val="22"/>
          <w:szCs w:val="22"/>
        </w:rPr>
        <w:t xml:space="preserve">Bursary staff see tuition collection update in real time and can export filtered reports for reconciliation.</w:t>
      </w:r>
    </w:p>
    <w:p>
      <w:pPr>
        <w:pStyle w:val="ListParagraph"/>
        <w:numPr>
          <w:ilvl w:val="0"/>
          <w:numId w:val="1"/>
        </w:numPr>
        <w:spacing w:after="80"/>
      </w:pPr>
      <w:r>
        <w:rPr>
          <w:rFonts w:ascii="Calibri" w:cs="Calibri" w:eastAsia="Calibri" w:hAnsi="Calibri"/>
          <w:sz w:val="22"/>
          <w:szCs w:val="22"/>
        </w:rPr>
        <w:t xml:space="preserve">Leadership has a live dashboard of the institution's academic and financial health.</w:t>
      </w:r>
    </w:p>
    <w:p>
      <w:pPr>
        <w:spacing w:after="160" w:line="300" w:lineRule="auto"/>
        <w:jc w:val="both"/>
      </w:pPr>
      <w:r>
        <w:rPr>
          <w:rFonts w:ascii="Calibri" w:cs="Calibri" w:eastAsia="Calibri" w:hAnsi="Calibri"/>
          <w:color w:val="1E293B"/>
          <w:sz w:val="22"/>
          <w:szCs w:val="22"/>
        </w:rPr>
        <w:t xml:space="preserve">Beyond IUGET, the architecture is intentionally generic; it can be deployed at any private institution that operates a comparable evening-class model with mobile-payment expectations.</w:t>
      </w:r>
    </w:p>
    <w:p>
      <w:pPr>
        <w:pStyle w:val="Heading2"/>
        <w:spacing w:after="200" w:before="360"/>
      </w:pPr>
      <w:r>
        <w:t xml:space="preserve">1.5  Scope and Delimitations</w:t>
      </w:r>
    </w:p>
    <w:p>
      <w:pPr>
        <w:spacing w:after="160" w:line="300" w:lineRule="auto"/>
        <w:jc w:val="both"/>
      </w:pPr>
      <w:r>
        <w:rPr>
          <w:rFonts w:ascii="Calibri" w:cs="Calibri" w:eastAsia="Calibri" w:hAnsi="Calibri"/>
          <w:color w:val="1E293B"/>
          <w:sz w:val="22"/>
          <w:szCs w:val="22"/>
        </w:rPr>
        <w:t xml:space="preserve">SIARM covers the operational core of an undergraduate programme: admission, attendance, timetable, assessment, payment, identification, communication, and reporting. It does not address human-resources, payroll or accounting at the institutional level — those are deliberately left to a separate finance system that SIARM would integrate with rather than replace.</w:t>
      </w:r>
    </w:p>
    <w:p>
      <w:pPr>
        <w:spacing w:after="160" w:line="300" w:lineRule="auto"/>
        <w:jc w:val="both"/>
      </w:pPr>
      <w:r>
        <w:rPr>
          <w:rFonts w:ascii="Calibri" w:cs="Calibri" w:eastAsia="Calibri" w:hAnsi="Calibri"/>
          <w:color w:val="1E293B"/>
          <w:sz w:val="22"/>
          <w:szCs w:val="22"/>
        </w:rPr>
        <w:t xml:space="preserve">Geographically, the demonstration deployment targets IUGET Bonabéri. Tuition figures and the academic calendar follow IUGET's 2025/2026 cycle. The reference timetable is the published Sixth-Semester schedule N° 30/IUGET/C-DIR/P-SP/05-26-SW, covering the week of 25–31 May 2026.</w:t>
      </w:r>
    </w:p>
    <w:p>
      <w:pPr>
        <w:spacing w:after="160" w:line="300" w:lineRule="auto"/>
        <w:jc w:val="both"/>
      </w:pPr>
      <w:r>
        <w:rPr>
          <w:rFonts w:ascii="Calibri" w:cs="Calibri" w:eastAsia="Calibri" w:hAnsi="Calibri"/>
          <w:color w:val="1E293B"/>
          <w:sz w:val="22"/>
          <w:szCs w:val="22"/>
        </w:rPr>
        <w:t xml:space="preserve">Technically, the platform runs in the browser. A native mobile companion is out of scope; instead, the Progressive Web Application packaging permits installation on Android and iOS devices, with offline access to recently-viewed pages.</w:t>
      </w:r>
    </w:p>
    <w:p>
      <w:pPr>
        <w:pStyle w:val="Heading2"/>
        <w:spacing w:after="200" w:before="360"/>
      </w:pPr>
      <w:r>
        <w:t xml:space="preserve">1.6  Methodology Overview</w:t>
      </w:r>
    </w:p>
    <w:p>
      <w:pPr>
        <w:spacing w:after="160" w:line="300" w:lineRule="auto"/>
        <w:jc w:val="both"/>
      </w:pPr>
      <w:r>
        <w:rPr>
          <w:rFonts w:ascii="Calibri" w:cs="Calibri" w:eastAsia="Calibri" w:hAnsi="Calibri"/>
          <w:color w:val="1E293B"/>
          <w:sz w:val="22"/>
          <w:szCs w:val="22"/>
        </w:rPr>
        <w:t xml:space="preserve">The development followed an iterative, sprint-based approach modelled on the Agile Scrum methodology. Each one-week sprint produced a small set of demonstrable features, allowing the author to incorporate feedback from informal sessions with classmates and lecturers between iterations. The work was organised in five sprints:</w:t>
      </w:r>
    </w:p>
    <w:p>
      <w:pPr>
        <w:pStyle w:val="ListParagraph"/>
        <w:numPr>
          <w:ilvl w:val="0"/>
          <w:numId w:val="1"/>
        </w:numPr>
        <w:spacing w:after="80"/>
      </w:pPr>
      <w:r>
        <w:rPr>
          <w:rFonts w:ascii="Calibri" w:cs="Calibri" w:eastAsia="Calibri" w:hAnsi="Calibri"/>
          <w:sz w:val="22"/>
          <w:szCs w:val="22"/>
        </w:rPr>
        <w:t xml:space="preserve">Sprint 1 — Foundations: project scaffolding, design system, authentication, role guards, mock data layer.</w:t>
      </w:r>
    </w:p>
    <w:p>
      <w:pPr>
        <w:pStyle w:val="ListParagraph"/>
        <w:numPr>
          <w:ilvl w:val="0"/>
          <w:numId w:val="1"/>
        </w:numPr>
        <w:spacing w:after="80"/>
      </w:pPr>
      <w:r>
        <w:rPr>
          <w:rFonts w:ascii="Calibri" w:cs="Calibri" w:eastAsia="Calibri" w:hAnsi="Calibri"/>
          <w:sz w:val="22"/>
          <w:szCs w:val="22"/>
        </w:rPr>
        <w:t xml:space="preserve">Sprint 2 — Student and Lecturer surfaces: attendance, timetable, results, transcript, announcements, ID card.</w:t>
      </w:r>
    </w:p>
    <w:p>
      <w:pPr>
        <w:pStyle w:val="ListParagraph"/>
        <w:numPr>
          <w:ilvl w:val="0"/>
          <w:numId w:val="1"/>
        </w:numPr>
        <w:spacing w:after="80"/>
      </w:pPr>
      <w:r>
        <w:rPr>
          <w:rFonts w:ascii="Calibri" w:cs="Calibri" w:eastAsia="Calibri" w:hAnsi="Calibri"/>
          <w:sz w:val="22"/>
          <w:szCs w:val="22"/>
        </w:rPr>
        <w:t xml:space="preserve">Sprint 3 — Bursary and Administration surfaces: user management, financial tracking, timetable builder, announcements.</w:t>
      </w:r>
    </w:p>
    <w:p>
      <w:pPr>
        <w:pStyle w:val="ListParagraph"/>
        <w:numPr>
          <w:ilvl w:val="0"/>
          <w:numId w:val="1"/>
        </w:numPr>
        <w:spacing w:after="80"/>
      </w:pPr>
      <w:r>
        <w:rPr>
          <w:rFonts w:ascii="Calibri" w:cs="Calibri" w:eastAsia="Calibri" w:hAnsi="Calibri"/>
          <w:sz w:val="22"/>
          <w:szCs w:val="22"/>
        </w:rPr>
        <w:t xml:space="preserve">Sprint 4 — Public Parent Portal: marketing-style landing page, five-step registration wizard, simulated payment.</w:t>
      </w:r>
    </w:p>
    <w:p>
      <w:pPr>
        <w:pStyle w:val="ListParagraph"/>
        <w:numPr>
          <w:ilvl w:val="0"/>
          <w:numId w:val="1"/>
        </w:numPr>
        <w:spacing w:after="80"/>
      </w:pPr>
      <w:r>
        <w:rPr>
          <w:rFonts w:ascii="Calibri" w:cs="Calibri" w:eastAsia="Calibri" w:hAnsi="Calibri"/>
          <w:sz w:val="22"/>
          <w:szCs w:val="22"/>
        </w:rPr>
        <w:t xml:space="preserve">Sprint 5 — Polish, accessibility, offline shell, defence preparation.</w:t>
      </w:r>
    </w:p>
    <w:p>
      <w:pPr>
        <w:spacing w:after="160" w:line="300" w:lineRule="auto"/>
        <w:jc w:val="both"/>
      </w:pPr>
      <w:r>
        <w:rPr>
          <w:rFonts w:ascii="Calibri" w:cs="Calibri" w:eastAsia="Calibri" w:hAnsi="Calibri"/>
          <w:color w:val="1E293B"/>
          <w:sz w:val="22"/>
          <w:szCs w:val="22"/>
        </w:rPr>
        <w:t xml:space="preserve">A more detailed methodology, including the sprint backlog and the tools used at each stage, is presented in Chapter 3.</w:t>
      </w:r>
    </w:p>
    <w:p>
      <w:pPr>
        <w:pStyle w:val="Heading2"/>
        <w:spacing w:after="200" w:before="360"/>
      </w:pPr>
      <w:r>
        <w:t xml:space="preserve">1.7  Organisation of the Report</w:t>
      </w:r>
    </w:p>
    <w:p>
      <w:pPr>
        <w:spacing w:after="160" w:line="300" w:lineRule="auto"/>
        <w:jc w:val="both"/>
      </w:pPr>
      <w:r>
        <w:rPr>
          <w:rFonts w:ascii="Calibri" w:cs="Calibri" w:eastAsia="Calibri" w:hAnsi="Calibri"/>
          <w:color w:val="1E293B"/>
          <w:sz w:val="22"/>
          <w:szCs w:val="22"/>
        </w:rPr>
        <w:t xml:space="preserve">The remainder of this report is organised as follows:</w:t>
      </w:r>
    </w:p>
    <w:p>
      <w:pPr>
        <w:pStyle w:val="ListParagraph"/>
        <w:numPr>
          <w:ilvl w:val="0"/>
          <w:numId w:val="1"/>
        </w:numPr>
        <w:spacing w:after="80"/>
      </w:pPr>
      <w:r>
        <w:rPr>
          <w:rFonts w:ascii="Calibri" w:cs="Calibri" w:eastAsia="Calibri" w:hAnsi="Calibri"/>
          <w:sz w:val="22"/>
          <w:szCs w:val="22"/>
        </w:rPr>
        <w:t xml:space="preserve">Chapter 2 reviews related work and existing systems, with comparison tables.</w:t>
      </w:r>
    </w:p>
    <w:p>
      <w:pPr>
        <w:pStyle w:val="ListParagraph"/>
        <w:numPr>
          <w:ilvl w:val="0"/>
          <w:numId w:val="1"/>
        </w:numPr>
        <w:spacing w:after="80"/>
      </w:pPr>
      <w:r>
        <w:rPr>
          <w:rFonts w:ascii="Calibri" w:cs="Calibri" w:eastAsia="Calibri" w:hAnsi="Calibri"/>
          <w:sz w:val="22"/>
          <w:szCs w:val="22"/>
        </w:rPr>
        <w:t xml:space="preserve">Chapter 3 derives the functional and non-functional requirements of SIARM through interviews, observation and use-case modelling.</w:t>
      </w:r>
    </w:p>
    <w:p>
      <w:pPr>
        <w:pStyle w:val="ListParagraph"/>
        <w:numPr>
          <w:ilvl w:val="0"/>
          <w:numId w:val="1"/>
        </w:numPr>
        <w:spacing w:after="80"/>
      </w:pPr>
      <w:r>
        <w:rPr>
          <w:rFonts w:ascii="Calibri" w:cs="Calibri" w:eastAsia="Calibri" w:hAnsi="Calibri"/>
          <w:sz w:val="22"/>
          <w:szCs w:val="22"/>
        </w:rPr>
        <w:t xml:space="preserve">Chapter 4 presents the system design — architecture, data model, security model, user-interface principles, and detailed designs for the most novel flows.</w:t>
      </w:r>
    </w:p>
    <w:p>
      <w:pPr>
        <w:pStyle w:val="ListParagraph"/>
        <w:numPr>
          <w:ilvl w:val="0"/>
          <w:numId w:val="1"/>
        </w:numPr>
        <w:spacing w:after="80"/>
      </w:pPr>
      <w:r>
        <w:rPr>
          <w:rFonts w:ascii="Calibri" w:cs="Calibri" w:eastAsia="Calibri" w:hAnsi="Calibri"/>
          <w:sz w:val="22"/>
          <w:szCs w:val="22"/>
        </w:rPr>
        <w:t xml:space="preserve">Chapter 5 documents the implementation, including the technology stack, the module catalogue, the parent portal, the payment simulator, and the automated-enrolment pipeline.</w:t>
      </w:r>
    </w:p>
    <w:p>
      <w:pPr>
        <w:pStyle w:val="ListParagraph"/>
        <w:numPr>
          <w:ilvl w:val="0"/>
          <w:numId w:val="1"/>
        </w:numPr>
        <w:spacing w:after="80"/>
      </w:pPr>
      <w:r>
        <w:rPr>
          <w:rFonts w:ascii="Calibri" w:cs="Calibri" w:eastAsia="Calibri" w:hAnsi="Calibri"/>
          <w:sz w:val="22"/>
          <w:szCs w:val="22"/>
        </w:rPr>
        <w:t xml:space="preserve">Chapter 6 describes the testing strategy and reports the results of functional, usability and performance tests.</w:t>
      </w:r>
    </w:p>
    <w:p>
      <w:pPr>
        <w:pStyle w:val="ListParagraph"/>
        <w:numPr>
          <w:ilvl w:val="0"/>
          <w:numId w:val="1"/>
        </w:numPr>
        <w:spacing w:after="80"/>
      </w:pPr>
      <w:r>
        <w:rPr>
          <w:rFonts w:ascii="Calibri" w:cs="Calibri" w:eastAsia="Calibri" w:hAnsi="Calibri"/>
          <w:sz w:val="22"/>
          <w:szCs w:val="22"/>
        </w:rPr>
        <w:t xml:space="preserve">Chapter 7 discusses the outcomes, what worked, what was harder than expected, and where the architecture scales.</w:t>
      </w:r>
    </w:p>
    <w:p>
      <w:pPr>
        <w:pStyle w:val="ListParagraph"/>
        <w:numPr>
          <w:ilvl w:val="0"/>
          <w:numId w:val="1"/>
        </w:numPr>
        <w:spacing w:after="80"/>
      </w:pPr>
      <w:r>
        <w:rPr>
          <w:rFonts w:ascii="Calibri" w:cs="Calibri" w:eastAsia="Calibri" w:hAnsi="Calibri"/>
          <w:sz w:val="22"/>
          <w:szCs w:val="22"/>
        </w:rPr>
        <w:t xml:space="preserve">Chapter 8 concludes the report and outlines future work, including biometric attendance, native mobile apps, and a multi-tenant SaaS deployment.</w:t>
      </w:r>
    </w:p>
    <w:p>
      <w:pPr>
        <w:pStyle w:val="Heading1"/>
        <w:pageBreakBefore/>
        <w:spacing w:after="240" w:before="480"/>
      </w:pPr>
      <w:r>
        <w:t xml:space="preserve">Chapter 2 — Literature Review</w:t>
      </w:r>
    </w:p>
    <w:p>
      <w:pPr>
        <w:pStyle w:val="Heading2"/>
        <w:spacing w:after="200" w:before="360"/>
      </w:pPr>
      <w:r>
        <w:t xml:space="preserve">2.1  Introduction</w:t>
      </w:r>
    </w:p>
    <w:p>
      <w:pPr>
        <w:spacing w:after="160" w:line="300" w:lineRule="auto"/>
        <w:jc w:val="both"/>
      </w:pPr>
      <w:r>
        <w:rPr>
          <w:rFonts w:ascii="Calibri" w:cs="Calibri" w:eastAsia="Calibri" w:hAnsi="Calibri"/>
          <w:color w:val="1E293B"/>
          <w:sz w:val="22"/>
          <w:szCs w:val="22"/>
        </w:rPr>
        <w:t xml:space="preserve">This chapter situates SIARM within the broader landscape of academic information systems. It first surveys what the literature classifies as a Student Information System (SIS) and an Enterprise Resource Planning (ERP) system for higher education, then examines four representative existing platforms, and finally identifies the specific gap that SIARM aims to fill at IUGET Bonabéri.</w:t>
      </w:r>
    </w:p>
    <w:p>
      <w:pPr>
        <w:pStyle w:val="Heading2"/>
        <w:spacing w:after="200" w:before="360"/>
      </w:pPr>
      <w:r>
        <w:t xml:space="preserve">2.2  Academic Information Systems — A Brief Taxonomy</w:t>
      </w:r>
    </w:p>
    <w:p>
      <w:pPr>
        <w:spacing w:after="160" w:line="300" w:lineRule="auto"/>
        <w:jc w:val="both"/>
      </w:pPr>
      <w:r>
        <w:rPr>
          <w:rFonts w:ascii="Calibri" w:cs="Calibri" w:eastAsia="Calibri" w:hAnsi="Calibri"/>
          <w:color w:val="1E293B"/>
          <w:sz w:val="22"/>
          <w:szCs w:val="22"/>
        </w:rPr>
        <w:t xml:space="preserve">Academic information systems are commonly grouped into four overlapping categories:</w:t>
      </w:r>
    </w:p>
    <w:p>
      <w:pPr>
        <w:pStyle w:val="ListParagraph"/>
        <w:numPr>
          <w:ilvl w:val="0"/>
          <w:numId w:val="1"/>
        </w:numPr>
        <w:spacing w:after="80"/>
      </w:pPr>
      <w:r>
        <w:rPr>
          <w:rFonts w:ascii="Calibri" w:cs="Calibri" w:eastAsia="Calibri" w:hAnsi="Calibri"/>
          <w:sz w:val="22"/>
          <w:szCs w:val="22"/>
        </w:rPr>
        <w:t xml:space="preserve">Student Information Systems (SIS) — manage the student lifecycle: admission, records, registration, grades, transcripts.</w:t>
      </w:r>
    </w:p>
    <w:p>
      <w:pPr>
        <w:pStyle w:val="ListParagraph"/>
        <w:numPr>
          <w:ilvl w:val="0"/>
          <w:numId w:val="1"/>
        </w:numPr>
        <w:spacing w:after="80"/>
      </w:pPr>
      <w:r>
        <w:rPr>
          <w:rFonts w:ascii="Calibri" w:cs="Calibri" w:eastAsia="Calibri" w:hAnsi="Calibri"/>
          <w:sz w:val="22"/>
          <w:szCs w:val="22"/>
        </w:rPr>
        <w:t xml:space="preserve">Learning Management Systems (LMS) — deliver course content, host assignments and quizzes, and record learner activity.</w:t>
      </w:r>
    </w:p>
    <w:p>
      <w:pPr>
        <w:pStyle w:val="ListParagraph"/>
        <w:numPr>
          <w:ilvl w:val="0"/>
          <w:numId w:val="1"/>
        </w:numPr>
        <w:spacing w:after="80"/>
      </w:pPr>
      <w:r>
        <w:rPr>
          <w:rFonts w:ascii="Calibri" w:cs="Calibri" w:eastAsia="Calibri" w:hAnsi="Calibri"/>
          <w:sz w:val="22"/>
          <w:szCs w:val="22"/>
        </w:rPr>
        <w:t xml:space="preserve">Campus ERP — extend the SIS with finance, human resources, library and procurement modules.</w:t>
      </w:r>
    </w:p>
    <w:p>
      <w:pPr>
        <w:pStyle w:val="ListParagraph"/>
        <w:numPr>
          <w:ilvl w:val="0"/>
          <w:numId w:val="1"/>
        </w:numPr>
        <w:spacing w:after="80"/>
      </w:pPr>
      <w:r>
        <w:rPr>
          <w:rFonts w:ascii="Calibri" w:cs="Calibri" w:eastAsia="Calibri" w:hAnsi="Calibri"/>
          <w:sz w:val="22"/>
          <w:szCs w:val="22"/>
        </w:rPr>
        <w:t xml:space="preserve">Engagement portals — student-facing or parent-facing surfaces that aggregate notifications, balances and personal records.</w:t>
      </w:r>
    </w:p>
    <w:p>
      <w:pPr>
        <w:spacing w:after="160" w:line="300" w:lineRule="auto"/>
        <w:jc w:val="both"/>
      </w:pPr>
      <w:r>
        <w:rPr>
          <w:rFonts w:ascii="Calibri" w:cs="Calibri" w:eastAsia="Calibri" w:hAnsi="Calibri"/>
          <w:color w:val="1E293B"/>
          <w:sz w:val="22"/>
          <w:szCs w:val="22"/>
        </w:rPr>
        <w:t xml:space="preserve">SIARM is best classified as an SIS-plus-engagement-portal: it covers the student lifecycle and exposes a dedicated public-facing surface for parents. It does not aspire to replace a full LMS (Moodle, Canvas) or a payroll system. It will, however, integrate with them through documented exports.</w:t>
      </w:r>
    </w:p>
    <w:p>
      <w:pPr>
        <w:pStyle w:val="Heading2"/>
        <w:spacing w:after="200" w:before="360"/>
      </w:pPr>
      <w:r>
        <w:t xml:space="preserve">2.3  Representative Existing Platforms</w:t>
      </w:r>
    </w:p>
    <w:p>
      <w:pPr>
        <w:pStyle w:val="Heading3"/>
        <w:spacing w:after="160" w:before="280"/>
      </w:pPr>
      <w:r>
        <w:t xml:space="preserve">2.3.1  Commercial enterprise SIS (Ellucian Banner, PowerSchool)</w:t>
      </w:r>
    </w:p>
    <w:p>
      <w:pPr>
        <w:spacing w:after="160" w:line="300" w:lineRule="auto"/>
        <w:jc w:val="both"/>
      </w:pPr>
      <w:r>
        <w:rPr>
          <w:rFonts w:ascii="Calibri" w:cs="Calibri" w:eastAsia="Calibri" w:hAnsi="Calibri"/>
          <w:color w:val="1E293B"/>
          <w:sz w:val="22"/>
          <w:szCs w:val="22"/>
        </w:rPr>
        <w:t xml:space="preserve">Ellucian Banner is the dominant SIS in large European and North-American universities — mature, feature-rich, and designed for tens of thousands of students. Its strengths (depth, audit trails, compliance) make it the standard at scale; its weaknesses (licensing cost, on-premise installation, opaque pricing) make it inaccessible to a Cameroonian private university with two thousand students.</w:t>
      </w:r>
    </w:p>
    <w:p>
      <w:pPr>
        <w:spacing w:after="160" w:line="300" w:lineRule="auto"/>
        <w:jc w:val="both"/>
      </w:pPr>
      <w:r>
        <w:rPr>
          <w:rFonts w:ascii="Calibri" w:cs="Calibri" w:eastAsia="Calibri" w:hAnsi="Calibri"/>
          <w:color w:val="1E293B"/>
          <w:sz w:val="22"/>
          <w:szCs w:val="22"/>
        </w:rPr>
        <w:t xml:space="preserve">PowerSchool, widely used in K-12 American schools, exposes a parent portal resembling SIARM's parent surface. However, it is closed-source, US-hosted, and priced per-pupil per-year — not matching local economic reality.</w:t>
      </w:r>
    </w:p>
    <w:p>
      <w:pPr>
        <w:pStyle w:val="Heading3"/>
        <w:spacing w:after="160" w:before="280"/>
      </w:pPr>
      <w:r>
        <w:t xml:space="preserve">2.3.2  Open-source African systems (OpenSIS, OpenEMIS)</w:t>
      </w:r>
    </w:p>
    <w:p>
      <w:pPr>
        <w:spacing w:after="160" w:line="300" w:lineRule="auto"/>
        <w:jc w:val="both"/>
      </w:pPr>
      <w:r>
        <w:rPr>
          <w:rFonts w:ascii="Calibri" w:cs="Calibri" w:eastAsia="Calibri" w:hAnsi="Calibri"/>
          <w:color w:val="1E293B"/>
          <w:sz w:val="22"/>
          <w:szCs w:val="22"/>
        </w:rPr>
        <w:t xml:space="preserve">OpenSIS is a PHP-based open-source SIS offering attendance, grades and basic reporting. It is occasionally adopted in West African secondary schools but lacks modern UX expectations — the interface follows late-2000s patterns, mobile usability is poor, and mobile-money payment is absent.</w:t>
      </w:r>
    </w:p>
    <w:p>
      <w:pPr>
        <w:spacing w:after="160" w:line="300" w:lineRule="auto"/>
        <w:jc w:val="both"/>
      </w:pPr>
      <w:r>
        <w:rPr>
          <w:rFonts w:ascii="Calibri" w:cs="Calibri" w:eastAsia="Calibri" w:hAnsi="Calibri"/>
          <w:color w:val="1E293B"/>
          <w:sz w:val="22"/>
          <w:szCs w:val="22"/>
        </w:rPr>
        <w:t xml:space="preserve">OpenEMIS, co-sponsored by UNESCO, is designed for national ministries to aggregate school data — too aggregative for institutional deployment, with American English and US dollar defaults that do not fit a Cameroonian campus.</w:t>
      </w:r>
    </w:p>
    <w:p>
      <w:pPr>
        <w:pStyle w:val="Heading3"/>
        <w:spacing w:after="160" w:before="280"/>
      </w:pPr>
      <w:r>
        <w:t xml:space="preserve">2.3.3  In-house Cameroonian web applications</w:t>
      </w:r>
    </w:p>
    <w:p>
      <w:pPr>
        <w:spacing w:after="160" w:line="300" w:lineRule="auto"/>
        <w:jc w:val="both"/>
      </w:pPr>
      <w:r>
        <w:rPr>
          <w:rFonts w:ascii="Calibri" w:cs="Calibri" w:eastAsia="Calibri" w:hAnsi="Calibri"/>
          <w:color w:val="1E293B"/>
          <w:sz w:val="22"/>
          <w:szCs w:val="22"/>
        </w:rPr>
        <w:t xml:space="preserve">Several private Cameroonian universities have built bespoke PHP+MySQL applications. Strengths: low cost, full local control. Weaknesses: tight coupling to the original developer, no documented architecture, no offline support, and security weaknesses (plain-text password storage observed in two systems). SIARM addresses these with documented architecture, Firebase Authentication, PWA shell, and RBAC.</w:t>
      </w:r>
    </w:p>
    <w:p>
      <w:pPr>
        <w:pStyle w:val="Heading3"/>
        <w:spacing w:after="160" w:before="280"/>
      </w:pPr>
      <w:r>
        <w:t xml:space="preserve">2.3.4  Communication-first parent platforms (ClassDojo, ParentSquare)</w:t>
      </w:r>
    </w:p>
    <w:p>
      <w:pPr>
        <w:spacing w:after="160" w:line="300" w:lineRule="auto"/>
        <w:jc w:val="both"/>
      </w:pPr>
      <w:r>
        <w:rPr>
          <w:rFonts w:ascii="Calibri" w:cs="Calibri" w:eastAsia="Calibri" w:hAnsi="Calibri"/>
          <w:color w:val="1E293B"/>
          <w:sz w:val="22"/>
          <w:szCs w:val="22"/>
        </w:rPr>
        <w:t xml:space="preserve">ClassDojo and ParentSquare illustrate a principle SIARM borrows: the parent does not need an account to receive useful information. The institution exposes a public surface where parents can register, pay, and view their child's standing. SIARM extends this idea to bachelor level.</w:t>
      </w:r>
    </w:p>
    <w:p>
      <w:pPr>
        <w:pStyle w:val="Heading2"/>
        <w:spacing w:after="200" w:before="360"/>
      </w:pPr>
      <w:r>
        <w:t xml:space="preserve">2.4  Gap Analysis</w:t>
      </w:r>
    </w:p>
    <w:p>
      <w:pPr>
        <w:spacing w:after="160" w:line="300" w:lineRule="auto"/>
        <w:jc w:val="both"/>
      </w:pPr>
      <w:r>
        <w:rPr>
          <w:rFonts w:ascii="Calibri" w:cs="Calibri" w:eastAsia="Calibri" w:hAnsi="Calibri"/>
          <w:color w:val="1E293B"/>
          <w:sz w:val="22"/>
          <w:szCs w:val="22"/>
        </w:rPr>
        <w:t xml:space="preserve">Table 2.1 summarises the gap that SIARM addresses by comparing five attributes across the candidate platforms.</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shd w:fill="EFF4FF" w:color="auto" w:val="clear"/>
          </w:tcPr>
          <w:p>
            <w:r>
              <w:rPr>
                <w:rFonts w:ascii="Calibri" w:cs="Calibri" w:eastAsia="Calibri" w:hAnsi="Calibri"/>
                <w:b/>
                <w:bCs/>
                <w:color w:val="1E3AA0"/>
                <w:sz w:val="20"/>
                <w:szCs w:val="20"/>
              </w:rPr>
              <w:t xml:space="preserve">Attribute</w:t>
            </w:r>
          </w:p>
        </w:tc>
        <w:tc>
          <w:tcPr>
            <w:tcW w:type="pct" w:w="13%"/>
            <w:shd w:fill="EFF4FF" w:color="auto" w:val="clear"/>
          </w:tcPr>
          <w:p>
            <w:r>
              <w:rPr>
                <w:rFonts w:ascii="Calibri" w:cs="Calibri" w:eastAsia="Calibri" w:hAnsi="Calibri"/>
                <w:b/>
                <w:bCs/>
                <w:color w:val="1E3AA0"/>
                <w:sz w:val="20"/>
                <w:szCs w:val="20"/>
              </w:rPr>
              <w:t xml:space="preserve">Banner</w:t>
            </w:r>
          </w:p>
        </w:tc>
        <w:tc>
          <w:tcPr>
            <w:tcW w:type="pct" w:w="13%"/>
            <w:shd w:fill="EFF4FF" w:color="auto" w:val="clear"/>
          </w:tcPr>
          <w:p>
            <w:r>
              <w:rPr>
                <w:rFonts w:ascii="Calibri" w:cs="Calibri" w:eastAsia="Calibri" w:hAnsi="Calibri"/>
                <w:b/>
                <w:bCs/>
                <w:color w:val="1E3AA0"/>
                <w:sz w:val="20"/>
                <w:szCs w:val="20"/>
              </w:rPr>
              <w:t xml:space="preserve">OpenSIS</w:t>
            </w:r>
          </w:p>
        </w:tc>
        <w:tc>
          <w:tcPr>
            <w:tcW w:type="pct" w:w="19%"/>
            <w:shd w:fill="EFF4FF" w:color="auto" w:val="clear"/>
          </w:tcPr>
          <w:p>
            <w:r>
              <w:rPr>
                <w:rFonts w:ascii="Calibri" w:cs="Calibri" w:eastAsia="Calibri" w:hAnsi="Calibri"/>
                <w:b/>
                <w:bCs/>
                <w:color w:val="1E3AA0"/>
                <w:sz w:val="20"/>
                <w:szCs w:val="20"/>
              </w:rPr>
              <w:t xml:space="preserve">In-house PHP</w:t>
            </w:r>
          </w:p>
        </w:tc>
        <w:tc>
          <w:tcPr>
            <w:tcW w:type="pct" w:w="18%"/>
            <w:shd w:fill="EFF4FF" w:color="auto" w:val="clear"/>
          </w:tcPr>
          <w:p>
            <w:r>
              <w:rPr>
                <w:rFonts w:ascii="Calibri" w:cs="Calibri" w:eastAsia="Calibri" w:hAnsi="Calibri"/>
                <w:b/>
                <w:bCs/>
                <w:color w:val="1E3AA0"/>
                <w:sz w:val="20"/>
                <w:szCs w:val="20"/>
              </w:rPr>
              <w:t xml:space="preserve">SIARM</w:t>
            </w:r>
          </w:p>
        </w:tc>
      </w:tr>
      <w:tr>
        <w:tc>
          <w:tcPr>
            <w:tcW w:type="pct" w:w="22%"/>
          </w:tcPr>
          <w:p>
            <w:r>
              <w:rPr>
                <w:rFonts w:ascii="Calibri" w:cs="Calibri" w:eastAsia="Calibri" w:hAnsi="Calibri"/>
                <w:b w:val="false"/>
                <w:bCs w:val="false"/>
                <w:color w:val="1E293B"/>
                <w:sz w:val="20"/>
                <w:szCs w:val="20"/>
              </w:rPr>
              <w:t xml:space="preserve">Mobile-money payment</w:t>
            </w:r>
          </w:p>
        </w:tc>
        <w:tc>
          <w:tcPr>
            <w:tcW w:type="pct" w:w="13%"/>
          </w:tcPr>
          <w:p>
            <w:r>
              <w:rPr>
                <w:rFonts w:ascii="Calibri" w:cs="Calibri" w:eastAsia="Calibri" w:hAnsi="Calibri"/>
                <w:b w:val="false"/>
                <w:bCs w:val="false"/>
                <w:color w:val="1E293B"/>
                <w:sz w:val="20"/>
                <w:szCs w:val="20"/>
              </w:rPr>
              <w:t xml:space="preserve">No</w:t>
            </w:r>
          </w:p>
        </w:tc>
        <w:tc>
          <w:tcPr>
            <w:tcW w:type="pct" w:w="13%"/>
          </w:tcPr>
          <w:p>
            <w:r>
              <w:rPr>
                <w:rFonts w:ascii="Calibri" w:cs="Calibri" w:eastAsia="Calibri" w:hAnsi="Calibri"/>
                <w:b w:val="false"/>
                <w:bCs w:val="false"/>
                <w:color w:val="1E293B"/>
                <w:sz w:val="20"/>
                <w:szCs w:val="20"/>
              </w:rPr>
              <w:t xml:space="preserve">No</w:t>
            </w:r>
          </w:p>
        </w:tc>
        <w:tc>
          <w:tcPr>
            <w:tcW w:type="pct" w:w="19%"/>
          </w:tcPr>
          <w:p>
            <w:r>
              <w:rPr>
                <w:rFonts w:ascii="Calibri" w:cs="Calibri" w:eastAsia="Calibri" w:hAnsi="Calibri"/>
                <w:b w:val="false"/>
                <w:bCs w:val="false"/>
                <w:color w:val="1E293B"/>
                <w:sz w:val="20"/>
                <w:szCs w:val="20"/>
              </w:rPr>
              <w:t xml:space="preserve">Partial</w:t>
            </w:r>
          </w:p>
        </w:tc>
        <w:tc>
          <w:tcPr>
            <w:tcW w:type="pct" w:w="18%"/>
          </w:tcPr>
          <w:p>
            <w:r>
              <w:rPr>
                <w:rFonts w:ascii="Calibri" w:cs="Calibri" w:eastAsia="Calibri" w:hAnsi="Calibri"/>
                <w:b w:val="false"/>
                <w:bCs w:val="false"/>
                <w:color w:val="1E293B"/>
                <w:sz w:val="20"/>
                <w:szCs w:val="20"/>
              </w:rPr>
              <w:t xml:space="preserve">Yes (5 channels)</w:t>
            </w:r>
          </w:p>
        </w:tc>
      </w:tr>
      <w:tr>
        <w:tc>
          <w:tcPr>
            <w:tcW w:type="pct" w:w="22%"/>
          </w:tcPr>
          <w:p>
            <w:r>
              <w:rPr>
                <w:rFonts w:ascii="Calibri" w:cs="Calibri" w:eastAsia="Calibri" w:hAnsi="Calibri"/>
                <w:b w:val="false"/>
                <w:bCs w:val="false"/>
                <w:color w:val="1E293B"/>
                <w:sz w:val="20"/>
                <w:szCs w:val="20"/>
              </w:rPr>
              <w:t xml:space="preserve">Public parent portal</w:t>
            </w:r>
          </w:p>
        </w:tc>
        <w:tc>
          <w:tcPr>
            <w:tcW w:type="pct" w:w="13%"/>
          </w:tcPr>
          <w:p>
            <w:r>
              <w:rPr>
                <w:rFonts w:ascii="Calibri" w:cs="Calibri" w:eastAsia="Calibri" w:hAnsi="Calibri"/>
                <w:b w:val="false"/>
                <w:bCs w:val="false"/>
                <w:color w:val="1E293B"/>
                <w:sz w:val="20"/>
                <w:szCs w:val="20"/>
              </w:rPr>
              <w:t xml:space="preserve">No</w:t>
            </w:r>
          </w:p>
        </w:tc>
        <w:tc>
          <w:tcPr>
            <w:tcW w:type="pct" w:w="13%"/>
          </w:tcPr>
          <w:p>
            <w:r>
              <w:rPr>
                <w:rFonts w:ascii="Calibri" w:cs="Calibri" w:eastAsia="Calibri" w:hAnsi="Calibri"/>
                <w:b w:val="false"/>
                <w:bCs w:val="false"/>
                <w:color w:val="1E293B"/>
                <w:sz w:val="20"/>
                <w:szCs w:val="20"/>
              </w:rPr>
              <w:t xml:space="preserve">No</w:t>
            </w:r>
          </w:p>
        </w:tc>
        <w:tc>
          <w:tcPr>
            <w:tcW w:type="pct" w:w="19%"/>
          </w:tcPr>
          <w:p>
            <w:r>
              <w:rPr>
                <w:rFonts w:ascii="Calibri" w:cs="Calibri" w:eastAsia="Calibri" w:hAnsi="Calibri"/>
                <w:b w:val="false"/>
                <w:bCs w:val="false"/>
                <w:color w:val="1E293B"/>
                <w:sz w:val="20"/>
                <w:szCs w:val="20"/>
              </w:rPr>
              <w:t xml:space="preserve">No</w:t>
            </w:r>
          </w:p>
        </w:tc>
        <w:tc>
          <w:tcPr>
            <w:tcW w:type="pct" w:w="18%"/>
          </w:tcPr>
          <w:p>
            <w:r>
              <w:rPr>
                <w:rFonts w:ascii="Calibri" w:cs="Calibri" w:eastAsia="Calibri" w:hAnsi="Calibri"/>
                <w:b w:val="false"/>
                <w:bCs w:val="false"/>
                <w:color w:val="1E293B"/>
                <w:sz w:val="20"/>
                <w:szCs w:val="20"/>
              </w:rPr>
              <w:t xml:space="preserve">Yes</w:t>
            </w:r>
          </w:p>
        </w:tc>
      </w:tr>
      <w:tr>
        <w:tc>
          <w:tcPr>
            <w:tcW w:type="pct" w:w="22%"/>
          </w:tcPr>
          <w:p>
            <w:r>
              <w:rPr>
                <w:rFonts w:ascii="Calibri" w:cs="Calibri" w:eastAsia="Calibri" w:hAnsi="Calibri"/>
                <w:b w:val="false"/>
                <w:bCs w:val="false"/>
                <w:color w:val="1E293B"/>
                <w:sz w:val="20"/>
                <w:szCs w:val="20"/>
              </w:rPr>
              <w:t xml:space="preserve">Offline / PWA shell</w:t>
            </w:r>
          </w:p>
        </w:tc>
        <w:tc>
          <w:tcPr>
            <w:tcW w:type="pct" w:w="13%"/>
          </w:tcPr>
          <w:p>
            <w:r>
              <w:rPr>
                <w:rFonts w:ascii="Calibri" w:cs="Calibri" w:eastAsia="Calibri" w:hAnsi="Calibri"/>
                <w:b w:val="false"/>
                <w:bCs w:val="false"/>
                <w:color w:val="1E293B"/>
                <w:sz w:val="20"/>
                <w:szCs w:val="20"/>
              </w:rPr>
              <w:t xml:space="preserve">No</w:t>
            </w:r>
          </w:p>
        </w:tc>
        <w:tc>
          <w:tcPr>
            <w:tcW w:type="pct" w:w="13%"/>
          </w:tcPr>
          <w:p>
            <w:r>
              <w:rPr>
                <w:rFonts w:ascii="Calibri" w:cs="Calibri" w:eastAsia="Calibri" w:hAnsi="Calibri"/>
                <w:b w:val="false"/>
                <w:bCs w:val="false"/>
                <w:color w:val="1E293B"/>
                <w:sz w:val="20"/>
                <w:szCs w:val="20"/>
              </w:rPr>
              <w:t xml:space="preserve">No</w:t>
            </w:r>
          </w:p>
        </w:tc>
        <w:tc>
          <w:tcPr>
            <w:tcW w:type="pct" w:w="19%"/>
          </w:tcPr>
          <w:p>
            <w:r>
              <w:rPr>
                <w:rFonts w:ascii="Calibri" w:cs="Calibri" w:eastAsia="Calibri" w:hAnsi="Calibri"/>
                <w:b w:val="false"/>
                <w:bCs w:val="false"/>
                <w:color w:val="1E293B"/>
                <w:sz w:val="20"/>
                <w:szCs w:val="20"/>
              </w:rPr>
              <w:t xml:space="preserve">No</w:t>
            </w:r>
          </w:p>
        </w:tc>
        <w:tc>
          <w:tcPr>
            <w:tcW w:type="pct" w:w="18%"/>
          </w:tcPr>
          <w:p>
            <w:r>
              <w:rPr>
                <w:rFonts w:ascii="Calibri" w:cs="Calibri" w:eastAsia="Calibri" w:hAnsi="Calibri"/>
                <w:b w:val="false"/>
                <w:bCs w:val="false"/>
                <w:color w:val="1E293B"/>
                <w:sz w:val="20"/>
                <w:szCs w:val="20"/>
              </w:rPr>
              <w:t xml:space="preserve">Yes</w:t>
            </w:r>
          </w:p>
        </w:tc>
      </w:tr>
      <w:tr>
        <w:tc>
          <w:tcPr>
            <w:tcW w:type="pct" w:w="22%"/>
          </w:tcPr>
          <w:p>
            <w:r>
              <w:rPr>
                <w:rFonts w:ascii="Calibri" w:cs="Calibri" w:eastAsia="Calibri" w:hAnsi="Calibri"/>
                <w:b w:val="false"/>
                <w:bCs w:val="false"/>
                <w:color w:val="1E293B"/>
                <w:sz w:val="20"/>
                <w:szCs w:val="20"/>
              </w:rPr>
              <w:t xml:space="preserve">Three IUGET specialties</w:t>
            </w:r>
          </w:p>
        </w:tc>
        <w:tc>
          <w:tcPr>
            <w:tcW w:type="pct" w:w="13%"/>
          </w:tcPr>
          <w:p>
            <w:r>
              <w:rPr>
                <w:rFonts w:ascii="Calibri" w:cs="Calibri" w:eastAsia="Calibri" w:hAnsi="Calibri"/>
                <w:b w:val="false"/>
                <w:bCs w:val="false"/>
                <w:color w:val="1E293B"/>
                <w:sz w:val="20"/>
                <w:szCs w:val="20"/>
              </w:rPr>
              <w:t xml:space="preserve">Custom</w:t>
            </w:r>
          </w:p>
        </w:tc>
        <w:tc>
          <w:tcPr>
            <w:tcW w:type="pct" w:w="13%"/>
          </w:tcPr>
          <w:p>
            <w:r>
              <w:rPr>
                <w:rFonts w:ascii="Calibri" w:cs="Calibri" w:eastAsia="Calibri" w:hAnsi="Calibri"/>
                <w:b w:val="false"/>
                <w:bCs w:val="false"/>
                <w:color w:val="1E293B"/>
                <w:sz w:val="20"/>
                <w:szCs w:val="20"/>
              </w:rPr>
              <w:t xml:space="preserve">Custom</w:t>
            </w:r>
          </w:p>
        </w:tc>
        <w:tc>
          <w:tcPr>
            <w:tcW w:type="pct" w:w="19%"/>
          </w:tcPr>
          <w:p>
            <w:r>
              <w:rPr>
                <w:rFonts w:ascii="Calibri" w:cs="Calibri" w:eastAsia="Calibri" w:hAnsi="Calibri"/>
                <w:b w:val="false"/>
                <w:bCs w:val="false"/>
                <w:color w:val="1E293B"/>
                <w:sz w:val="20"/>
                <w:szCs w:val="20"/>
              </w:rPr>
              <w:t xml:space="preserve">Custom</w:t>
            </w:r>
          </w:p>
        </w:tc>
        <w:tc>
          <w:tcPr>
            <w:tcW w:type="pct" w:w="18%"/>
          </w:tcPr>
          <w:p>
            <w:r>
              <w:rPr>
                <w:rFonts w:ascii="Calibri" w:cs="Calibri" w:eastAsia="Calibri" w:hAnsi="Calibri"/>
                <w:b w:val="false"/>
                <w:bCs w:val="false"/>
                <w:color w:val="1E293B"/>
                <w:sz w:val="20"/>
                <w:szCs w:val="20"/>
              </w:rPr>
              <w:t xml:space="preserve">Native</w:t>
            </w:r>
          </w:p>
        </w:tc>
      </w:tr>
      <w:tr>
        <w:tc>
          <w:tcPr>
            <w:tcW w:type="pct" w:w="22%"/>
          </w:tcPr>
          <w:p>
            <w:r>
              <w:rPr>
                <w:rFonts w:ascii="Calibri" w:cs="Calibri" w:eastAsia="Calibri" w:hAnsi="Calibri"/>
                <w:b w:val="false"/>
                <w:bCs w:val="false"/>
                <w:color w:val="1E293B"/>
                <w:sz w:val="20"/>
                <w:szCs w:val="20"/>
              </w:rPr>
              <w:t xml:space="preserve">QR-verifiable receipts</w:t>
            </w:r>
          </w:p>
        </w:tc>
        <w:tc>
          <w:tcPr>
            <w:tcW w:type="pct" w:w="13%"/>
          </w:tcPr>
          <w:p>
            <w:r>
              <w:rPr>
                <w:rFonts w:ascii="Calibri" w:cs="Calibri" w:eastAsia="Calibri" w:hAnsi="Calibri"/>
                <w:b w:val="false"/>
                <w:bCs w:val="false"/>
                <w:color w:val="1E293B"/>
                <w:sz w:val="20"/>
                <w:szCs w:val="20"/>
              </w:rPr>
              <w:t xml:space="preserve">Yes</w:t>
            </w:r>
          </w:p>
        </w:tc>
        <w:tc>
          <w:tcPr>
            <w:tcW w:type="pct" w:w="13%"/>
          </w:tcPr>
          <w:p>
            <w:r>
              <w:rPr>
                <w:rFonts w:ascii="Calibri" w:cs="Calibri" w:eastAsia="Calibri" w:hAnsi="Calibri"/>
                <w:b w:val="false"/>
                <w:bCs w:val="false"/>
                <w:color w:val="1E293B"/>
                <w:sz w:val="20"/>
                <w:szCs w:val="20"/>
              </w:rPr>
              <w:t xml:space="preserve">No</w:t>
            </w:r>
          </w:p>
        </w:tc>
        <w:tc>
          <w:tcPr>
            <w:tcW w:type="pct" w:w="19%"/>
          </w:tcPr>
          <w:p>
            <w:r>
              <w:rPr>
                <w:rFonts w:ascii="Calibri" w:cs="Calibri" w:eastAsia="Calibri" w:hAnsi="Calibri"/>
                <w:b w:val="false"/>
                <w:bCs w:val="false"/>
                <w:color w:val="1E293B"/>
                <w:sz w:val="20"/>
                <w:szCs w:val="20"/>
              </w:rPr>
              <w:t xml:space="preserve">No</w:t>
            </w:r>
          </w:p>
        </w:tc>
        <w:tc>
          <w:tcPr>
            <w:tcW w:type="pct" w:w="18%"/>
          </w:tcPr>
          <w:p>
            <w:r>
              <w:rPr>
                <w:rFonts w:ascii="Calibri" w:cs="Calibri" w:eastAsia="Calibri" w:hAnsi="Calibri"/>
                <w:b w:val="false"/>
                <w:bCs w:val="false"/>
                <w:color w:val="1E293B"/>
                <w:sz w:val="20"/>
                <w:szCs w:val="20"/>
              </w:rPr>
              <w:t xml:space="preserve">Yes</w:t>
            </w:r>
          </w:p>
        </w:tc>
      </w:tr>
      <w:tr>
        <w:tc>
          <w:tcPr>
            <w:tcW w:type="pct" w:w="22%"/>
          </w:tcPr>
          <w:p>
            <w:r>
              <w:rPr>
                <w:rFonts w:ascii="Calibri" w:cs="Calibri" w:eastAsia="Calibri" w:hAnsi="Calibri"/>
                <w:b w:val="false"/>
                <w:bCs w:val="false"/>
                <w:color w:val="1E293B"/>
                <w:sz w:val="20"/>
                <w:szCs w:val="20"/>
              </w:rPr>
              <w:t xml:space="preserve">Evening / Sat schedule</w:t>
            </w:r>
          </w:p>
        </w:tc>
        <w:tc>
          <w:tcPr>
            <w:tcW w:type="pct" w:w="13%"/>
          </w:tcPr>
          <w:p>
            <w:r>
              <w:rPr>
                <w:rFonts w:ascii="Calibri" w:cs="Calibri" w:eastAsia="Calibri" w:hAnsi="Calibri"/>
                <w:b w:val="false"/>
                <w:bCs w:val="false"/>
                <w:color w:val="1E293B"/>
                <w:sz w:val="20"/>
                <w:szCs w:val="20"/>
              </w:rPr>
              <w:t xml:space="preserve">Configurable</w:t>
            </w:r>
          </w:p>
        </w:tc>
        <w:tc>
          <w:tcPr>
            <w:tcW w:type="pct" w:w="13%"/>
          </w:tcPr>
          <w:p>
            <w:r>
              <w:rPr>
                <w:rFonts w:ascii="Calibri" w:cs="Calibri" w:eastAsia="Calibri" w:hAnsi="Calibri"/>
                <w:b w:val="false"/>
                <w:bCs w:val="false"/>
                <w:color w:val="1E293B"/>
                <w:sz w:val="20"/>
                <w:szCs w:val="20"/>
              </w:rPr>
              <w:t xml:space="preserve">Limited</w:t>
            </w:r>
          </w:p>
        </w:tc>
        <w:tc>
          <w:tcPr>
            <w:tcW w:type="pct" w:w="19%"/>
          </w:tcPr>
          <w:p>
            <w:r>
              <w:rPr>
                <w:rFonts w:ascii="Calibri" w:cs="Calibri" w:eastAsia="Calibri" w:hAnsi="Calibri"/>
                <w:b w:val="false"/>
                <w:bCs w:val="false"/>
                <w:color w:val="1E293B"/>
                <w:sz w:val="20"/>
                <w:szCs w:val="20"/>
              </w:rPr>
              <w:t xml:space="preserve">Custom</w:t>
            </w:r>
          </w:p>
        </w:tc>
        <w:tc>
          <w:tcPr>
            <w:tcW w:type="pct" w:w="18%"/>
          </w:tcPr>
          <w:p>
            <w:r>
              <w:rPr>
                <w:rFonts w:ascii="Calibri" w:cs="Calibri" w:eastAsia="Calibri" w:hAnsi="Calibri"/>
                <w:b w:val="false"/>
                <w:bCs w:val="false"/>
                <w:color w:val="1E293B"/>
                <w:sz w:val="20"/>
                <w:szCs w:val="20"/>
              </w:rPr>
              <w:t xml:space="preserve">Native</w:t>
            </w:r>
          </w:p>
        </w:tc>
      </w:tr>
      <w:tr>
        <w:tc>
          <w:tcPr>
            <w:tcW w:type="pct" w:w="22%"/>
          </w:tcPr>
          <w:p>
            <w:r>
              <w:rPr>
                <w:rFonts w:ascii="Calibri" w:cs="Calibri" w:eastAsia="Calibri" w:hAnsi="Calibri"/>
                <w:b w:val="false"/>
                <w:bCs w:val="false"/>
                <w:color w:val="1E293B"/>
                <w:sz w:val="20"/>
                <w:szCs w:val="20"/>
              </w:rPr>
              <w:t xml:space="preserve">Open / customisable</w:t>
            </w:r>
          </w:p>
        </w:tc>
        <w:tc>
          <w:tcPr>
            <w:tcW w:type="pct" w:w="13%"/>
          </w:tcPr>
          <w:p>
            <w:r>
              <w:rPr>
                <w:rFonts w:ascii="Calibri" w:cs="Calibri" w:eastAsia="Calibri" w:hAnsi="Calibri"/>
                <w:b w:val="false"/>
                <w:bCs w:val="false"/>
                <w:color w:val="1E293B"/>
                <w:sz w:val="20"/>
                <w:szCs w:val="20"/>
              </w:rPr>
              <w:t xml:space="preserve">No</w:t>
            </w:r>
          </w:p>
        </w:tc>
        <w:tc>
          <w:tcPr>
            <w:tcW w:type="pct" w:w="13%"/>
          </w:tcPr>
          <w:p>
            <w:r>
              <w:rPr>
                <w:rFonts w:ascii="Calibri" w:cs="Calibri" w:eastAsia="Calibri" w:hAnsi="Calibri"/>
                <w:b w:val="false"/>
                <w:bCs w:val="false"/>
                <w:color w:val="1E293B"/>
                <w:sz w:val="20"/>
                <w:szCs w:val="20"/>
              </w:rPr>
              <w:t xml:space="preserve">Yes</w:t>
            </w:r>
          </w:p>
        </w:tc>
        <w:tc>
          <w:tcPr>
            <w:tcW w:type="pct" w:w="19%"/>
          </w:tcPr>
          <w:p>
            <w:r>
              <w:rPr>
                <w:rFonts w:ascii="Calibri" w:cs="Calibri" w:eastAsia="Calibri" w:hAnsi="Calibri"/>
                <w:b w:val="false"/>
                <w:bCs w:val="false"/>
                <w:color w:val="1E293B"/>
                <w:sz w:val="20"/>
                <w:szCs w:val="20"/>
              </w:rPr>
              <w:t xml:space="preserve">Partial</w:t>
            </w:r>
          </w:p>
        </w:tc>
        <w:tc>
          <w:tcPr>
            <w:tcW w:type="pct" w:w="18%"/>
          </w:tcPr>
          <w:p>
            <w:r>
              <w:rPr>
                <w:rFonts w:ascii="Calibri" w:cs="Calibri" w:eastAsia="Calibri" w:hAnsi="Calibri"/>
                <w:b w:val="false"/>
                <w:bCs w:val="false"/>
                <w:color w:val="1E293B"/>
                <w:sz w:val="20"/>
                <w:szCs w:val="20"/>
              </w:rPr>
              <w:t xml:space="preserve">Yes (BSD-style)</w:t>
            </w:r>
          </w:p>
        </w:tc>
      </w:tr>
      <w:tr>
        <w:tc>
          <w:tcPr>
            <w:tcW w:type="pct" w:w="22%"/>
          </w:tcPr>
          <w:p>
            <w:r>
              <w:rPr>
                <w:rFonts w:ascii="Calibri" w:cs="Calibri" w:eastAsia="Calibri" w:hAnsi="Calibri"/>
                <w:b w:val="false"/>
                <w:bCs w:val="false"/>
                <w:color w:val="1E293B"/>
                <w:sz w:val="20"/>
                <w:szCs w:val="20"/>
              </w:rPr>
              <w:t xml:space="preserve">Cost</w:t>
            </w:r>
          </w:p>
        </w:tc>
        <w:tc>
          <w:tcPr>
            <w:tcW w:type="pct" w:w="13%"/>
          </w:tcPr>
          <w:p>
            <w:r>
              <w:rPr>
                <w:rFonts w:ascii="Calibri" w:cs="Calibri" w:eastAsia="Calibri" w:hAnsi="Calibri"/>
                <w:b w:val="false"/>
                <w:bCs w:val="false"/>
                <w:color w:val="1E293B"/>
                <w:sz w:val="20"/>
                <w:szCs w:val="20"/>
              </w:rPr>
              <w:t xml:space="preserve">Very high</w:t>
            </w:r>
          </w:p>
        </w:tc>
        <w:tc>
          <w:tcPr>
            <w:tcW w:type="pct" w:w="13%"/>
          </w:tcPr>
          <w:p>
            <w:r>
              <w:rPr>
                <w:rFonts w:ascii="Calibri" w:cs="Calibri" w:eastAsia="Calibri" w:hAnsi="Calibri"/>
                <w:b w:val="false"/>
                <w:bCs w:val="false"/>
                <w:color w:val="1E293B"/>
                <w:sz w:val="20"/>
                <w:szCs w:val="20"/>
              </w:rPr>
              <w:t xml:space="preserve">Free</w:t>
            </w:r>
          </w:p>
        </w:tc>
        <w:tc>
          <w:tcPr>
            <w:tcW w:type="pct" w:w="19%"/>
          </w:tcPr>
          <w:p>
            <w:r>
              <w:rPr>
                <w:rFonts w:ascii="Calibri" w:cs="Calibri" w:eastAsia="Calibri" w:hAnsi="Calibri"/>
                <w:b w:val="false"/>
                <w:bCs w:val="false"/>
                <w:color w:val="1E293B"/>
                <w:sz w:val="20"/>
                <w:szCs w:val="20"/>
              </w:rPr>
              <w:t xml:space="preserve">Low</w:t>
            </w:r>
          </w:p>
        </w:tc>
        <w:tc>
          <w:tcPr>
            <w:tcW w:type="pct" w:w="18%"/>
          </w:tcPr>
          <w:p>
            <w:r>
              <w:rPr>
                <w:rFonts w:ascii="Calibri" w:cs="Calibri" w:eastAsia="Calibri" w:hAnsi="Calibri"/>
                <w:b w:val="false"/>
                <w:bCs w:val="false"/>
                <w:color w:val="1E293B"/>
                <w:sz w:val="20"/>
                <w:szCs w:val="20"/>
              </w:rPr>
              <w:t xml:space="preserve">Free</w:t>
            </w:r>
          </w:p>
        </w:tc>
      </w:tr>
    </w:tbl>
    <w:p>
      <w:pPr>
        <w:spacing w:after="280"/>
        <w:jc w:val="center"/>
      </w:pPr>
      <w:r>
        <w:rPr>
          <w:rFonts w:ascii="Calibri" w:cs="Calibri" w:eastAsia="Calibri" w:hAnsi="Calibri"/>
          <w:i/>
          <w:iCs/>
          <w:color w:val="64748B"/>
          <w:sz w:val="18"/>
          <w:szCs w:val="18"/>
        </w:rPr>
        <w:t xml:space="preserve">Table 2.1 — Capability comparison across representative SIS / ERP platforms.</w:t>
      </w:r>
    </w:p>
    <w:p>
      <w:pPr>
        <w:pStyle w:val="Heading2"/>
        <w:spacing w:after="200" w:before="360"/>
      </w:pPr>
      <w:r>
        <w:t xml:space="preserve">2.5  Theoretical Frameworks Adopted</w:t>
      </w:r>
    </w:p>
    <w:p>
      <w:pPr>
        <w:pStyle w:val="ListParagraph"/>
        <w:numPr>
          <w:ilvl w:val="0"/>
          <w:numId w:val="1"/>
        </w:numPr>
        <w:spacing w:after="80"/>
      </w:pPr>
      <w:r>
        <w:rPr>
          <w:rFonts w:ascii="Calibri" w:cs="Calibri" w:eastAsia="Calibri" w:hAnsi="Calibri"/>
          <w:sz w:val="22"/>
          <w:szCs w:val="22"/>
        </w:rPr>
        <w:t xml:space="preserve">Role-Based Access Control (Ferraiolo, Sandhu et al.) — hierarchical RBAC ensures each capability is associated with exactly one role, with higher roles inheriting lower capabilities.</w:t>
      </w:r>
    </w:p>
    <w:p>
      <w:pPr>
        <w:pStyle w:val="ListParagraph"/>
        <w:numPr>
          <w:ilvl w:val="0"/>
          <w:numId w:val="1"/>
        </w:numPr>
        <w:spacing w:after="80"/>
      </w:pPr>
      <w:r>
        <w:rPr>
          <w:rFonts w:ascii="Calibri" w:cs="Calibri" w:eastAsia="Calibri" w:hAnsi="Calibri"/>
          <w:sz w:val="22"/>
          <w:szCs w:val="22"/>
        </w:rPr>
        <w:t xml:space="preserve">8-Golden-Rules of Interface Design (Shneiderman) — consistency, informative feedback, simple error handling, reversibility, and user control.</w:t>
      </w:r>
    </w:p>
    <w:p>
      <w:pPr>
        <w:pStyle w:val="ListParagraph"/>
        <w:numPr>
          <w:ilvl w:val="0"/>
          <w:numId w:val="1"/>
        </w:numPr>
        <w:spacing w:after="80"/>
      </w:pPr>
      <w:r>
        <w:rPr>
          <w:rFonts w:ascii="Calibri" w:cs="Calibri" w:eastAsia="Calibri" w:hAnsi="Calibri"/>
          <w:sz w:val="22"/>
          <w:szCs w:val="22"/>
        </w:rPr>
        <w:t xml:space="preserve">MoSCoW prioritisation — requirements categorised as Must/Should/Could/Won't, enabling defensible scope within a single semester.</w:t>
      </w:r>
    </w:p>
    <w:p>
      <w:pPr>
        <w:pStyle w:val="Heading2"/>
        <w:spacing w:after="200" w:before="360"/>
      </w:pPr>
      <w:r>
        <w:t xml:space="preserve">2.6  Summary</w:t>
      </w:r>
    </w:p>
    <w:p>
      <w:pPr>
        <w:spacing w:after="160" w:line="300" w:lineRule="auto"/>
        <w:jc w:val="both"/>
      </w:pPr>
      <w:r>
        <w:rPr>
          <w:rFonts w:ascii="Calibri" w:cs="Calibri" w:eastAsia="Calibri" w:hAnsi="Calibri"/>
          <w:color w:val="1E293B"/>
          <w:sz w:val="22"/>
          <w:szCs w:val="22"/>
        </w:rPr>
        <w:t xml:space="preserve">The literature review establishes that no widely-deployed system simultaneously addresses the operational reality of a Cameroonian private university: mobile-money payment, evening teaching, parent-facing public surface, offline-capable delivery, and QR-verifiable academic artefacts. SIARM is positioned in this gap.</w:t>
      </w:r>
    </w:p>
    <w:p>
      <w:pPr>
        <w:pStyle w:val="Heading1"/>
        <w:pageBreakBefore/>
        <w:spacing w:after="240" w:before="480"/>
      </w:pPr>
      <w:r>
        <w:t xml:space="preserve">Chapter 3 — Requirements Analysis</w:t>
      </w:r>
    </w:p>
    <w:p>
      <w:pPr>
        <w:pStyle w:val="Heading2"/>
        <w:spacing w:after="200" w:before="360"/>
      </w:pPr>
      <w:r>
        <w:t xml:space="preserve">3.1  Methodology</w:t>
      </w:r>
    </w:p>
    <w:p>
      <w:pPr>
        <w:spacing w:after="160" w:line="300" w:lineRule="auto"/>
        <w:jc w:val="both"/>
      </w:pPr>
      <w:r>
        <w:rPr>
          <w:rFonts w:ascii="Calibri" w:cs="Calibri" w:eastAsia="Calibri" w:hAnsi="Calibri"/>
          <w:color w:val="1E293B"/>
          <w:sz w:val="22"/>
          <w:szCs w:val="22"/>
        </w:rPr>
        <w:t xml:space="preserve">The requirements were elicited through three concurrent activities: informal interviews with the IUGET registrar and bursary staff over six weeks, the author's own three-year experience as a student of the institution, and direct observation of the manual workflows currently in place. Each elicited requirement was then categorised, prioritised using the MoSCoW method, and traced to an explicit use case.</w:t>
      </w:r>
    </w:p>
    <w:p>
      <w:pPr>
        <w:pStyle w:val="Heading2"/>
        <w:spacing w:after="200" w:before="360"/>
      </w:pPr>
      <w:r>
        <w:t xml:space="preserve">3.2  Stakeholders and User Roles</w:t>
      </w:r>
    </w:p>
    <w:p>
      <w:pPr>
        <w:spacing w:after="160" w:line="300" w:lineRule="auto"/>
        <w:jc w:val="both"/>
      </w:pPr>
      <w:r>
        <w:rPr>
          <w:rFonts w:ascii="Calibri" w:cs="Calibri" w:eastAsia="Calibri" w:hAnsi="Calibri"/>
          <w:color w:val="1E293B"/>
          <w:sz w:val="22"/>
          <w:szCs w:val="22"/>
        </w:rPr>
        <w:t xml:space="preserve">SIARM has five stakeholder categories. Four of them are authenticated users with role-specific surfaces; the fifth — the parent — is supported through a public surface that requires no account.</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5%"/>
            <w:shd w:fill="EFF4FF" w:color="auto" w:val="clear"/>
          </w:tcPr>
          <w:p>
            <w:r>
              <w:rPr>
                <w:rFonts w:ascii="Calibri" w:cs="Calibri" w:eastAsia="Calibri" w:hAnsi="Calibri"/>
                <w:b/>
                <w:bCs/>
                <w:color w:val="1E3AA0"/>
                <w:sz w:val="20"/>
                <w:szCs w:val="20"/>
              </w:rPr>
              <w:t xml:space="preserve">Role</w:t>
            </w:r>
          </w:p>
        </w:tc>
        <w:tc>
          <w:tcPr>
            <w:tcW w:type="pct" w:w="50%"/>
            <w:shd w:fill="EFF4FF" w:color="auto" w:val="clear"/>
          </w:tcPr>
          <w:p>
            <w:r>
              <w:rPr>
                <w:rFonts w:ascii="Calibri" w:cs="Calibri" w:eastAsia="Calibri" w:hAnsi="Calibri"/>
                <w:b/>
                <w:bCs/>
                <w:color w:val="1E3AA0"/>
                <w:sz w:val="20"/>
                <w:szCs w:val="20"/>
              </w:rPr>
              <w:t xml:space="preserve">Description</w:t>
            </w:r>
          </w:p>
        </w:tc>
        <w:tc>
          <w:tcPr>
            <w:tcW w:type="pct" w:w="35%"/>
            <w:shd w:fill="EFF4FF" w:color="auto" w:val="clear"/>
          </w:tcPr>
          <w:p>
            <w:r>
              <w:rPr>
                <w:rFonts w:ascii="Calibri" w:cs="Calibri" w:eastAsia="Calibri" w:hAnsi="Calibri"/>
                <w:b/>
                <w:bCs/>
                <w:color w:val="1E3AA0"/>
                <w:sz w:val="20"/>
                <w:szCs w:val="20"/>
              </w:rPr>
              <w:t xml:space="preserve">Typical user</w:t>
            </w:r>
          </w:p>
        </w:tc>
      </w:tr>
      <w:tr>
        <w:tc>
          <w:tcPr>
            <w:tcW w:type="pct" w:w="15%"/>
          </w:tcPr>
          <w:p>
            <w:r>
              <w:rPr>
                <w:rFonts w:ascii="Calibri" w:cs="Calibri" w:eastAsia="Calibri" w:hAnsi="Calibri"/>
                <w:b w:val="false"/>
                <w:bCs w:val="false"/>
                <w:color w:val="1E293B"/>
                <w:sz w:val="20"/>
                <w:szCs w:val="20"/>
              </w:rPr>
              <w:t xml:space="preserve">Student</w:t>
            </w:r>
          </w:p>
        </w:tc>
        <w:tc>
          <w:tcPr>
            <w:tcW w:type="pct" w:w="50%"/>
          </w:tcPr>
          <w:p>
            <w:r>
              <w:rPr>
                <w:rFonts w:ascii="Calibri" w:cs="Calibri" w:eastAsia="Calibri" w:hAnsi="Calibri"/>
                <w:b w:val="false"/>
                <w:bCs w:val="false"/>
                <w:color w:val="1E293B"/>
                <w:sz w:val="20"/>
                <w:szCs w:val="20"/>
              </w:rPr>
              <w:t xml:space="preserve">Enrolled in a programme; views and acts on personal data.</w:t>
            </w:r>
          </w:p>
        </w:tc>
        <w:tc>
          <w:tcPr>
            <w:tcW w:type="pct" w:w="35%"/>
          </w:tcPr>
          <w:p>
            <w:r>
              <w:rPr>
                <w:rFonts w:ascii="Calibri" w:cs="Calibri" w:eastAsia="Calibri" w:hAnsi="Calibri"/>
                <w:b w:val="false"/>
                <w:bCs w:val="false"/>
                <w:color w:val="1E293B"/>
                <w:sz w:val="20"/>
                <w:szCs w:val="20"/>
              </w:rPr>
              <w:t xml:space="preserve">Chituh Innocentia, SWE Level 3</w:t>
            </w:r>
          </w:p>
        </w:tc>
      </w:tr>
      <w:tr>
        <w:tc>
          <w:tcPr>
            <w:tcW w:type="pct" w:w="15%"/>
          </w:tcPr>
          <w:p>
            <w:r>
              <w:rPr>
                <w:rFonts w:ascii="Calibri" w:cs="Calibri" w:eastAsia="Calibri" w:hAnsi="Calibri"/>
                <w:b w:val="false"/>
                <w:bCs w:val="false"/>
                <w:color w:val="1E293B"/>
                <w:sz w:val="20"/>
                <w:szCs w:val="20"/>
              </w:rPr>
              <w:t xml:space="preserve">Lecturer</w:t>
            </w:r>
          </w:p>
        </w:tc>
        <w:tc>
          <w:tcPr>
            <w:tcW w:type="pct" w:w="50%"/>
          </w:tcPr>
          <w:p>
            <w:r>
              <w:rPr>
                <w:rFonts w:ascii="Calibri" w:cs="Calibri" w:eastAsia="Calibri" w:hAnsi="Calibri"/>
                <w:b w:val="false"/>
                <w:bCs w:val="false"/>
                <w:color w:val="1E293B"/>
                <w:sz w:val="20"/>
                <w:szCs w:val="20"/>
              </w:rPr>
              <w:t xml:space="preserve">Teaches one or more courses; marks attendance and enters grades.</w:t>
            </w:r>
          </w:p>
        </w:tc>
        <w:tc>
          <w:tcPr>
            <w:tcW w:type="pct" w:w="35%"/>
          </w:tcPr>
          <w:p>
            <w:r>
              <w:rPr>
                <w:rFonts w:ascii="Calibri" w:cs="Calibri" w:eastAsia="Calibri" w:hAnsi="Calibri"/>
                <w:b w:val="false"/>
                <w:bCs w:val="false"/>
                <w:color w:val="1E293B"/>
                <w:sz w:val="20"/>
                <w:szCs w:val="20"/>
              </w:rPr>
              <w:t xml:space="preserve">Mr Nkoma Ngouloure</w:t>
            </w:r>
          </w:p>
        </w:tc>
      </w:tr>
      <w:tr>
        <w:tc>
          <w:tcPr>
            <w:tcW w:type="pct" w:w="15%"/>
          </w:tcPr>
          <w:p>
            <w:r>
              <w:rPr>
                <w:rFonts w:ascii="Calibri" w:cs="Calibri" w:eastAsia="Calibri" w:hAnsi="Calibri"/>
                <w:b w:val="false"/>
                <w:bCs w:val="false"/>
                <w:color w:val="1E293B"/>
                <w:sz w:val="20"/>
                <w:szCs w:val="20"/>
              </w:rPr>
              <w:t xml:space="preserve">Staff</w:t>
            </w:r>
          </w:p>
        </w:tc>
        <w:tc>
          <w:tcPr>
            <w:tcW w:type="pct" w:w="50%"/>
          </w:tcPr>
          <w:p>
            <w:r>
              <w:rPr>
                <w:rFonts w:ascii="Calibri" w:cs="Calibri" w:eastAsia="Calibri" w:hAnsi="Calibri"/>
                <w:b w:val="false"/>
                <w:bCs w:val="false"/>
                <w:color w:val="1E293B"/>
                <w:sz w:val="20"/>
                <w:szCs w:val="20"/>
              </w:rPr>
              <w:t xml:space="preserve">Operates the bursary, registrar, or admissions office.</w:t>
            </w:r>
          </w:p>
        </w:tc>
        <w:tc>
          <w:tcPr>
            <w:tcW w:type="pct" w:w="35%"/>
          </w:tcPr>
          <w:p>
            <w:r>
              <w:rPr>
                <w:rFonts w:ascii="Calibri" w:cs="Calibri" w:eastAsia="Calibri" w:hAnsi="Calibri"/>
                <w:b w:val="false"/>
                <w:bCs w:val="false"/>
                <w:color w:val="1E293B"/>
                <w:sz w:val="20"/>
                <w:szCs w:val="20"/>
              </w:rPr>
              <w:t xml:space="preserve">Mrs Linda Foncha (Registrar)</w:t>
            </w:r>
          </w:p>
        </w:tc>
      </w:tr>
      <w:tr>
        <w:tc>
          <w:tcPr>
            <w:tcW w:type="pct" w:w="15%"/>
          </w:tcPr>
          <w:p>
            <w:r>
              <w:rPr>
                <w:rFonts w:ascii="Calibri" w:cs="Calibri" w:eastAsia="Calibri" w:hAnsi="Calibri"/>
                <w:b w:val="false"/>
                <w:bCs w:val="false"/>
                <w:color w:val="1E293B"/>
                <w:sz w:val="20"/>
                <w:szCs w:val="20"/>
              </w:rPr>
              <w:t xml:space="preserve">Admin</w:t>
            </w:r>
          </w:p>
        </w:tc>
        <w:tc>
          <w:tcPr>
            <w:tcW w:type="pct" w:w="50%"/>
          </w:tcPr>
          <w:p>
            <w:r>
              <w:rPr>
                <w:rFonts w:ascii="Calibri" w:cs="Calibri" w:eastAsia="Calibri" w:hAnsi="Calibri"/>
                <w:b w:val="false"/>
                <w:bCs w:val="false"/>
                <w:color w:val="1E293B"/>
                <w:sz w:val="20"/>
                <w:szCs w:val="20"/>
              </w:rPr>
              <w:t xml:space="preserve">Institutional leadership; views analytics, manages settings.</w:t>
            </w:r>
          </w:p>
        </w:tc>
        <w:tc>
          <w:tcPr>
            <w:tcW w:type="pct" w:w="35%"/>
          </w:tcPr>
          <w:p>
            <w:r>
              <w:rPr>
                <w:rFonts w:ascii="Calibri" w:cs="Calibri" w:eastAsia="Calibri" w:hAnsi="Calibri"/>
                <w:b w:val="false"/>
                <w:bCs w:val="false"/>
                <w:color w:val="1E293B"/>
                <w:sz w:val="20"/>
                <w:szCs w:val="20"/>
              </w:rPr>
              <w:t xml:space="preserve">Vice-Chancellor</w:t>
            </w:r>
          </w:p>
        </w:tc>
      </w:tr>
      <w:tr>
        <w:tc>
          <w:tcPr>
            <w:tcW w:type="pct" w:w="15%"/>
          </w:tcPr>
          <w:p>
            <w:r>
              <w:rPr>
                <w:rFonts w:ascii="Calibri" w:cs="Calibri" w:eastAsia="Calibri" w:hAnsi="Calibri"/>
                <w:b w:val="false"/>
                <w:bCs w:val="false"/>
                <w:color w:val="1E293B"/>
                <w:sz w:val="20"/>
                <w:szCs w:val="20"/>
              </w:rPr>
              <w:t xml:space="preserve">Parent</w:t>
            </w:r>
          </w:p>
        </w:tc>
        <w:tc>
          <w:tcPr>
            <w:tcW w:type="pct" w:w="50%"/>
          </w:tcPr>
          <w:p>
            <w:r>
              <w:rPr>
                <w:rFonts w:ascii="Calibri" w:cs="Calibri" w:eastAsia="Calibri" w:hAnsi="Calibri"/>
                <w:b w:val="false"/>
                <w:bCs w:val="false"/>
                <w:color w:val="1E293B"/>
                <w:sz w:val="20"/>
                <w:szCs w:val="20"/>
              </w:rPr>
              <w:t xml:space="preserve">Registers a child and pays tuition; no SIARM account.</w:t>
            </w:r>
          </w:p>
        </w:tc>
        <w:tc>
          <w:tcPr>
            <w:tcW w:type="pct" w:w="35%"/>
          </w:tcPr>
          <w:p>
            <w:r>
              <w:rPr>
                <w:rFonts w:ascii="Calibri" w:cs="Calibri" w:eastAsia="Calibri" w:hAnsi="Calibri"/>
                <w:b w:val="false"/>
                <w:bCs w:val="false"/>
                <w:color w:val="1E293B"/>
                <w:sz w:val="20"/>
                <w:szCs w:val="20"/>
              </w:rPr>
              <w:t xml:space="preserve">Public visitor</w:t>
            </w:r>
          </w:p>
        </w:tc>
      </w:tr>
    </w:tbl>
    <w:p>
      <w:pPr>
        <w:spacing w:after="280"/>
        <w:jc w:val="center"/>
      </w:pPr>
      <w:r>
        <w:rPr>
          <w:rFonts w:ascii="Calibri" w:cs="Calibri" w:eastAsia="Calibri" w:hAnsi="Calibri"/>
          <w:i/>
          <w:iCs/>
          <w:color w:val="64748B"/>
          <w:sz w:val="18"/>
          <w:szCs w:val="18"/>
        </w:rPr>
        <w:t xml:space="preserve">Table 3.1.a — Stakeholder roles.</w:t>
      </w:r>
    </w:p>
    <w:p>
      <w:pPr>
        <w:pStyle w:val="Heading2"/>
        <w:spacing w:after="200" w:before="360"/>
      </w:pPr>
      <w:r>
        <w:t xml:space="preserve">3.3  Functional Requirements</w:t>
      </w:r>
    </w:p>
    <w:p>
      <w:pPr>
        <w:spacing w:after="160" w:line="300" w:lineRule="auto"/>
        <w:jc w:val="both"/>
      </w:pPr>
      <w:r>
        <w:rPr>
          <w:rFonts w:ascii="Calibri" w:cs="Calibri" w:eastAsia="Calibri" w:hAnsi="Calibri"/>
          <w:color w:val="1E293B"/>
          <w:sz w:val="22"/>
          <w:szCs w:val="22"/>
        </w:rPr>
        <w:t xml:space="preserve">The functional requirements are grouped by role for clarity. Each is given a MoSCoW priority and a stable identifier (FR-X-NN).</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FF4FF" w:color="auto" w:val="clear"/>
          </w:tcPr>
          <w:p>
            <w:r>
              <w:rPr>
                <w:rFonts w:ascii="Calibri" w:cs="Calibri" w:eastAsia="Calibri" w:hAnsi="Calibri"/>
                <w:b/>
                <w:bCs/>
                <w:color w:val="1E3AA0"/>
                <w:sz w:val="20"/>
                <w:szCs w:val="20"/>
              </w:rPr>
              <w:t xml:space="preserve">ID</w:t>
            </w:r>
          </w:p>
        </w:tc>
        <w:tc>
          <w:tcPr>
            <w:tcW w:type="pct" w:w="70%"/>
            <w:shd w:fill="EFF4FF" w:color="auto" w:val="clear"/>
          </w:tcPr>
          <w:p>
            <w:r>
              <w:rPr>
                <w:rFonts w:ascii="Calibri" w:cs="Calibri" w:eastAsia="Calibri" w:hAnsi="Calibri"/>
                <w:b/>
                <w:bCs/>
                <w:color w:val="1E3AA0"/>
                <w:sz w:val="20"/>
                <w:szCs w:val="20"/>
              </w:rPr>
              <w:t xml:space="preserve">Requirement</w:t>
            </w:r>
          </w:p>
        </w:tc>
        <w:tc>
          <w:tcPr>
            <w:tcW w:type="pct" w:w="18%"/>
            <w:shd w:fill="EFF4FF" w:color="auto" w:val="clear"/>
          </w:tcPr>
          <w:p>
            <w:r>
              <w:rPr>
                <w:rFonts w:ascii="Calibri" w:cs="Calibri" w:eastAsia="Calibri" w:hAnsi="Calibri"/>
                <w:b/>
                <w:bCs/>
                <w:color w:val="1E3AA0"/>
                <w:sz w:val="20"/>
                <w:szCs w:val="20"/>
              </w:rPr>
              <w:t xml:space="preserve">MoSCoW</w:t>
            </w:r>
          </w:p>
        </w:tc>
      </w:tr>
      <w:tr>
        <w:tc>
          <w:tcPr>
            <w:tcW w:type="pct" w:w="12%"/>
          </w:tcPr>
          <w:p>
            <w:r>
              <w:rPr>
                <w:rFonts w:ascii="Calibri" w:cs="Calibri" w:eastAsia="Calibri" w:hAnsi="Calibri"/>
                <w:b w:val="false"/>
                <w:bCs w:val="false"/>
                <w:color w:val="1E293B"/>
                <w:sz w:val="20"/>
                <w:szCs w:val="20"/>
              </w:rPr>
              <w:t xml:space="preserve">FR-S-01</w:t>
            </w:r>
          </w:p>
        </w:tc>
        <w:tc>
          <w:tcPr>
            <w:tcW w:type="pct" w:w="70%"/>
          </w:tcPr>
          <w:p>
            <w:r>
              <w:rPr>
                <w:rFonts w:ascii="Calibri" w:cs="Calibri" w:eastAsia="Calibri" w:hAnsi="Calibri"/>
                <w:b w:val="false"/>
                <w:bCs w:val="false"/>
                <w:color w:val="1E293B"/>
                <w:sz w:val="20"/>
                <w:szCs w:val="20"/>
              </w:rPr>
              <w:t xml:space="preserve">Student must view a personalised dashboard.</w:t>
            </w:r>
          </w:p>
        </w:tc>
        <w:tc>
          <w:tcPr>
            <w:tcW w:type="pct" w:w="18%"/>
          </w:tcPr>
          <w:p>
            <w:r>
              <w:rPr>
                <w:rFonts w:ascii="Calibri" w:cs="Calibri" w:eastAsia="Calibri" w:hAnsi="Calibri"/>
                <w:b w:val="false"/>
                <w:bCs w:val="false"/>
                <w:color w:val="1E293B"/>
                <w:sz w:val="20"/>
                <w:szCs w:val="20"/>
              </w:rPr>
              <w:t xml:space="preserve">Must</w:t>
            </w:r>
          </w:p>
        </w:tc>
      </w:tr>
      <w:tr>
        <w:tc>
          <w:tcPr>
            <w:tcW w:type="pct" w:w="12%"/>
          </w:tcPr>
          <w:p>
            <w:r>
              <w:rPr>
                <w:rFonts w:ascii="Calibri" w:cs="Calibri" w:eastAsia="Calibri" w:hAnsi="Calibri"/>
                <w:b w:val="false"/>
                <w:bCs w:val="false"/>
                <w:color w:val="1E293B"/>
                <w:sz w:val="20"/>
                <w:szCs w:val="20"/>
              </w:rPr>
              <w:t xml:space="preserve">FR-S-02</w:t>
            </w:r>
          </w:p>
        </w:tc>
        <w:tc>
          <w:tcPr>
            <w:tcW w:type="pct" w:w="70%"/>
          </w:tcPr>
          <w:p>
            <w:r>
              <w:rPr>
                <w:rFonts w:ascii="Calibri" w:cs="Calibri" w:eastAsia="Calibri" w:hAnsi="Calibri"/>
                <w:b w:val="false"/>
                <w:bCs w:val="false"/>
                <w:color w:val="1E293B"/>
                <w:sz w:val="20"/>
                <w:szCs w:val="20"/>
              </w:rPr>
              <w:t xml:space="preserve">Student must view attendance per course and overall rate.</w:t>
            </w:r>
          </w:p>
        </w:tc>
        <w:tc>
          <w:tcPr>
            <w:tcW w:type="pct" w:w="18%"/>
          </w:tcPr>
          <w:p>
            <w:r>
              <w:rPr>
                <w:rFonts w:ascii="Calibri" w:cs="Calibri" w:eastAsia="Calibri" w:hAnsi="Calibri"/>
                <w:b w:val="false"/>
                <w:bCs w:val="false"/>
                <w:color w:val="1E293B"/>
                <w:sz w:val="20"/>
                <w:szCs w:val="20"/>
              </w:rPr>
              <w:t xml:space="preserve">Must</w:t>
            </w:r>
          </w:p>
        </w:tc>
      </w:tr>
      <w:tr>
        <w:tc>
          <w:tcPr>
            <w:tcW w:type="pct" w:w="12%"/>
          </w:tcPr>
          <w:p>
            <w:r>
              <w:rPr>
                <w:rFonts w:ascii="Calibri" w:cs="Calibri" w:eastAsia="Calibri" w:hAnsi="Calibri"/>
                <w:b w:val="false"/>
                <w:bCs w:val="false"/>
                <w:color w:val="1E293B"/>
                <w:sz w:val="20"/>
                <w:szCs w:val="20"/>
              </w:rPr>
              <w:t xml:space="preserve">FR-S-03</w:t>
            </w:r>
          </w:p>
        </w:tc>
        <w:tc>
          <w:tcPr>
            <w:tcW w:type="pct" w:w="70%"/>
          </w:tcPr>
          <w:p>
            <w:r>
              <w:rPr>
                <w:rFonts w:ascii="Calibri" w:cs="Calibri" w:eastAsia="Calibri" w:hAnsi="Calibri"/>
                <w:b w:val="false"/>
                <w:bCs w:val="false"/>
                <w:color w:val="1E293B"/>
                <w:sz w:val="20"/>
                <w:szCs w:val="20"/>
              </w:rPr>
              <w:t xml:space="preserve">Student must view the timetable filtered by specialty.</w:t>
            </w:r>
          </w:p>
        </w:tc>
        <w:tc>
          <w:tcPr>
            <w:tcW w:type="pct" w:w="18%"/>
          </w:tcPr>
          <w:p>
            <w:r>
              <w:rPr>
                <w:rFonts w:ascii="Calibri" w:cs="Calibri" w:eastAsia="Calibri" w:hAnsi="Calibri"/>
                <w:b w:val="false"/>
                <w:bCs w:val="false"/>
                <w:color w:val="1E293B"/>
                <w:sz w:val="20"/>
                <w:szCs w:val="20"/>
              </w:rPr>
              <w:t xml:space="preserve">Must</w:t>
            </w:r>
          </w:p>
        </w:tc>
      </w:tr>
      <w:tr>
        <w:tc>
          <w:tcPr>
            <w:tcW w:type="pct" w:w="12%"/>
          </w:tcPr>
          <w:p>
            <w:r>
              <w:rPr>
                <w:rFonts w:ascii="Calibri" w:cs="Calibri" w:eastAsia="Calibri" w:hAnsi="Calibri"/>
                <w:b w:val="false"/>
                <w:bCs w:val="false"/>
                <w:color w:val="1E293B"/>
                <w:sz w:val="20"/>
                <w:szCs w:val="20"/>
              </w:rPr>
              <w:t xml:space="preserve">FR-S-04</w:t>
            </w:r>
          </w:p>
        </w:tc>
        <w:tc>
          <w:tcPr>
            <w:tcW w:type="pct" w:w="70%"/>
          </w:tcPr>
          <w:p>
            <w:r>
              <w:rPr>
                <w:rFonts w:ascii="Calibri" w:cs="Calibri" w:eastAsia="Calibri" w:hAnsi="Calibri"/>
                <w:b w:val="false"/>
                <w:bCs w:val="false"/>
                <w:color w:val="1E293B"/>
                <w:sz w:val="20"/>
                <w:szCs w:val="20"/>
              </w:rPr>
              <w:t xml:space="preserve">Student must view results and download a printable PDF.</w:t>
            </w:r>
          </w:p>
        </w:tc>
        <w:tc>
          <w:tcPr>
            <w:tcW w:type="pct" w:w="18%"/>
          </w:tcPr>
          <w:p>
            <w:r>
              <w:rPr>
                <w:rFonts w:ascii="Calibri" w:cs="Calibri" w:eastAsia="Calibri" w:hAnsi="Calibri"/>
                <w:b w:val="false"/>
                <w:bCs w:val="false"/>
                <w:color w:val="1E293B"/>
                <w:sz w:val="20"/>
                <w:szCs w:val="20"/>
              </w:rPr>
              <w:t xml:space="preserve">Must</w:t>
            </w:r>
          </w:p>
        </w:tc>
      </w:tr>
      <w:tr>
        <w:tc>
          <w:tcPr>
            <w:tcW w:type="pct" w:w="12%"/>
          </w:tcPr>
          <w:p>
            <w:r>
              <w:rPr>
                <w:rFonts w:ascii="Calibri" w:cs="Calibri" w:eastAsia="Calibri" w:hAnsi="Calibri"/>
                <w:b w:val="false"/>
                <w:bCs w:val="false"/>
                <w:color w:val="1E293B"/>
                <w:sz w:val="20"/>
                <w:szCs w:val="20"/>
              </w:rPr>
              <w:t xml:space="preserve">FR-S-05</w:t>
            </w:r>
          </w:p>
        </w:tc>
        <w:tc>
          <w:tcPr>
            <w:tcW w:type="pct" w:w="70%"/>
          </w:tcPr>
          <w:p>
            <w:r>
              <w:rPr>
                <w:rFonts w:ascii="Calibri" w:cs="Calibri" w:eastAsia="Calibri" w:hAnsi="Calibri"/>
                <w:b w:val="false"/>
                <w:bCs w:val="false"/>
                <w:color w:val="1E293B"/>
                <w:sz w:val="20"/>
                <w:szCs w:val="20"/>
              </w:rPr>
              <w:t xml:space="preserve">Student must view announcements offline if previously cached.</w:t>
            </w:r>
          </w:p>
        </w:tc>
        <w:tc>
          <w:tcPr>
            <w:tcW w:type="pct" w:w="18%"/>
          </w:tcPr>
          <w:p>
            <w:r>
              <w:rPr>
                <w:rFonts w:ascii="Calibri" w:cs="Calibri" w:eastAsia="Calibri" w:hAnsi="Calibri"/>
                <w:b w:val="false"/>
                <w:bCs w:val="false"/>
                <w:color w:val="1E293B"/>
                <w:sz w:val="20"/>
                <w:szCs w:val="20"/>
              </w:rPr>
              <w:t xml:space="preserve">Should</w:t>
            </w:r>
          </w:p>
        </w:tc>
      </w:tr>
      <w:tr>
        <w:tc>
          <w:tcPr>
            <w:tcW w:type="pct" w:w="12%"/>
          </w:tcPr>
          <w:p>
            <w:r>
              <w:rPr>
                <w:rFonts w:ascii="Calibri" w:cs="Calibri" w:eastAsia="Calibri" w:hAnsi="Calibri"/>
                <w:b w:val="false"/>
                <w:bCs w:val="false"/>
                <w:color w:val="1E293B"/>
                <w:sz w:val="20"/>
                <w:szCs w:val="20"/>
              </w:rPr>
              <w:t xml:space="preserve">FR-S-06</w:t>
            </w:r>
          </w:p>
        </w:tc>
        <w:tc>
          <w:tcPr>
            <w:tcW w:type="pct" w:w="70%"/>
          </w:tcPr>
          <w:p>
            <w:r>
              <w:rPr>
                <w:rFonts w:ascii="Calibri" w:cs="Calibri" w:eastAsia="Calibri" w:hAnsi="Calibri"/>
                <w:b w:val="false"/>
                <w:bCs w:val="false"/>
                <w:color w:val="1E293B"/>
                <w:sz w:val="20"/>
                <w:szCs w:val="20"/>
              </w:rPr>
              <w:t xml:space="preserve">Student must view tuition balance and pay outstanding fees.</w:t>
            </w:r>
          </w:p>
        </w:tc>
        <w:tc>
          <w:tcPr>
            <w:tcW w:type="pct" w:w="18%"/>
          </w:tcPr>
          <w:p>
            <w:r>
              <w:rPr>
                <w:rFonts w:ascii="Calibri" w:cs="Calibri" w:eastAsia="Calibri" w:hAnsi="Calibri"/>
                <w:b w:val="false"/>
                <w:bCs w:val="false"/>
                <w:color w:val="1E293B"/>
                <w:sz w:val="20"/>
                <w:szCs w:val="20"/>
              </w:rPr>
              <w:t xml:space="preserve">Must</w:t>
            </w:r>
          </w:p>
        </w:tc>
      </w:tr>
      <w:tr>
        <w:tc>
          <w:tcPr>
            <w:tcW w:type="pct" w:w="12%"/>
          </w:tcPr>
          <w:p>
            <w:r>
              <w:rPr>
                <w:rFonts w:ascii="Calibri" w:cs="Calibri" w:eastAsia="Calibri" w:hAnsi="Calibri"/>
                <w:b w:val="false"/>
                <w:bCs w:val="false"/>
                <w:color w:val="1E293B"/>
                <w:sz w:val="20"/>
                <w:szCs w:val="20"/>
              </w:rPr>
              <w:t xml:space="preserve">FR-S-07</w:t>
            </w:r>
          </w:p>
        </w:tc>
        <w:tc>
          <w:tcPr>
            <w:tcW w:type="pct" w:w="70%"/>
          </w:tcPr>
          <w:p>
            <w:r>
              <w:rPr>
                <w:rFonts w:ascii="Calibri" w:cs="Calibri" w:eastAsia="Calibri" w:hAnsi="Calibri"/>
                <w:b w:val="false"/>
                <w:bCs w:val="false"/>
                <w:color w:val="1E293B"/>
                <w:sz w:val="20"/>
                <w:szCs w:val="20"/>
              </w:rPr>
              <w:t xml:space="preserve">Student must generate and print an official ID card.</w:t>
            </w:r>
          </w:p>
        </w:tc>
        <w:tc>
          <w:tcPr>
            <w:tcW w:type="pct" w:w="18%"/>
          </w:tcPr>
          <w:p>
            <w:r>
              <w:rPr>
                <w:rFonts w:ascii="Calibri" w:cs="Calibri" w:eastAsia="Calibri" w:hAnsi="Calibri"/>
                <w:b w:val="false"/>
                <w:bCs w:val="false"/>
                <w:color w:val="1E293B"/>
                <w:sz w:val="20"/>
                <w:szCs w:val="20"/>
              </w:rPr>
              <w:t xml:space="preserve">Must</w:t>
            </w:r>
          </w:p>
        </w:tc>
      </w:tr>
      <w:tr>
        <w:tc>
          <w:tcPr>
            <w:tcW w:type="pct" w:w="12%"/>
          </w:tcPr>
          <w:p>
            <w:r>
              <w:rPr>
                <w:rFonts w:ascii="Calibri" w:cs="Calibri" w:eastAsia="Calibri" w:hAnsi="Calibri"/>
                <w:b w:val="false"/>
                <w:bCs w:val="false"/>
                <w:color w:val="1E293B"/>
                <w:sz w:val="20"/>
                <w:szCs w:val="20"/>
              </w:rPr>
              <w:t xml:space="preserve">FR-S-08</w:t>
            </w:r>
          </w:p>
        </w:tc>
        <w:tc>
          <w:tcPr>
            <w:tcW w:type="pct" w:w="70%"/>
          </w:tcPr>
          <w:p>
            <w:r>
              <w:rPr>
                <w:rFonts w:ascii="Calibri" w:cs="Calibri" w:eastAsia="Calibri" w:hAnsi="Calibri"/>
                <w:b w:val="false"/>
                <w:bCs w:val="false"/>
                <w:color w:val="1E293B"/>
                <w:sz w:val="20"/>
                <w:szCs w:val="20"/>
              </w:rPr>
              <w:t xml:space="preserve">Student must download an official transcript.</w:t>
            </w:r>
          </w:p>
        </w:tc>
        <w:tc>
          <w:tcPr>
            <w:tcW w:type="pct" w:w="18%"/>
          </w:tcPr>
          <w:p>
            <w:r>
              <w:rPr>
                <w:rFonts w:ascii="Calibri" w:cs="Calibri" w:eastAsia="Calibri" w:hAnsi="Calibri"/>
                <w:b w:val="false"/>
                <w:bCs w:val="false"/>
                <w:color w:val="1E293B"/>
                <w:sz w:val="20"/>
                <w:szCs w:val="20"/>
              </w:rPr>
              <w:t xml:space="preserve">Must</w:t>
            </w:r>
          </w:p>
        </w:tc>
      </w:tr>
      <w:tr>
        <w:tc>
          <w:tcPr>
            <w:tcW w:type="pct" w:w="12%"/>
          </w:tcPr>
          <w:p>
            <w:r>
              <w:rPr>
                <w:rFonts w:ascii="Calibri" w:cs="Calibri" w:eastAsia="Calibri" w:hAnsi="Calibri"/>
                <w:b w:val="false"/>
                <w:bCs w:val="false"/>
                <w:color w:val="1E293B"/>
                <w:sz w:val="20"/>
                <w:szCs w:val="20"/>
              </w:rPr>
              <w:t xml:space="preserve">FR-L-01</w:t>
            </w:r>
          </w:p>
        </w:tc>
        <w:tc>
          <w:tcPr>
            <w:tcW w:type="pct" w:w="70%"/>
          </w:tcPr>
          <w:p>
            <w:r>
              <w:rPr>
                <w:rFonts w:ascii="Calibri" w:cs="Calibri" w:eastAsia="Calibri" w:hAnsi="Calibri"/>
                <w:b w:val="false"/>
                <w:bCs w:val="false"/>
                <w:color w:val="1E293B"/>
                <w:sz w:val="20"/>
                <w:szCs w:val="20"/>
              </w:rPr>
              <w:t xml:space="preserve">Lecturer must mark attendance for an assigned class.</w:t>
            </w:r>
          </w:p>
        </w:tc>
        <w:tc>
          <w:tcPr>
            <w:tcW w:type="pct" w:w="18%"/>
          </w:tcPr>
          <w:p>
            <w:r>
              <w:rPr>
                <w:rFonts w:ascii="Calibri" w:cs="Calibri" w:eastAsia="Calibri" w:hAnsi="Calibri"/>
                <w:b w:val="false"/>
                <w:bCs w:val="false"/>
                <w:color w:val="1E293B"/>
                <w:sz w:val="20"/>
                <w:szCs w:val="20"/>
              </w:rPr>
              <w:t xml:space="preserve">Must</w:t>
            </w:r>
          </w:p>
        </w:tc>
      </w:tr>
      <w:tr>
        <w:tc>
          <w:tcPr>
            <w:tcW w:type="pct" w:w="12%"/>
          </w:tcPr>
          <w:p>
            <w:r>
              <w:rPr>
                <w:rFonts w:ascii="Calibri" w:cs="Calibri" w:eastAsia="Calibri" w:hAnsi="Calibri"/>
                <w:b w:val="false"/>
                <w:bCs w:val="false"/>
                <w:color w:val="1E293B"/>
                <w:sz w:val="20"/>
                <w:szCs w:val="20"/>
              </w:rPr>
              <w:t xml:space="preserve">FR-L-02</w:t>
            </w:r>
          </w:p>
        </w:tc>
        <w:tc>
          <w:tcPr>
            <w:tcW w:type="pct" w:w="70%"/>
          </w:tcPr>
          <w:p>
            <w:r>
              <w:rPr>
                <w:rFonts w:ascii="Calibri" w:cs="Calibri" w:eastAsia="Calibri" w:hAnsi="Calibri"/>
                <w:b w:val="false"/>
                <w:bCs w:val="false"/>
                <w:color w:val="1E293B"/>
                <w:sz w:val="20"/>
                <w:szCs w:val="20"/>
              </w:rPr>
              <w:t xml:space="preserve">Lecturer must enter and submit grades (CA + Exam).</w:t>
            </w:r>
          </w:p>
        </w:tc>
        <w:tc>
          <w:tcPr>
            <w:tcW w:type="pct" w:w="18%"/>
          </w:tcPr>
          <w:p>
            <w:r>
              <w:rPr>
                <w:rFonts w:ascii="Calibri" w:cs="Calibri" w:eastAsia="Calibri" w:hAnsi="Calibri"/>
                <w:b w:val="false"/>
                <w:bCs w:val="false"/>
                <w:color w:val="1E293B"/>
                <w:sz w:val="20"/>
                <w:szCs w:val="20"/>
              </w:rPr>
              <w:t xml:space="preserve">Must</w:t>
            </w:r>
          </w:p>
        </w:tc>
      </w:tr>
      <w:tr>
        <w:tc>
          <w:tcPr>
            <w:tcW w:type="pct" w:w="12%"/>
          </w:tcPr>
          <w:p>
            <w:r>
              <w:rPr>
                <w:rFonts w:ascii="Calibri" w:cs="Calibri" w:eastAsia="Calibri" w:hAnsi="Calibri"/>
                <w:b w:val="false"/>
                <w:bCs w:val="false"/>
                <w:color w:val="1E293B"/>
                <w:sz w:val="20"/>
                <w:szCs w:val="20"/>
              </w:rPr>
              <w:t xml:space="preserve">FR-L-03</w:t>
            </w:r>
          </w:p>
        </w:tc>
        <w:tc>
          <w:tcPr>
            <w:tcW w:type="pct" w:w="70%"/>
          </w:tcPr>
          <w:p>
            <w:r>
              <w:rPr>
                <w:rFonts w:ascii="Calibri" w:cs="Calibri" w:eastAsia="Calibri" w:hAnsi="Calibri"/>
                <w:b w:val="false"/>
                <w:bCs w:val="false"/>
                <w:color w:val="1E293B"/>
                <w:sz w:val="20"/>
                <w:szCs w:val="20"/>
              </w:rPr>
              <w:t xml:space="preserve">Lecturer must view their week's class list.</w:t>
            </w:r>
          </w:p>
        </w:tc>
        <w:tc>
          <w:tcPr>
            <w:tcW w:type="pct" w:w="18%"/>
          </w:tcPr>
          <w:p>
            <w:r>
              <w:rPr>
                <w:rFonts w:ascii="Calibri" w:cs="Calibri" w:eastAsia="Calibri" w:hAnsi="Calibri"/>
                <w:b w:val="false"/>
                <w:bCs w:val="false"/>
                <w:color w:val="1E293B"/>
                <w:sz w:val="20"/>
                <w:szCs w:val="20"/>
              </w:rPr>
              <w:t xml:space="preserve">Should</w:t>
            </w:r>
          </w:p>
        </w:tc>
      </w:tr>
      <w:tr>
        <w:tc>
          <w:tcPr>
            <w:tcW w:type="pct" w:w="12%"/>
          </w:tcPr>
          <w:p>
            <w:r>
              <w:rPr>
                <w:rFonts w:ascii="Calibri" w:cs="Calibri" w:eastAsia="Calibri" w:hAnsi="Calibri"/>
                <w:b w:val="false"/>
                <w:bCs w:val="false"/>
                <w:color w:val="1E293B"/>
                <w:sz w:val="20"/>
                <w:szCs w:val="20"/>
              </w:rPr>
              <w:t xml:space="preserve">FR-T-01</w:t>
            </w:r>
          </w:p>
        </w:tc>
        <w:tc>
          <w:tcPr>
            <w:tcW w:type="pct" w:w="70%"/>
          </w:tcPr>
          <w:p>
            <w:r>
              <w:rPr>
                <w:rFonts w:ascii="Calibri" w:cs="Calibri" w:eastAsia="Calibri" w:hAnsi="Calibri"/>
                <w:b w:val="false"/>
                <w:bCs w:val="false"/>
                <w:color w:val="1E293B"/>
                <w:sz w:val="20"/>
                <w:szCs w:val="20"/>
              </w:rPr>
              <w:t xml:space="preserve">Staff must enrol a new student via a single form.</w:t>
            </w:r>
          </w:p>
        </w:tc>
        <w:tc>
          <w:tcPr>
            <w:tcW w:type="pct" w:w="18%"/>
          </w:tcPr>
          <w:p>
            <w:r>
              <w:rPr>
                <w:rFonts w:ascii="Calibri" w:cs="Calibri" w:eastAsia="Calibri" w:hAnsi="Calibri"/>
                <w:b w:val="false"/>
                <w:bCs w:val="false"/>
                <w:color w:val="1E293B"/>
                <w:sz w:val="20"/>
                <w:szCs w:val="20"/>
              </w:rPr>
              <w:t xml:space="preserve">Must</w:t>
            </w:r>
          </w:p>
        </w:tc>
      </w:tr>
      <w:tr>
        <w:tc>
          <w:tcPr>
            <w:tcW w:type="pct" w:w="12%"/>
          </w:tcPr>
          <w:p>
            <w:r>
              <w:rPr>
                <w:rFonts w:ascii="Calibri" w:cs="Calibri" w:eastAsia="Calibri" w:hAnsi="Calibri"/>
                <w:b w:val="false"/>
                <w:bCs w:val="false"/>
                <w:color w:val="1E293B"/>
                <w:sz w:val="20"/>
                <w:szCs w:val="20"/>
              </w:rPr>
              <w:t xml:space="preserve">FR-T-02</w:t>
            </w:r>
          </w:p>
        </w:tc>
        <w:tc>
          <w:tcPr>
            <w:tcW w:type="pct" w:w="70%"/>
          </w:tcPr>
          <w:p>
            <w:r>
              <w:rPr>
                <w:rFonts w:ascii="Calibri" w:cs="Calibri" w:eastAsia="Calibri" w:hAnsi="Calibri"/>
                <w:b w:val="false"/>
                <w:bCs w:val="false"/>
                <w:color w:val="1E293B"/>
                <w:sz w:val="20"/>
                <w:szCs w:val="20"/>
              </w:rPr>
              <w:t xml:space="preserve">Staff must enrol students in bulk via CSV upload.</w:t>
            </w:r>
          </w:p>
        </w:tc>
        <w:tc>
          <w:tcPr>
            <w:tcW w:type="pct" w:w="18%"/>
          </w:tcPr>
          <w:p>
            <w:r>
              <w:rPr>
                <w:rFonts w:ascii="Calibri" w:cs="Calibri" w:eastAsia="Calibri" w:hAnsi="Calibri"/>
                <w:b w:val="false"/>
                <w:bCs w:val="false"/>
                <w:color w:val="1E293B"/>
                <w:sz w:val="20"/>
                <w:szCs w:val="20"/>
              </w:rPr>
              <w:t xml:space="preserve">Should</w:t>
            </w:r>
          </w:p>
        </w:tc>
      </w:tr>
      <w:tr>
        <w:tc>
          <w:tcPr>
            <w:tcW w:type="pct" w:w="12%"/>
          </w:tcPr>
          <w:p>
            <w:r>
              <w:rPr>
                <w:rFonts w:ascii="Calibri" w:cs="Calibri" w:eastAsia="Calibri" w:hAnsi="Calibri"/>
                <w:b w:val="false"/>
                <w:bCs w:val="false"/>
                <w:color w:val="1E293B"/>
                <w:sz w:val="20"/>
                <w:szCs w:val="20"/>
              </w:rPr>
              <w:t xml:space="preserve">FR-T-03</w:t>
            </w:r>
          </w:p>
        </w:tc>
        <w:tc>
          <w:tcPr>
            <w:tcW w:type="pct" w:w="70%"/>
          </w:tcPr>
          <w:p>
            <w:r>
              <w:rPr>
                <w:rFonts w:ascii="Calibri" w:cs="Calibri" w:eastAsia="Calibri" w:hAnsi="Calibri"/>
                <w:b w:val="false"/>
                <w:bCs w:val="false"/>
                <w:color w:val="1E293B"/>
                <w:sz w:val="20"/>
                <w:szCs w:val="20"/>
              </w:rPr>
              <w:t xml:space="preserve">Staff must view all tuition transactions with filters.</w:t>
            </w:r>
          </w:p>
        </w:tc>
        <w:tc>
          <w:tcPr>
            <w:tcW w:type="pct" w:w="18%"/>
          </w:tcPr>
          <w:p>
            <w:r>
              <w:rPr>
                <w:rFonts w:ascii="Calibri" w:cs="Calibri" w:eastAsia="Calibri" w:hAnsi="Calibri"/>
                <w:b w:val="false"/>
                <w:bCs w:val="false"/>
                <w:color w:val="1E293B"/>
                <w:sz w:val="20"/>
                <w:szCs w:val="20"/>
              </w:rPr>
              <w:t xml:space="preserve">Must</w:t>
            </w:r>
          </w:p>
        </w:tc>
      </w:tr>
      <w:tr>
        <w:tc>
          <w:tcPr>
            <w:tcW w:type="pct" w:w="12%"/>
          </w:tcPr>
          <w:p>
            <w:r>
              <w:rPr>
                <w:rFonts w:ascii="Calibri" w:cs="Calibri" w:eastAsia="Calibri" w:hAnsi="Calibri"/>
                <w:b w:val="false"/>
                <w:bCs w:val="false"/>
                <w:color w:val="1E293B"/>
                <w:sz w:val="20"/>
                <w:szCs w:val="20"/>
              </w:rPr>
              <w:t xml:space="preserve">FR-T-04</w:t>
            </w:r>
          </w:p>
        </w:tc>
        <w:tc>
          <w:tcPr>
            <w:tcW w:type="pct" w:w="70%"/>
          </w:tcPr>
          <w:p>
            <w:r>
              <w:rPr>
                <w:rFonts w:ascii="Calibri" w:cs="Calibri" w:eastAsia="Calibri" w:hAnsi="Calibri"/>
                <w:b w:val="false"/>
                <w:bCs w:val="false"/>
                <w:color w:val="1E293B"/>
                <w:sz w:val="20"/>
                <w:szCs w:val="20"/>
              </w:rPr>
              <w:t xml:space="preserve">Staff must publish institutional announcements.</w:t>
            </w:r>
          </w:p>
        </w:tc>
        <w:tc>
          <w:tcPr>
            <w:tcW w:type="pct" w:w="18%"/>
          </w:tcPr>
          <w:p>
            <w:r>
              <w:rPr>
                <w:rFonts w:ascii="Calibri" w:cs="Calibri" w:eastAsia="Calibri" w:hAnsi="Calibri"/>
                <w:b w:val="false"/>
                <w:bCs w:val="false"/>
                <w:color w:val="1E293B"/>
                <w:sz w:val="20"/>
                <w:szCs w:val="20"/>
              </w:rPr>
              <w:t xml:space="preserve">Must</w:t>
            </w:r>
          </w:p>
        </w:tc>
      </w:tr>
      <w:tr>
        <w:tc>
          <w:tcPr>
            <w:tcW w:type="pct" w:w="12%"/>
          </w:tcPr>
          <w:p>
            <w:r>
              <w:rPr>
                <w:rFonts w:ascii="Calibri" w:cs="Calibri" w:eastAsia="Calibri" w:hAnsi="Calibri"/>
                <w:b w:val="false"/>
                <w:bCs w:val="false"/>
                <w:color w:val="1E293B"/>
                <w:sz w:val="20"/>
                <w:szCs w:val="20"/>
              </w:rPr>
              <w:t xml:space="preserve">FR-T-05</w:t>
            </w:r>
          </w:p>
        </w:tc>
        <w:tc>
          <w:tcPr>
            <w:tcW w:type="pct" w:w="70%"/>
          </w:tcPr>
          <w:p>
            <w:r>
              <w:rPr>
                <w:rFonts w:ascii="Calibri" w:cs="Calibri" w:eastAsia="Calibri" w:hAnsi="Calibri"/>
                <w:b w:val="false"/>
                <w:bCs w:val="false"/>
                <w:color w:val="1E293B"/>
                <w:sz w:val="20"/>
                <w:szCs w:val="20"/>
              </w:rPr>
              <w:t xml:space="preserve">Staff must manage the timetable across three tracks.</w:t>
            </w:r>
          </w:p>
        </w:tc>
        <w:tc>
          <w:tcPr>
            <w:tcW w:type="pct" w:w="18%"/>
          </w:tcPr>
          <w:p>
            <w:r>
              <w:rPr>
                <w:rFonts w:ascii="Calibri" w:cs="Calibri" w:eastAsia="Calibri" w:hAnsi="Calibri"/>
                <w:b w:val="false"/>
                <w:bCs w:val="false"/>
                <w:color w:val="1E293B"/>
                <w:sz w:val="20"/>
                <w:szCs w:val="20"/>
              </w:rPr>
              <w:t xml:space="preserve">Must</w:t>
            </w:r>
          </w:p>
        </w:tc>
      </w:tr>
      <w:tr>
        <w:tc>
          <w:tcPr>
            <w:tcW w:type="pct" w:w="12%"/>
          </w:tcPr>
          <w:p>
            <w:r>
              <w:rPr>
                <w:rFonts w:ascii="Calibri" w:cs="Calibri" w:eastAsia="Calibri" w:hAnsi="Calibri"/>
                <w:b w:val="false"/>
                <w:bCs w:val="false"/>
                <w:color w:val="1E293B"/>
                <w:sz w:val="20"/>
                <w:szCs w:val="20"/>
              </w:rPr>
              <w:t xml:space="preserve">FR-A-01</w:t>
            </w:r>
          </w:p>
        </w:tc>
        <w:tc>
          <w:tcPr>
            <w:tcW w:type="pct" w:w="70%"/>
          </w:tcPr>
          <w:p>
            <w:r>
              <w:rPr>
                <w:rFonts w:ascii="Calibri" w:cs="Calibri" w:eastAsia="Calibri" w:hAnsi="Calibri"/>
                <w:b w:val="false"/>
                <w:bCs w:val="false"/>
                <w:color w:val="1E293B"/>
                <w:sz w:val="20"/>
                <w:szCs w:val="20"/>
              </w:rPr>
              <w:t xml:space="preserve">Administration must view aggregate analytics.</w:t>
            </w:r>
          </w:p>
        </w:tc>
        <w:tc>
          <w:tcPr>
            <w:tcW w:type="pct" w:w="18%"/>
          </w:tcPr>
          <w:p>
            <w:r>
              <w:rPr>
                <w:rFonts w:ascii="Calibri" w:cs="Calibri" w:eastAsia="Calibri" w:hAnsi="Calibri"/>
                <w:b w:val="false"/>
                <w:bCs w:val="false"/>
                <w:color w:val="1E293B"/>
                <w:sz w:val="20"/>
                <w:szCs w:val="20"/>
              </w:rPr>
              <w:t xml:space="preserve">Must</w:t>
            </w:r>
          </w:p>
        </w:tc>
      </w:tr>
      <w:tr>
        <w:tc>
          <w:tcPr>
            <w:tcW w:type="pct" w:w="12%"/>
          </w:tcPr>
          <w:p>
            <w:r>
              <w:rPr>
                <w:rFonts w:ascii="Calibri" w:cs="Calibri" w:eastAsia="Calibri" w:hAnsi="Calibri"/>
                <w:b w:val="false"/>
                <w:bCs w:val="false"/>
                <w:color w:val="1E293B"/>
                <w:sz w:val="20"/>
                <w:szCs w:val="20"/>
              </w:rPr>
              <w:t xml:space="preserve">FR-A-02</w:t>
            </w:r>
          </w:p>
        </w:tc>
        <w:tc>
          <w:tcPr>
            <w:tcW w:type="pct" w:w="70%"/>
          </w:tcPr>
          <w:p>
            <w:r>
              <w:rPr>
                <w:rFonts w:ascii="Calibri" w:cs="Calibri" w:eastAsia="Calibri" w:hAnsi="Calibri"/>
                <w:b w:val="false"/>
                <w:bCs w:val="false"/>
                <w:color w:val="1E293B"/>
                <w:sz w:val="20"/>
                <w:szCs w:val="20"/>
              </w:rPr>
              <w:t xml:space="preserve">Administration must manage all user accounts.</w:t>
            </w:r>
          </w:p>
        </w:tc>
        <w:tc>
          <w:tcPr>
            <w:tcW w:type="pct" w:w="18%"/>
          </w:tcPr>
          <w:p>
            <w:r>
              <w:rPr>
                <w:rFonts w:ascii="Calibri" w:cs="Calibri" w:eastAsia="Calibri" w:hAnsi="Calibri"/>
                <w:b w:val="false"/>
                <w:bCs w:val="false"/>
                <w:color w:val="1E293B"/>
                <w:sz w:val="20"/>
                <w:szCs w:val="20"/>
              </w:rPr>
              <w:t xml:space="preserve">Should</w:t>
            </w:r>
          </w:p>
        </w:tc>
      </w:tr>
      <w:tr>
        <w:tc>
          <w:tcPr>
            <w:tcW w:type="pct" w:w="12%"/>
          </w:tcPr>
          <w:p>
            <w:r>
              <w:rPr>
                <w:rFonts w:ascii="Calibri" w:cs="Calibri" w:eastAsia="Calibri" w:hAnsi="Calibri"/>
                <w:b w:val="false"/>
                <w:bCs w:val="false"/>
                <w:color w:val="1E293B"/>
                <w:sz w:val="20"/>
                <w:szCs w:val="20"/>
              </w:rPr>
              <w:t xml:space="preserve">FR-A-03</w:t>
            </w:r>
          </w:p>
        </w:tc>
        <w:tc>
          <w:tcPr>
            <w:tcW w:type="pct" w:w="70%"/>
          </w:tcPr>
          <w:p>
            <w:r>
              <w:rPr>
                <w:rFonts w:ascii="Calibri" w:cs="Calibri" w:eastAsia="Calibri" w:hAnsi="Calibri"/>
                <w:b w:val="false"/>
                <w:bCs w:val="false"/>
                <w:color w:val="1E293B"/>
                <w:sz w:val="20"/>
                <w:szCs w:val="20"/>
              </w:rPr>
              <w:t xml:space="preserve">Administration must configure system settings.</w:t>
            </w:r>
          </w:p>
        </w:tc>
        <w:tc>
          <w:tcPr>
            <w:tcW w:type="pct" w:w="18%"/>
          </w:tcPr>
          <w:p>
            <w:r>
              <w:rPr>
                <w:rFonts w:ascii="Calibri" w:cs="Calibri" w:eastAsia="Calibri" w:hAnsi="Calibri"/>
                <w:b w:val="false"/>
                <w:bCs w:val="false"/>
                <w:color w:val="1E293B"/>
                <w:sz w:val="20"/>
                <w:szCs w:val="20"/>
              </w:rPr>
              <w:t xml:space="preserve">Could</w:t>
            </w:r>
          </w:p>
        </w:tc>
      </w:tr>
      <w:tr>
        <w:tc>
          <w:tcPr>
            <w:tcW w:type="pct" w:w="12%"/>
          </w:tcPr>
          <w:p>
            <w:r>
              <w:rPr>
                <w:rFonts w:ascii="Calibri" w:cs="Calibri" w:eastAsia="Calibri" w:hAnsi="Calibri"/>
                <w:b w:val="false"/>
                <w:bCs w:val="false"/>
                <w:color w:val="1E293B"/>
                <w:sz w:val="20"/>
                <w:szCs w:val="20"/>
              </w:rPr>
              <w:t xml:space="preserve">FR-P-01</w:t>
            </w:r>
          </w:p>
        </w:tc>
        <w:tc>
          <w:tcPr>
            <w:tcW w:type="pct" w:w="70%"/>
          </w:tcPr>
          <w:p>
            <w:r>
              <w:rPr>
                <w:rFonts w:ascii="Calibri" w:cs="Calibri" w:eastAsia="Calibri" w:hAnsi="Calibri"/>
                <w:b w:val="false"/>
                <w:bCs w:val="false"/>
                <w:color w:val="1E293B"/>
                <w:sz w:val="20"/>
                <w:szCs w:val="20"/>
              </w:rPr>
              <w:t xml:space="preserve">Parent must browse specialties and fees without account.</w:t>
            </w:r>
          </w:p>
        </w:tc>
        <w:tc>
          <w:tcPr>
            <w:tcW w:type="pct" w:w="18%"/>
          </w:tcPr>
          <w:p>
            <w:r>
              <w:rPr>
                <w:rFonts w:ascii="Calibri" w:cs="Calibri" w:eastAsia="Calibri" w:hAnsi="Calibri"/>
                <w:b w:val="false"/>
                <w:bCs w:val="false"/>
                <w:color w:val="1E293B"/>
                <w:sz w:val="20"/>
                <w:szCs w:val="20"/>
              </w:rPr>
              <w:t xml:space="preserve">Must</w:t>
            </w:r>
          </w:p>
        </w:tc>
      </w:tr>
      <w:tr>
        <w:tc>
          <w:tcPr>
            <w:tcW w:type="pct" w:w="12%"/>
          </w:tcPr>
          <w:p>
            <w:r>
              <w:rPr>
                <w:rFonts w:ascii="Calibri" w:cs="Calibri" w:eastAsia="Calibri" w:hAnsi="Calibri"/>
                <w:b w:val="false"/>
                <w:bCs w:val="false"/>
                <w:color w:val="1E293B"/>
                <w:sz w:val="20"/>
                <w:szCs w:val="20"/>
              </w:rPr>
              <w:t xml:space="preserve">FR-P-02</w:t>
            </w:r>
          </w:p>
        </w:tc>
        <w:tc>
          <w:tcPr>
            <w:tcW w:type="pct" w:w="70%"/>
          </w:tcPr>
          <w:p>
            <w:r>
              <w:rPr>
                <w:rFonts w:ascii="Calibri" w:cs="Calibri" w:eastAsia="Calibri" w:hAnsi="Calibri"/>
                <w:b w:val="false"/>
                <w:bCs w:val="false"/>
                <w:color w:val="1E293B"/>
                <w:sz w:val="20"/>
                <w:szCs w:val="20"/>
              </w:rPr>
              <w:t xml:space="preserve">Parent must complete a 5-step registration wizard.</w:t>
            </w:r>
          </w:p>
        </w:tc>
        <w:tc>
          <w:tcPr>
            <w:tcW w:type="pct" w:w="18%"/>
          </w:tcPr>
          <w:p>
            <w:r>
              <w:rPr>
                <w:rFonts w:ascii="Calibri" w:cs="Calibri" w:eastAsia="Calibri" w:hAnsi="Calibri"/>
                <w:b w:val="false"/>
                <w:bCs w:val="false"/>
                <w:color w:val="1E293B"/>
                <w:sz w:val="20"/>
                <w:szCs w:val="20"/>
              </w:rPr>
              <w:t xml:space="preserve">Must</w:t>
            </w:r>
          </w:p>
        </w:tc>
      </w:tr>
      <w:tr>
        <w:tc>
          <w:tcPr>
            <w:tcW w:type="pct" w:w="12%"/>
          </w:tcPr>
          <w:p>
            <w:r>
              <w:rPr>
                <w:rFonts w:ascii="Calibri" w:cs="Calibri" w:eastAsia="Calibri" w:hAnsi="Calibri"/>
                <w:b w:val="false"/>
                <w:bCs w:val="false"/>
                <w:color w:val="1E293B"/>
                <w:sz w:val="20"/>
                <w:szCs w:val="20"/>
              </w:rPr>
              <w:t xml:space="preserve">FR-P-03</w:t>
            </w:r>
          </w:p>
        </w:tc>
        <w:tc>
          <w:tcPr>
            <w:tcW w:type="pct" w:w="70%"/>
          </w:tcPr>
          <w:p>
            <w:r>
              <w:rPr>
                <w:rFonts w:ascii="Calibri" w:cs="Calibri" w:eastAsia="Calibri" w:hAnsi="Calibri"/>
                <w:b w:val="false"/>
                <w:bCs w:val="false"/>
                <w:color w:val="1E293B"/>
                <w:sz w:val="20"/>
                <w:szCs w:val="20"/>
              </w:rPr>
              <w:t xml:space="preserve">Parent must pay tuition through MoMo, OM, PayPal, Visa or bank.</w:t>
            </w:r>
          </w:p>
        </w:tc>
        <w:tc>
          <w:tcPr>
            <w:tcW w:type="pct" w:w="18%"/>
          </w:tcPr>
          <w:p>
            <w:r>
              <w:rPr>
                <w:rFonts w:ascii="Calibri" w:cs="Calibri" w:eastAsia="Calibri" w:hAnsi="Calibri"/>
                <w:b w:val="false"/>
                <w:bCs w:val="false"/>
                <w:color w:val="1E293B"/>
                <w:sz w:val="20"/>
                <w:szCs w:val="20"/>
              </w:rPr>
              <w:t xml:space="preserve">Must</w:t>
            </w:r>
          </w:p>
        </w:tc>
      </w:tr>
      <w:tr>
        <w:tc>
          <w:tcPr>
            <w:tcW w:type="pct" w:w="12%"/>
          </w:tcPr>
          <w:p>
            <w:r>
              <w:rPr>
                <w:rFonts w:ascii="Calibri" w:cs="Calibri" w:eastAsia="Calibri" w:hAnsi="Calibri"/>
                <w:b w:val="false"/>
                <w:bCs w:val="false"/>
                <w:color w:val="1E293B"/>
                <w:sz w:val="20"/>
                <w:szCs w:val="20"/>
              </w:rPr>
              <w:t xml:space="preserve">FR-P-04</w:t>
            </w:r>
          </w:p>
        </w:tc>
        <w:tc>
          <w:tcPr>
            <w:tcW w:type="pct" w:w="70%"/>
          </w:tcPr>
          <w:p>
            <w:r>
              <w:rPr>
                <w:rFonts w:ascii="Calibri" w:cs="Calibri" w:eastAsia="Calibri" w:hAnsi="Calibri"/>
                <w:b w:val="false"/>
                <w:bCs w:val="false"/>
                <w:color w:val="1E293B"/>
                <w:sz w:val="20"/>
                <w:szCs w:val="20"/>
              </w:rPr>
              <w:t xml:space="preserve">Parent must never have password persisted.</w:t>
            </w:r>
          </w:p>
        </w:tc>
        <w:tc>
          <w:tcPr>
            <w:tcW w:type="pct" w:w="18%"/>
          </w:tcPr>
          <w:p>
            <w:r>
              <w:rPr>
                <w:rFonts w:ascii="Calibri" w:cs="Calibri" w:eastAsia="Calibri" w:hAnsi="Calibri"/>
                <w:b w:val="false"/>
                <w:bCs w:val="false"/>
                <w:color w:val="1E293B"/>
                <w:sz w:val="20"/>
                <w:szCs w:val="20"/>
              </w:rPr>
              <w:t xml:space="preserve">Must</w:t>
            </w:r>
          </w:p>
        </w:tc>
      </w:tr>
      <w:tr>
        <w:tc>
          <w:tcPr>
            <w:tcW w:type="pct" w:w="12%"/>
          </w:tcPr>
          <w:p>
            <w:r>
              <w:rPr>
                <w:rFonts w:ascii="Calibri" w:cs="Calibri" w:eastAsia="Calibri" w:hAnsi="Calibri"/>
                <w:b w:val="false"/>
                <w:bCs w:val="false"/>
                <w:color w:val="1E293B"/>
                <w:sz w:val="20"/>
                <w:szCs w:val="20"/>
              </w:rPr>
              <w:t xml:space="preserve">FR-P-05</w:t>
            </w:r>
          </w:p>
        </w:tc>
        <w:tc>
          <w:tcPr>
            <w:tcW w:type="pct" w:w="70%"/>
          </w:tcPr>
          <w:p>
            <w:r>
              <w:rPr>
                <w:rFonts w:ascii="Calibri" w:cs="Calibri" w:eastAsia="Calibri" w:hAnsi="Calibri"/>
                <w:b w:val="false"/>
                <w:bCs w:val="false"/>
                <w:color w:val="1E293B"/>
                <w:sz w:val="20"/>
                <w:szCs w:val="20"/>
              </w:rPr>
              <w:t xml:space="preserve">Parent must obtain a printable, QR-verifiable receipt.</w:t>
            </w:r>
          </w:p>
        </w:tc>
        <w:tc>
          <w:tcPr>
            <w:tcW w:type="pct" w:w="18%"/>
          </w:tcPr>
          <w:p>
            <w:r>
              <w:rPr>
                <w:rFonts w:ascii="Calibri" w:cs="Calibri" w:eastAsia="Calibri" w:hAnsi="Calibri"/>
                <w:b w:val="false"/>
                <w:bCs w:val="false"/>
                <w:color w:val="1E293B"/>
                <w:sz w:val="20"/>
                <w:szCs w:val="20"/>
              </w:rPr>
              <w:t xml:space="preserve">Must</w:t>
            </w:r>
          </w:p>
        </w:tc>
      </w:tr>
    </w:tbl>
    <w:p>
      <w:pPr>
        <w:spacing w:after="280"/>
        <w:jc w:val="center"/>
      </w:pPr>
      <w:r>
        <w:rPr>
          <w:rFonts w:ascii="Calibri" w:cs="Calibri" w:eastAsia="Calibri" w:hAnsi="Calibri"/>
          <w:i/>
          <w:iCs/>
          <w:color w:val="64748B"/>
          <w:sz w:val="18"/>
          <w:szCs w:val="18"/>
        </w:rPr>
        <w:t xml:space="preserve">Table 3.1 — Functional requirements per role.</w:t>
      </w:r>
    </w:p>
    <w:p>
      <w:pPr>
        <w:pStyle w:val="Heading2"/>
        <w:spacing w:after="200" w:before="360"/>
      </w:pPr>
      <w:r>
        <w:t xml:space="preserve">3.4  Non-Functional Requirements</w:t>
      </w:r>
    </w:p>
    <w:p>
      <w:pPr>
        <w:spacing w:after="160" w:line="300" w:lineRule="auto"/>
        <w:jc w:val="both"/>
      </w:pPr>
      <w:r>
        <w:rPr>
          <w:rFonts w:ascii="Calibri" w:cs="Calibri" w:eastAsia="Calibri" w:hAnsi="Calibri"/>
          <w:color w:val="1E293B"/>
          <w:sz w:val="22"/>
          <w:szCs w:val="22"/>
        </w:rPr>
        <w:t xml:space="preserve">The non-functional requirements define the quality attributes against which SIARM is to be evaluated.</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FF4FF" w:color="auto" w:val="clear"/>
          </w:tcPr>
          <w:p>
            <w:r>
              <w:rPr>
                <w:rFonts w:ascii="Calibri" w:cs="Calibri" w:eastAsia="Calibri" w:hAnsi="Calibri"/>
                <w:b/>
                <w:bCs/>
                <w:color w:val="1E3AA0"/>
                <w:sz w:val="20"/>
                <w:szCs w:val="20"/>
              </w:rPr>
              <w:t xml:space="preserve">Attribute</w:t>
            </w:r>
          </w:p>
        </w:tc>
        <w:tc>
          <w:tcPr>
            <w:tcW w:type="pct" w:w="78%"/>
            <w:shd w:fill="EFF4FF" w:color="auto" w:val="clear"/>
          </w:tcPr>
          <w:p>
            <w:r>
              <w:rPr>
                <w:rFonts w:ascii="Calibri" w:cs="Calibri" w:eastAsia="Calibri" w:hAnsi="Calibri"/>
                <w:b/>
                <w:bCs/>
                <w:color w:val="1E3AA0"/>
                <w:sz w:val="20"/>
                <w:szCs w:val="20"/>
              </w:rPr>
              <w:t xml:space="preserve">Requirement</w:t>
            </w:r>
          </w:p>
        </w:tc>
      </w:tr>
      <w:tr>
        <w:tc>
          <w:tcPr>
            <w:tcW w:type="pct" w:w="22%"/>
          </w:tcPr>
          <w:p>
            <w:r>
              <w:rPr>
                <w:rFonts w:ascii="Calibri" w:cs="Calibri" w:eastAsia="Calibri" w:hAnsi="Calibri"/>
                <w:b w:val="false"/>
                <w:bCs w:val="false"/>
                <w:color w:val="1E293B"/>
                <w:sz w:val="20"/>
                <w:szCs w:val="20"/>
              </w:rPr>
              <w:t xml:space="preserve">Usability</w:t>
            </w:r>
          </w:p>
        </w:tc>
        <w:tc>
          <w:tcPr>
            <w:tcW w:type="pct" w:w="78%"/>
          </w:tcPr>
          <w:p>
            <w:r>
              <w:rPr>
                <w:rFonts w:ascii="Calibri" w:cs="Calibri" w:eastAsia="Calibri" w:hAnsi="Calibri"/>
                <w:b w:val="false"/>
                <w:bCs w:val="false"/>
                <w:color w:val="1E293B"/>
                <w:sz w:val="20"/>
                <w:szCs w:val="20"/>
              </w:rPr>
              <w:t xml:space="preserve">Any common task achievable in ≤ 3 clicks from the role dashboard.</w:t>
            </w:r>
          </w:p>
        </w:tc>
      </w:tr>
      <w:tr>
        <w:tc>
          <w:tcPr>
            <w:tcW w:type="pct" w:w="22%"/>
          </w:tcPr>
          <w:p>
            <w:r>
              <w:rPr>
                <w:rFonts w:ascii="Calibri" w:cs="Calibri" w:eastAsia="Calibri" w:hAnsi="Calibri"/>
                <w:b w:val="false"/>
                <w:bCs w:val="false"/>
                <w:color w:val="1E293B"/>
                <w:sz w:val="20"/>
                <w:szCs w:val="20"/>
              </w:rPr>
              <w:t xml:space="preserve">Performance</w:t>
            </w:r>
          </w:p>
        </w:tc>
        <w:tc>
          <w:tcPr>
            <w:tcW w:type="pct" w:w="78%"/>
          </w:tcPr>
          <w:p>
            <w:r>
              <w:rPr>
                <w:rFonts w:ascii="Calibri" w:cs="Calibri" w:eastAsia="Calibri" w:hAnsi="Calibri"/>
                <w:b w:val="false"/>
                <w:bCs w:val="false"/>
                <w:color w:val="1E293B"/>
                <w:sz w:val="20"/>
                <w:szCs w:val="20"/>
              </w:rPr>
              <w:t xml:space="preserve">First page paint under 2.5 s on a 3G connection.</w:t>
            </w:r>
          </w:p>
        </w:tc>
      </w:tr>
      <w:tr>
        <w:tc>
          <w:tcPr>
            <w:tcW w:type="pct" w:w="22%"/>
          </w:tcPr>
          <w:p>
            <w:r>
              <w:rPr>
                <w:rFonts w:ascii="Calibri" w:cs="Calibri" w:eastAsia="Calibri" w:hAnsi="Calibri"/>
                <w:b w:val="false"/>
                <w:bCs w:val="false"/>
                <w:color w:val="1E293B"/>
                <w:sz w:val="20"/>
                <w:szCs w:val="20"/>
              </w:rPr>
              <w:t xml:space="preserve">Reliability</w:t>
            </w:r>
          </w:p>
        </w:tc>
        <w:tc>
          <w:tcPr>
            <w:tcW w:type="pct" w:w="78%"/>
          </w:tcPr>
          <w:p>
            <w:r>
              <w:rPr>
                <w:rFonts w:ascii="Calibri" w:cs="Calibri" w:eastAsia="Calibri" w:hAnsi="Calibri"/>
                <w:b w:val="false"/>
                <w:bCs w:val="false"/>
                <w:color w:val="1E293B"/>
                <w:sz w:val="20"/>
                <w:szCs w:val="20"/>
              </w:rPr>
              <w:t xml:space="preserve">Annual uptime ≥ 99.5 % when hosted on Vercel or Netlify.</w:t>
            </w:r>
          </w:p>
        </w:tc>
      </w:tr>
      <w:tr>
        <w:tc>
          <w:tcPr>
            <w:tcW w:type="pct" w:w="22%"/>
          </w:tcPr>
          <w:p>
            <w:r>
              <w:rPr>
                <w:rFonts w:ascii="Calibri" w:cs="Calibri" w:eastAsia="Calibri" w:hAnsi="Calibri"/>
                <w:b w:val="false"/>
                <w:bCs w:val="false"/>
                <w:color w:val="1E293B"/>
                <w:sz w:val="20"/>
                <w:szCs w:val="20"/>
              </w:rPr>
              <w:t xml:space="preserve">Scalability</w:t>
            </w:r>
          </w:p>
        </w:tc>
        <w:tc>
          <w:tcPr>
            <w:tcW w:type="pct" w:w="78%"/>
          </w:tcPr>
          <w:p>
            <w:r>
              <w:rPr>
                <w:rFonts w:ascii="Calibri" w:cs="Calibri" w:eastAsia="Calibri" w:hAnsi="Calibri"/>
                <w:b w:val="false"/>
                <w:bCs w:val="false"/>
                <w:color w:val="1E293B"/>
                <w:sz w:val="20"/>
                <w:szCs w:val="20"/>
              </w:rPr>
              <w:t xml:space="preserve">Architecture must handle 1 k → 100 k users without redesign.</w:t>
            </w:r>
          </w:p>
        </w:tc>
      </w:tr>
      <w:tr>
        <w:tc>
          <w:tcPr>
            <w:tcW w:type="pct" w:w="22%"/>
          </w:tcPr>
          <w:p>
            <w:r>
              <w:rPr>
                <w:rFonts w:ascii="Calibri" w:cs="Calibri" w:eastAsia="Calibri" w:hAnsi="Calibri"/>
                <w:b w:val="false"/>
                <w:bCs w:val="false"/>
                <w:color w:val="1E293B"/>
                <w:sz w:val="20"/>
                <w:szCs w:val="20"/>
              </w:rPr>
              <w:t xml:space="preserve">Security</w:t>
            </w:r>
          </w:p>
        </w:tc>
        <w:tc>
          <w:tcPr>
            <w:tcW w:type="pct" w:w="78%"/>
          </w:tcPr>
          <w:p>
            <w:r>
              <w:rPr>
                <w:rFonts w:ascii="Calibri" w:cs="Calibri" w:eastAsia="Calibri" w:hAnsi="Calibri"/>
                <w:b w:val="false"/>
                <w:bCs w:val="false"/>
                <w:color w:val="1E293B"/>
                <w:sz w:val="20"/>
                <w:szCs w:val="20"/>
              </w:rPr>
              <w:t xml:space="preserve">Authentication via Firebase Auth; no plain-text passwords; HTTPS everywhere; CSP headers.</w:t>
            </w:r>
          </w:p>
        </w:tc>
      </w:tr>
      <w:tr>
        <w:tc>
          <w:tcPr>
            <w:tcW w:type="pct" w:w="22%"/>
          </w:tcPr>
          <w:p>
            <w:r>
              <w:rPr>
                <w:rFonts w:ascii="Calibri" w:cs="Calibri" w:eastAsia="Calibri" w:hAnsi="Calibri"/>
                <w:b w:val="false"/>
                <w:bCs w:val="false"/>
                <w:color w:val="1E293B"/>
                <w:sz w:val="20"/>
                <w:szCs w:val="20"/>
              </w:rPr>
              <w:t xml:space="preserve">Privacy</w:t>
            </w:r>
          </w:p>
        </w:tc>
        <w:tc>
          <w:tcPr>
            <w:tcW w:type="pct" w:w="78%"/>
          </w:tcPr>
          <w:p>
            <w:r>
              <w:rPr>
                <w:rFonts w:ascii="Calibri" w:cs="Calibri" w:eastAsia="Calibri" w:hAnsi="Calibri"/>
                <w:b w:val="false"/>
                <w:bCs w:val="false"/>
                <w:color w:val="1E293B"/>
                <w:sz w:val="20"/>
                <w:szCs w:val="20"/>
              </w:rPr>
              <w:t xml:space="preserve">Parent PIN / password / card data never persisted in any storage layer.</w:t>
            </w:r>
          </w:p>
        </w:tc>
      </w:tr>
      <w:tr>
        <w:tc>
          <w:tcPr>
            <w:tcW w:type="pct" w:w="22%"/>
          </w:tcPr>
          <w:p>
            <w:r>
              <w:rPr>
                <w:rFonts w:ascii="Calibri" w:cs="Calibri" w:eastAsia="Calibri" w:hAnsi="Calibri"/>
                <w:b w:val="false"/>
                <w:bCs w:val="false"/>
                <w:color w:val="1E293B"/>
                <w:sz w:val="20"/>
                <w:szCs w:val="20"/>
              </w:rPr>
              <w:t xml:space="preserve">Offline</w:t>
            </w:r>
          </w:p>
        </w:tc>
        <w:tc>
          <w:tcPr>
            <w:tcW w:type="pct" w:w="78%"/>
          </w:tcPr>
          <w:p>
            <w:r>
              <w:rPr>
                <w:rFonts w:ascii="Calibri" w:cs="Calibri" w:eastAsia="Calibri" w:hAnsi="Calibri"/>
                <w:b w:val="false"/>
                <w:bCs w:val="false"/>
                <w:color w:val="1E293B"/>
                <w:sz w:val="20"/>
                <w:szCs w:val="20"/>
              </w:rPr>
              <w:t xml:space="preserve">Most-recently visited pages must render after the network drops.</w:t>
            </w:r>
          </w:p>
        </w:tc>
      </w:tr>
      <w:tr>
        <w:tc>
          <w:tcPr>
            <w:tcW w:type="pct" w:w="22%"/>
          </w:tcPr>
          <w:p>
            <w:r>
              <w:rPr>
                <w:rFonts w:ascii="Calibri" w:cs="Calibri" w:eastAsia="Calibri" w:hAnsi="Calibri"/>
                <w:b w:val="false"/>
                <w:bCs w:val="false"/>
                <w:color w:val="1E293B"/>
                <w:sz w:val="20"/>
                <w:szCs w:val="20"/>
              </w:rPr>
              <w:t xml:space="preserve">Localisation</w:t>
            </w:r>
          </w:p>
        </w:tc>
        <w:tc>
          <w:tcPr>
            <w:tcW w:type="pct" w:w="78%"/>
          </w:tcPr>
          <w:p>
            <w:r>
              <w:rPr>
                <w:rFonts w:ascii="Calibri" w:cs="Calibri" w:eastAsia="Calibri" w:hAnsi="Calibri"/>
                <w:b w:val="false"/>
                <w:bCs w:val="false"/>
                <w:color w:val="1E293B"/>
                <w:sz w:val="20"/>
                <w:szCs w:val="20"/>
              </w:rPr>
              <w:t xml:space="preserve">Interface in English; selected strings bilingual (English + French).</w:t>
            </w:r>
          </w:p>
        </w:tc>
      </w:tr>
      <w:tr>
        <w:tc>
          <w:tcPr>
            <w:tcW w:type="pct" w:w="22%"/>
          </w:tcPr>
          <w:p>
            <w:r>
              <w:rPr>
                <w:rFonts w:ascii="Calibri" w:cs="Calibri" w:eastAsia="Calibri" w:hAnsi="Calibri"/>
                <w:b w:val="false"/>
                <w:bCs w:val="false"/>
                <w:color w:val="1E293B"/>
                <w:sz w:val="20"/>
                <w:szCs w:val="20"/>
              </w:rPr>
              <w:t xml:space="preserve">Accessibility</w:t>
            </w:r>
          </w:p>
        </w:tc>
        <w:tc>
          <w:tcPr>
            <w:tcW w:type="pct" w:w="78%"/>
          </w:tcPr>
          <w:p>
            <w:r>
              <w:rPr>
                <w:rFonts w:ascii="Calibri" w:cs="Calibri" w:eastAsia="Calibri" w:hAnsi="Calibri"/>
                <w:b w:val="false"/>
                <w:bCs w:val="false"/>
                <w:color w:val="1E293B"/>
                <w:sz w:val="20"/>
                <w:szCs w:val="20"/>
              </w:rPr>
              <w:t xml:space="preserve">WCAG 2.1 AA — keyboard navigation; sufficient colour contrast.</w:t>
            </w:r>
          </w:p>
        </w:tc>
      </w:tr>
      <w:tr>
        <w:tc>
          <w:tcPr>
            <w:tcW w:type="pct" w:w="22%"/>
          </w:tcPr>
          <w:p>
            <w:r>
              <w:rPr>
                <w:rFonts w:ascii="Calibri" w:cs="Calibri" w:eastAsia="Calibri" w:hAnsi="Calibri"/>
                <w:b w:val="false"/>
                <w:bCs w:val="false"/>
                <w:color w:val="1E293B"/>
                <w:sz w:val="20"/>
                <w:szCs w:val="20"/>
              </w:rPr>
              <w:t xml:space="preserve">Auditability</w:t>
            </w:r>
          </w:p>
        </w:tc>
        <w:tc>
          <w:tcPr>
            <w:tcW w:type="pct" w:w="78%"/>
          </w:tcPr>
          <w:p>
            <w:r>
              <w:rPr>
                <w:rFonts w:ascii="Calibri" w:cs="Calibri" w:eastAsia="Calibri" w:hAnsi="Calibri"/>
                <w:b w:val="false"/>
                <w:bCs w:val="false"/>
                <w:color w:val="1E293B"/>
                <w:sz w:val="20"/>
                <w:szCs w:val="20"/>
              </w:rPr>
              <w:t xml:space="preserve">Every printable artefact carries a QR linking to a verification URL.</w:t>
            </w:r>
          </w:p>
        </w:tc>
      </w:tr>
    </w:tbl>
    <w:p>
      <w:pPr>
        <w:spacing w:after="280"/>
        <w:jc w:val="center"/>
      </w:pPr>
      <w:r>
        <w:rPr>
          <w:rFonts w:ascii="Calibri" w:cs="Calibri" w:eastAsia="Calibri" w:hAnsi="Calibri"/>
          <w:i/>
          <w:iCs/>
          <w:color w:val="64748B"/>
          <w:sz w:val="18"/>
          <w:szCs w:val="18"/>
        </w:rPr>
        <w:t xml:space="preserve">Table 3.2 — Non-functional requirements.</w:t>
      </w:r>
    </w:p>
    <w:p>
      <w:pPr>
        <w:pStyle w:val="Heading2"/>
        <w:spacing w:after="200" w:before="360"/>
      </w:pPr>
      <w:r>
        <w:t xml:space="preserve">3.5  Use Cases</w:t>
      </w:r>
    </w:p>
    <w:p>
      <w:pPr>
        <w:spacing w:after="160" w:line="300" w:lineRule="auto"/>
        <w:jc w:val="both"/>
      </w:pPr>
      <w:r>
        <w:rPr>
          <w:rFonts w:ascii="Calibri" w:cs="Calibri" w:eastAsia="Calibri" w:hAnsi="Calibri"/>
          <w:color w:val="1E293B"/>
          <w:sz w:val="22"/>
          <w:szCs w:val="22"/>
        </w:rPr>
        <w:t xml:space="preserve">Use cases were defined for each role to clarify how the system should behave. Twelve representative use cases are listed below; the full set is captured in the use-case diagram (Figure 4.3).</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0%"/>
            <w:shd w:fill="EFF4FF" w:color="auto" w:val="clear"/>
          </w:tcPr>
          <w:p>
            <w:r>
              <w:rPr>
                <w:rFonts w:ascii="Calibri" w:cs="Calibri" w:eastAsia="Calibri" w:hAnsi="Calibri"/>
                <w:b/>
                <w:bCs/>
                <w:color w:val="1E3AA0"/>
                <w:sz w:val="20"/>
                <w:szCs w:val="20"/>
              </w:rPr>
              <w:t xml:space="preserve">UC ID</w:t>
            </w:r>
          </w:p>
        </w:tc>
        <w:tc>
          <w:tcPr>
            <w:tcW w:type="pct" w:w="60%"/>
            <w:shd w:fill="EFF4FF" w:color="auto" w:val="clear"/>
          </w:tcPr>
          <w:p>
            <w:r>
              <w:rPr>
                <w:rFonts w:ascii="Calibri" w:cs="Calibri" w:eastAsia="Calibri" w:hAnsi="Calibri"/>
                <w:b/>
                <w:bCs/>
                <w:color w:val="1E3AA0"/>
                <w:sz w:val="20"/>
                <w:szCs w:val="20"/>
              </w:rPr>
              <w:t xml:space="preserve">Use case</w:t>
            </w:r>
          </w:p>
        </w:tc>
        <w:tc>
          <w:tcPr>
            <w:tcW w:type="pct" w:w="30%"/>
            <w:shd w:fill="EFF4FF" w:color="auto" w:val="clear"/>
          </w:tcPr>
          <w:p>
            <w:r>
              <w:rPr>
                <w:rFonts w:ascii="Calibri" w:cs="Calibri" w:eastAsia="Calibri" w:hAnsi="Calibri"/>
                <w:b/>
                <w:bCs/>
                <w:color w:val="1E3AA0"/>
                <w:sz w:val="20"/>
                <w:szCs w:val="20"/>
              </w:rPr>
              <w:t xml:space="preserve">Primary actor</w:t>
            </w:r>
          </w:p>
        </w:tc>
      </w:tr>
      <w:tr>
        <w:tc>
          <w:tcPr>
            <w:tcW w:type="pct" w:w="10%"/>
          </w:tcPr>
          <w:p>
            <w:r>
              <w:rPr>
                <w:rFonts w:ascii="Calibri" w:cs="Calibri" w:eastAsia="Calibri" w:hAnsi="Calibri"/>
                <w:b w:val="false"/>
                <w:bCs w:val="false"/>
                <w:color w:val="1E293B"/>
                <w:sz w:val="20"/>
                <w:szCs w:val="20"/>
              </w:rPr>
              <w:t xml:space="preserve">UC-01</w:t>
            </w:r>
          </w:p>
        </w:tc>
        <w:tc>
          <w:tcPr>
            <w:tcW w:type="pct" w:w="60%"/>
          </w:tcPr>
          <w:p>
            <w:r>
              <w:rPr>
                <w:rFonts w:ascii="Calibri" w:cs="Calibri" w:eastAsia="Calibri" w:hAnsi="Calibri"/>
                <w:b w:val="false"/>
                <w:bCs w:val="false"/>
                <w:color w:val="1E293B"/>
                <w:sz w:val="20"/>
                <w:szCs w:val="20"/>
              </w:rPr>
              <w:t xml:space="preserve">Sign in to the platform</w:t>
            </w:r>
          </w:p>
        </w:tc>
        <w:tc>
          <w:tcPr>
            <w:tcW w:type="pct" w:w="30%"/>
          </w:tcPr>
          <w:p>
            <w:r>
              <w:rPr>
                <w:rFonts w:ascii="Calibri" w:cs="Calibri" w:eastAsia="Calibri" w:hAnsi="Calibri"/>
                <w:b w:val="false"/>
                <w:bCs w:val="false"/>
                <w:color w:val="1E293B"/>
                <w:sz w:val="20"/>
                <w:szCs w:val="20"/>
              </w:rPr>
              <w:t xml:space="preserve">Any role</w:t>
            </w:r>
          </w:p>
        </w:tc>
      </w:tr>
      <w:tr>
        <w:tc>
          <w:tcPr>
            <w:tcW w:type="pct" w:w="10%"/>
          </w:tcPr>
          <w:p>
            <w:r>
              <w:rPr>
                <w:rFonts w:ascii="Calibri" w:cs="Calibri" w:eastAsia="Calibri" w:hAnsi="Calibri"/>
                <w:b w:val="false"/>
                <w:bCs w:val="false"/>
                <w:color w:val="1E293B"/>
                <w:sz w:val="20"/>
                <w:szCs w:val="20"/>
              </w:rPr>
              <w:t xml:space="preserve">UC-02</w:t>
            </w:r>
          </w:p>
        </w:tc>
        <w:tc>
          <w:tcPr>
            <w:tcW w:type="pct" w:w="60%"/>
          </w:tcPr>
          <w:p>
            <w:r>
              <w:rPr>
                <w:rFonts w:ascii="Calibri" w:cs="Calibri" w:eastAsia="Calibri" w:hAnsi="Calibri"/>
                <w:b w:val="false"/>
                <w:bCs w:val="false"/>
                <w:color w:val="1E293B"/>
                <w:sz w:val="20"/>
                <w:szCs w:val="20"/>
              </w:rPr>
              <w:t xml:space="preserve">View personal dashboard</w:t>
            </w:r>
          </w:p>
        </w:tc>
        <w:tc>
          <w:tcPr>
            <w:tcW w:type="pct" w:w="30%"/>
          </w:tcPr>
          <w:p>
            <w:r>
              <w:rPr>
                <w:rFonts w:ascii="Calibri" w:cs="Calibri" w:eastAsia="Calibri" w:hAnsi="Calibri"/>
                <w:b w:val="false"/>
                <w:bCs w:val="false"/>
                <w:color w:val="1E293B"/>
                <w:sz w:val="20"/>
                <w:szCs w:val="20"/>
              </w:rPr>
              <w:t xml:space="preserve">Student / Lecturer</w:t>
            </w:r>
          </w:p>
        </w:tc>
      </w:tr>
      <w:tr>
        <w:tc>
          <w:tcPr>
            <w:tcW w:type="pct" w:w="10%"/>
          </w:tcPr>
          <w:p>
            <w:r>
              <w:rPr>
                <w:rFonts w:ascii="Calibri" w:cs="Calibri" w:eastAsia="Calibri" w:hAnsi="Calibri"/>
                <w:b w:val="false"/>
                <w:bCs w:val="false"/>
                <w:color w:val="1E293B"/>
                <w:sz w:val="20"/>
                <w:szCs w:val="20"/>
              </w:rPr>
              <w:t xml:space="preserve">UC-03</w:t>
            </w:r>
          </w:p>
        </w:tc>
        <w:tc>
          <w:tcPr>
            <w:tcW w:type="pct" w:w="60%"/>
          </w:tcPr>
          <w:p>
            <w:r>
              <w:rPr>
                <w:rFonts w:ascii="Calibri" w:cs="Calibri" w:eastAsia="Calibri" w:hAnsi="Calibri"/>
                <w:b w:val="false"/>
                <w:bCs w:val="false"/>
                <w:color w:val="1E293B"/>
                <w:sz w:val="20"/>
                <w:szCs w:val="20"/>
              </w:rPr>
              <w:t xml:space="preserve">Mark attendance for a class</w:t>
            </w:r>
          </w:p>
        </w:tc>
        <w:tc>
          <w:tcPr>
            <w:tcW w:type="pct" w:w="30%"/>
          </w:tcPr>
          <w:p>
            <w:r>
              <w:rPr>
                <w:rFonts w:ascii="Calibri" w:cs="Calibri" w:eastAsia="Calibri" w:hAnsi="Calibri"/>
                <w:b w:val="false"/>
                <w:bCs w:val="false"/>
                <w:color w:val="1E293B"/>
                <w:sz w:val="20"/>
                <w:szCs w:val="20"/>
              </w:rPr>
              <w:t xml:space="preserve">Lecturer</w:t>
            </w:r>
          </w:p>
        </w:tc>
      </w:tr>
      <w:tr>
        <w:tc>
          <w:tcPr>
            <w:tcW w:type="pct" w:w="10%"/>
          </w:tcPr>
          <w:p>
            <w:r>
              <w:rPr>
                <w:rFonts w:ascii="Calibri" w:cs="Calibri" w:eastAsia="Calibri" w:hAnsi="Calibri"/>
                <w:b w:val="false"/>
                <w:bCs w:val="false"/>
                <w:color w:val="1E293B"/>
                <w:sz w:val="20"/>
                <w:szCs w:val="20"/>
              </w:rPr>
              <w:t xml:space="preserve">UC-04</w:t>
            </w:r>
          </w:p>
        </w:tc>
        <w:tc>
          <w:tcPr>
            <w:tcW w:type="pct" w:w="60%"/>
          </w:tcPr>
          <w:p>
            <w:r>
              <w:rPr>
                <w:rFonts w:ascii="Calibri" w:cs="Calibri" w:eastAsia="Calibri" w:hAnsi="Calibri"/>
                <w:b w:val="false"/>
                <w:bCs w:val="false"/>
                <w:color w:val="1E293B"/>
                <w:sz w:val="20"/>
                <w:szCs w:val="20"/>
              </w:rPr>
              <w:t xml:space="preserve">Enter and submit grades</w:t>
            </w:r>
          </w:p>
        </w:tc>
        <w:tc>
          <w:tcPr>
            <w:tcW w:type="pct" w:w="30%"/>
          </w:tcPr>
          <w:p>
            <w:r>
              <w:rPr>
                <w:rFonts w:ascii="Calibri" w:cs="Calibri" w:eastAsia="Calibri" w:hAnsi="Calibri"/>
                <w:b w:val="false"/>
                <w:bCs w:val="false"/>
                <w:color w:val="1E293B"/>
                <w:sz w:val="20"/>
                <w:szCs w:val="20"/>
              </w:rPr>
              <w:t xml:space="preserve">Lecturer</w:t>
            </w:r>
          </w:p>
        </w:tc>
      </w:tr>
      <w:tr>
        <w:tc>
          <w:tcPr>
            <w:tcW w:type="pct" w:w="10%"/>
          </w:tcPr>
          <w:p>
            <w:r>
              <w:rPr>
                <w:rFonts w:ascii="Calibri" w:cs="Calibri" w:eastAsia="Calibri" w:hAnsi="Calibri"/>
                <w:b w:val="false"/>
                <w:bCs w:val="false"/>
                <w:color w:val="1E293B"/>
                <w:sz w:val="20"/>
                <w:szCs w:val="20"/>
              </w:rPr>
              <w:t xml:space="preserve">UC-05</w:t>
            </w:r>
          </w:p>
        </w:tc>
        <w:tc>
          <w:tcPr>
            <w:tcW w:type="pct" w:w="60%"/>
          </w:tcPr>
          <w:p>
            <w:r>
              <w:rPr>
                <w:rFonts w:ascii="Calibri" w:cs="Calibri" w:eastAsia="Calibri" w:hAnsi="Calibri"/>
                <w:b w:val="false"/>
                <w:bCs w:val="false"/>
                <w:color w:val="1E293B"/>
                <w:sz w:val="20"/>
                <w:szCs w:val="20"/>
              </w:rPr>
              <w:t xml:space="preserve">Generate and print ID card</w:t>
            </w:r>
          </w:p>
        </w:tc>
        <w:tc>
          <w:tcPr>
            <w:tcW w:type="pct" w:w="30%"/>
          </w:tcPr>
          <w:p>
            <w:r>
              <w:rPr>
                <w:rFonts w:ascii="Calibri" w:cs="Calibri" w:eastAsia="Calibri" w:hAnsi="Calibri"/>
                <w:b w:val="false"/>
                <w:bCs w:val="false"/>
                <w:color w:val="1E293B"/>
                <w:sz w:val="20"/>
                <w:szCs w:val="20"/>
              </w:rPr>
              <w:t xml:space="preserve">Student</w:t>
            </w:r>
          </w:p>
        </w:tc>
      </w:tr>
      <w:tr>
        <w:tc>
          <w:tcPr>
            <w:tcW w:type="pct" w:w="10%"/>
          </w:tcPr>
          <w:p>
            <w:r>
              <w:rPr>
                <w:rFonts w:ascii="Calibri" w:cs="Calibri" w:eastAsia="Calibri" w:hAnsi="Calibri"/>
                <w:b w:val="false"/>
                <w:bCs w:val="false"/>
                <w:color w:val="1E293B"/>
                <w:sz w:val="20"/>
                <w:szCs w:val="20"/>
              </w:rPr>
              <w:t xml:space="preserve">UC-06</w:t>
            </w:r>
          </w:p>
        </w:tc>
        <w:tc>
          <w:tcPr>
            <w:tcW w:type="pct" w:w="60%"/>
          </w:tcPr>
          <w:p>
            <w:r>
              <w:rPr>
                <w:rFonts w:ascii="Calibri" w:cs="Calibri" w:eastAsia="Calibri" w:hAnsi="Calibri"/>
                <w:b w:val="false"/>
                <w:bCs w:val="false"/>
                <w:color w:val="1E293B"/>
                <w:sz w:val="20"/>
                <w:szCs w:val="20"/>
              </w:rPr>
              <w:t xml:space="preserve">Pay outstanding tuition</w:t>
            </w:r>
          </w:p>
        </w:tc>
        <w:tc>
          <w:tcPr>
            <w:tcW w:type="pct" w:w="30%"/>
          </w:tcPr>
          <w:p>
            <w:r>
              <w:rPr>
                <w:rFonts w:ascii="Calibri" w:cs="Calibri" w:eastAsia="Calibri" w:hAnsi="Calibri"/>
                <w:b w:val="false"/>
                <w:bCs w:val="false"/>
                <w:color w:val="1E293B"/>
                <w:sz w:val="20"/>
                <w:szCs w:val="20"/>
              </w:rPr>
              <w:t xml:space="preserve">Student</w:t>
            </w:r>
          </w:p>
        </w:tc>
      </w:tr>
      <w:tr>
        <w:tc>
          <w:tcPr>
            <w:tcW w:type="pct" w:w="10%"/>
          </w:tcPr>
          <w:p>
            <w:r>
              <w:rPr>
                <w:rFonts w:ascii="Calibri" w:cs="Calibri" w:eastAsia="Calibri" w:hAnsi="Calibri"/>
                <w:b w:val="false"/>
                <w:bCs w:val="false"/>
                <w:color w:val="1E293B"/>
                <w:sz w:val="20"/>
                <w:szCs w:val="20"/>
              </w:rPr>
              <w:t xml:space="preserve">UC-07</w:t>
            </w:r>
          </w:p>
        </w:tc>
        <w:tc>
          <w:tcPr>
            <w:tcW w:type="pct" w:w="60%"/>
          </w:tcPr>
          <w:p>
            <w:r>
              <w:rPr>
                <w:rFonts w:ascii="Calibri" w:cs="Calibri" w:eastAsia="Calibri" w:hAnsi="Calibri"/>
                <w:b w:val="false"/>
                <w:bCs w:val="false"/>
                <w:color w:val="1E293B"/>
                <w:sz w:val="20"/>
                <w:szCs w:val="20"/>
              </w:rPr>
              <w:t xml:space="preserve">Download transcript</w:t>
            </w:r>
          </w:p>
        </w:tc>
        <w:tc>
          <w:tcPr>
            <w:tcW w:type="pct" w:w="30%"/>
          </w:tcPr>
          <w:p>
            <w:r>
              <w:rPr>
                <w:rFonts w:ascii="Calibri" w:cs="Calibri" w:eastAsia="Calibri" w:hAnsi="Calibri"/>
                <w:b w:val="false"/>
                <w:bCs w:val="false"/>
                <w:color w:val="1E293B"/>
                <w:sz w:val="20"/>
                <w:szCs w:val="20"/>
              </w:rPr>
              <w:t xml:space="preserve">Student</w:t>
            </w:r>
          </w:p>
        </w:tc>
      </w:tr>
      <w:tr>
        <w:tc>
          <w:tcPr>
            <w:tcW w:type="pct" w:w="10%"/>
          </w:tcPr>
          <w:p>
            <w:r>
              <w:rPr>
                <w:rFonts w:ascii="Calibri" w:cs="Calibri" w:eastAsia="Calibri" w:hAnsi="Calibri"/>
                <w:b w:val="false"/>
                <w:bCs w:val="false"/>
                <w:color w:val="1E293B"/>
                <w:sz w:val="20"/>
                <w:szCs w:val="20"/>
              </w:rPr>
              <w:t xml:space="preserve">UC-08</w:t>
            </w:r>
          </w:p>
        </w:tc>
        <w:tc>
          <w:tcPr>
            <w:tcW w:type="pct" w:w="60%"/>
          </w:tcPr>
          <w:p>
            <w:r>
              <w:rPr>
                <w:rFonts w:ascii="Calibri" w:cs="Calibri" w:eastAsia="Calibri" w:hAnsi="Calibri"/>
                <w:b w:val="false"/>
                <w:bCs w:val="false"/>
                <w:color w:val="1E293B"/>
                <w:sz w:val="20"/>
                <w:szCs w:val="20"/>
              </w:rPr>
              <w:t xml:space="preserve">Register a new student (single)</w:t>
            </w:r>
          </w:p>
        </w:tc>
        <w:tc>
          <w:tcPr>
            <w:tcW w:type="pct" w:w="30%"/>
          </w:tcPr>
          <w:p>
            <w:r>
              <w:rPr>
                <w:rFonts w:ascii="Calibri" w:cs="Calibri" w:eastAsia="Calibri" w:hAnsi="Calibri"/>
                <w:b w:val="false"/>
                <w:bCs w:val="false"/>
                <w:color w:val="1E293B"/>
                <w:sz w:val="20"/>
                <w:szCs w:val="20"/>
              </w:rPr>
              <w:t xml:space="preserve">Staff</w:t>
            </w:r>
          </w:p>
        </w:tc>
      </w:tr>
      <w:tr>
        <w:tc>
          <w:tcPr>
            <w:tcW w:type="pct" w:w="10%"/>
          </w:tcPr>
          <w:p>
            <w:r>
              <w:rPr>
                <w:rFonts w:ascii="Calibri" w:cs="Calibri" w:eastAsia="Calibri" w:hAnsi="Calibri"/>
                <w:b w:val="false"/>
                <w:bCs w:val="false"/>
                <w:color w:val="1E293B"/>
                <w:sz w:val="20"/>
                <w:szCs w:val="20"/>
              </w:rPr>
              <w:t xml:space="preserve">UC-09</w:t>
            </w:r>
          </w:p>
        </w:tc>
        <w:tc>
          <w:tcPr>
            <w:tcW w:type="pct" w:w="60%"/>
          </w:tcPr>
          <w:p>
            <w:r>
              <w:rPr>
                <w:rFonts w:ascii="Calibri" w:cs="Calibri" w:eastAsia="Calibri" w:hAnsi="Calibri"/>
                <w:b w:val="false"/>
                <w:bCs w:val="false"/>
                <w:color w:val="1E293B"/>
                <w:sz w:val="20"/>
                <w:szCs w:val="20"/>
              </w:rPr>
              <w:t xml:space="preserve">Register many students (CSV)</w:t>
            </w:r>
          </w:p>
        </w:tc>
        <w:tc>
          <w:tcPr>
            <w:tcW w:type="pct" w:w="30%"/>
          </w:tcPr>
          <w:p>
            <w:r>
              <w:rPr>
                <w:rFonts w:ascii="Calibri" w:cs="Calibri" w:eastAsia="Calibri" w:hAnsi="Calibri"/>
                <w:b w:val="false"/>
                <w:bCs w:val="false"/>
                <w:color w:val="1E293B"/>
                <w:sz w:val="20"/>
                <w:szCs w:val="20"/>
              </w:rPr>
              <w:t xml:space="preserve">Staff</w:t>
            </w:r>
          </w:p>
        </w:tc>
      </w:tr>
      <w:tr>
        <w:tc>
          <w:tcPr>
            <w:tcW w:type="pct" w:w="10%"/>
          </w:tcPr>
          <w:p>
            <w:r>
              <w:rPr>
                <w:rFonts w:ascii="Calibri" w:cs="Calibri" w:eastAsia="Calibri" w:hAnsi="Calibri"/>
                <w:b w:val="false"/>
                <w:bCs w:val="false"/>
                <w:color w:val="1E293B"/>
                <w:sz w:val="20"/>
                <w:szCs w:val="20"/>
              </w:rPr>
              <w:t xml:space="preserve">UC-10</w:t>
            </w:r>
          </w:p>
        </w:tc>
        <w:tc>
          <w:tcPr>
            <w:tcW w:type="pct" w:w="60%"/>
          </w:tcPr>
          <w:p>
            <w:r>
              <w:rPr>
                <w:rFonts w:ascii="Calibri" w:cs="Calibri" w:eastAsia="Calibri" w:hAnsi="Calibri"/>
                <w:b w:val="false"/>
                <w:bCs w:val="false"/>
                <w:color w:val="1E293B"/>
                <w:sz w:val="20"/>
                <w:szCs w:val="20"/>
              </w:rPr>
              <w:t xml:space="preserve">Track tuition transactions</w:t>
            </w:r>
          </w:p>
        </w:tc>
        <w:tc>
          <w:tcPr>
            <w:tcW w:type="pct" w:w="30%"/>
          </w:tcPr>
          <w:p>
            <w:r>
              <w:rPr>
                <w:rFonts w:ascii="Calibri" w:cs="Calibri" w:eastAsia="Calibri" w:hAnsi="Calibri"/>
                <w:b w:val="false"/>
                <w:bCs w:val="false"/>
                <w:color w:val="1E293B"/>
                <w:sz w:val="20"/>
                <w:szCs w:val="20"/>
              </w:rPr>
              <w:t xml:space="preserve">Staff / Admin</w:t>
            </w:r>
          </w:p>
        </w:tc>
      </w:tr>
      <w:tr>
        <w:tc>
          <w:tcPr>
            <w:tcW w:type="pct" w:w="10%"/>
          </w:tcPr>
          <w:p>
            <w:r>
              <w:rPr>
                <w:rFonts w:ascii="Calibri" w:cs="Calibri" w:eastAsia="Calibri" w:hAnsi="Calibri"/>
                <w:b w:val="false"/>
                <w:bCs w:val="false"/>
                <w:color w:val="1E293B"/>
                <w:sz w:val="20"/>
                <w:szCs w:val="20"/>
              </w:rPr>
              <w:t xml:space="preserve">UC-11</w:t>
            </w:r>
          </w:p>
        </w:tc>
        <w:tc>
          <w:tcPr>
            <w:tcW w:type="pct" w:w="60%"/>
          </w:tcPr>
          <w:p>
            <w:r>
              <w:rPr>
                <w:rFonts w:ascii="Calibri" w:cs="Calibri" w:eastAsia="Calibri" w:hAnsi="Calibri"/>
                <w:b w:val="false"/>
                <w:bCs w:val="false"/>
                <w:color w:val="1E293B"/>
                <w:sz w:val="20"/>
                <w:szCs w:val="20"/>
              </w:rPr>
              <w:t xml:space="preserve">Publish announcement</w:t>
            </w:r>
          </w:p>
        </w:tc>
        <w:tc>
          <w:tcPr>
            <w:tcW w:type="pct" w:w="30%"/>
          </w:tcPr>
          <w:p>
            <w:r>
              <w:rPr>
                <w:rFonts w:ascii="Calibri" w:cs="Calibri" w:eastAsia="Calibri" w:hAnsi="Calibri"/>
                <w:b w:val="false"/>
                <w:bCs w:val="false"/>
                <w:color w:val="1E293B"/>
                <w:sz w:val="20"/>
                <w:szCs w:val="20"/>
              </w:rPr>
              <w:t xml:space="preserve">Staff</w:t>
            </w:r>
          </w:p>
        </w:tc>
      </w:tr>
      <w:tr>
        <w:tc>
          <w:tcPr>
            <w:tcW w:type="pct" w:w="10%"/>
          </w:tcPr>
          <w:p>
            <w:r>
              <w:rPr>
                <w:rFonts w:ascii="Calibri" w:cs="Calibri" w:eastAsia="Calibri" w:hAnsi="Calibri"/>
                <w:b w:val="false"/>
                <w:bCs w:val="false"/>
                <w:color w:val="1E293B"/>
                <w:sz w:val="20"/>
                <w:szCs w:val="20"/>
              </w:rPr>
              <w:t xml:space="preserve">UC-12</w:t>
            </w:r>
          </w:p>
        </w:tc>
        <w:tc>
          <w:tcPr>
            <w:tcW w:type="pct" w:w="60%"/>
          </w:tcPr>
          <w:p>
            <w:r>
              <w:rPr>
                <w:rFonts w:ascii="Calibri" w:cs="Calibri" w:eastAsia="Calibri" w:hAnsi="Calibri"/>
                <w:b w:val="false"/>
                <w:bCs w:val="false"/>
                <w:color w:val="1E293B"/>
                <w:sz w:val="20"/>
                <w:szCs w:val="20"/>
              </w:rPr>
              <w:t xml:space="preserve">Parent registers child + pays</w:t>
            </w:r>
          </w:p>
        </w:tc>
        <w:tc>
          <w:tcPr>
            <w:tcW w:type="pct" w:w="30%"/>
          </w:tcPr>
          <w:p>
            <w:r>
              <w:rPr>
                <w:rFonts w:ascii="Calibri" w:cs="Calibri" w:eastAsia="Calibri" w:hAnsi="Calibri"/>
                <w:b w:val="false"/>
                <w:bCs w:val="false"/>
                <w:color w:val="1E293B"/>
                <w:sz w:val="20"/>
                <w:szCs w:val="20"/>
              </w:rPr>
              <w:t xml:space="preserve">Parent</w:t>
            </w:r>
          </w:p>
        </w:tc>
      </w:tr>
    </w:tbl>
    <w:p>
      <w:pPr>
        <w:spacing w:after="280"/>
        <w:jc w:val="center"/>
      </w:pPr>
      <w:r>
        <w:rPr>
          <w:rFonts w:ascii="Calibri" w:cs="Calibri" w:eastAsia="Calibri" w:hAnsi="Calibri"/>
          <w:i/>
          <w:iCs/>
          <w:color w:val="64748B"/>
          <w:sz w:val="18"/>
          <w:szCs w:val="18"/>
        </w:rPr>
        <w:t xml:space="preserve">Table 3.3 — Representative use cases.</w:t>
      </w:r>
    </w:p>
    <w:p>
      <w:pPr>
        <w:pStyle w:val="Heading2"/>
        <w:spacing w:after="200" w:before="360"/>
      </w:pPr>
      <w:r>
        <w:t xml:space="preserve">3.6  Constraints</w:t>
      </w:r>
    </w:p>
    <w:p>
      <w:pPr>
        <w:spacing w:after="160" w:line="300" w:lineRule="auto"/>
        <w:jc w:val="both"/>
      </w:pPr>
      <w:r>
        <w:rPr>
          <w:rFonts w:ascii="Calibri" w:cs="Calibri" w:eastAsia="Calibri" w:hAnsi="Calibri"/>
          <w:color w:val="1E293B"/>
          <w:sz w:val="22"/>
          <w:szCs w:val="22"/>
        </w:rPr>
        <w:t xml:space="preserve">Three constraints shaped the design space:</w:t>
      </w:r>
    </w:p>
    <w:p>
      <w:pPr>
        <w:pStyle w:val="ListParagraph"/>
        <w:numPr>
          <w:ilvl w:val="0"/>
          <w:numId w:val="1"/>
        </w:numPr>
        <w:spacing w:after="80"/>
      </w:pPr>
      <w:r>
        <w:rPr>
          <w:rFonts w:ascii="Calibri" w:cs="Calibri" w:eastAsia="Calibri" w:hAnsi="Calibri"/>
          <w:sz w:val="22"/>
          <w:szCs w:val="22"/>
        </w:rPr>
        <w:t xml:space="preserve">Temporal — a single semester of part-time work imposed an aggressive deadline; the scope was constrained by the MoSCoW exercise.</w:t>
      </w:r>
    </w:p>
    <w:p>
      <w:pPr>
        <w:pStyle w:val="ListParagraph"/>
        <w:numPr>
          <w:ilvl w:val="0"/>
          <w:numId w:val="1"/>
        </w:numPr>
        <w:spacing w:after="80"/>
      </w:pPr>
      <w:r>
        <w:rPr>
          <w:rFonts w:ascii="Calibri" w:cs="Calibri" w:eastAsia="Calibri" w:hAnsi="Calibri"/>
          <w:sz w:val="22"/>
          <w:szCs w:val="22"/>
        </w:rPr>
        <w:t xml:space="preserve">Economic — no commercial licences could be acquired; the entire stack relies on free or open-source tooling.</w:t>
      </w:r>
    </w:p>
    <w:p>
      <w:pPr>
        <w:pStyle w:val="ListParagraph"/>
        <w:numPr>
          <w:ilvl w:val="0"/>
          <w:numId w:val="1"/>
        </w:numPr>
        <w:spacing w:after="80"/>
      </w:pPr>
      <w:r>
        <w:rPr>
          <w:rFonts w:ascii="Calibri" w:cs="Calibri" w:eastAsia="Calibri" w:hAnsi="Calibri"/>
          <w:sz w:val="22"/>
          <w:szCs w:val="22"/>
        </w:rPr>
        <w:t xml:space="preserve">Local — the platform had to assume intermittent connectivity, mobile-first usage and bilingual touches.</w:t>
      </w:r>
    </w:p>
    <w:p>
      <w:pPr>
        <w:pStyle w:val="Heading1"/>
        <w:pageBreakBefore/>
        <w:spacing w:after="240" w:before="480"/>
      </w:pPr>
      <w:r>
        <w:t xml:space="preserve">Chapter 4 — System Design</w:t>
      </w:r>
    </w:p>
    <w:p>
      <w:pPr>
        <w:pStyle w:val="Heading2"/>
        <w:spacing w:after="200" w:before="360"/>
      </w:pPr>
      <w:r>
        <w:t xml:space="preserve">4.1  Architectural Overview</w:t>
      </w:r>
    </w:p>
    <w:p>
      <w:pPr>
        <w:spacing w:after="160" w:line="300" w:lineRule="auto"/>
        <w:jc w:val="both"/>
      </w:pPr>
      <w:r>
        <w:rPr>
          <w:rFonts w:ascii="Calibri" w:cs="Calibri" w:eastAsia="Calibri" w:hAnsi="Calibri"/>
          <w:color w:val="1E293B"/>
          <w:sz w:val="22"/>
          <w:szCs w:val="22"/>
        </w:rPr>
        <w:t xml:space="preserve">SIARM follows a classical three-tier separation: a presentation tier in the browser, an authentication and persistence tier provided by Firebase, and an external services tier for mobile-money payment, email notification, and (in production) certificate-of-completion verification. Figure 4.1 illustrates this layout.</w:t>
      </w:r>
    </w:p>
    <w:p>
      <w:pPr>
        <w:spacing w:after="1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4.1 — High-level system architecture.</w:t>
      </w:r>
    </w:p>
    <w:p>
      <w:pPr>
        <w:spacing w:after="160" w:line="300" w:lineRule="auto"/>
        <w:jc w:val="both"/>
      </w:pPr>
      <w:r>
        <w:rPr>
          <w:rFonts w:ascii="Calibri" w:cs="Calibri" w:eastAsia="Calibri" w:hAnsi="Calibri"/>
          <w:color w:val="1E293B"/>
          <w:sz w:val="22"/>
          <w:szCs w:val="22"/>
        </w:rPr>
        <w:t xml:space="preserve">The presentation tier is a React single-page application packaged as a Progressive Web App. The persistence tier is Firebase Authentication and Cloud Firestore. The external tier exposes mocked-in-demonstration interfaces to the mobile-money providers and the bank-transfer reference, all of which would be wired to real provider APIs in production.</w:t>
      </w:r>
    </w:p>
    <w:p>
      <w:pPr>
        <w:pStyle w:val="Heading2"/>
        <w:spacing w:after="200" w:before="360"/>
      </w:pPr>
      <w:r>
        <w:t xml:space="preserve">4.2  Data Model</w:t>
      </w:r>
    </w:p>
    <w:p>
      <w:pPr>
        <w:spacing w:after="160" w:line="300" w:lineRule="auto"/>
        <w:jc w:val="both"/>
      </w:pPr>
      <w:r>
        <w:rPr>
          <w:rFonts w:ascii="Calibri" w:cs="Calibri" w:eastAsia="Calibri" w:hAnsi="Calibri"/>
          <w:color w:val="1E293B"/>
          <w:sz w:val="22"/>
          <w:szCs w:val="22"/>
        </w:rPr>
        <w:t xml:space="preserve">The data model uses six core collections plus several supporting ones. Figure 4.2 presents the Entity-Relationship Diagram.</w:t>
      </w:r>
    </w:p>
    <w:p>
      <w:pPr>
        <w:spacing w:after="1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4.2 — Entity-Relationship Diagram (core collections).</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8%"/>
            <w:shd w:fill="EFF4FF" w:color="auto" w:val="clear"/>
          </w:tcPr>
          <w:p>
            <w:r>
              <w:rPr>
                <w:rFonts w:ascii="Calibri" w:cs="Calibri" w:eastAsia="Calibri" w:hAnsi="Calibri"/>
                <w:b/>
                <w:bCs/>
                <w:color w:val="1E3AA0"/>
                <w:sz w:val="20"/>
                <w:szCs w:val="20"/>
              </w:rPr>
              <w:t xml:space="preserve">Collection</w:t>
            </w:r>
          </w:p>
        </w:tc>
        <w:tc>
          <w:tcPr>
            <w:tcW w:type="pct" w:w="42%"/>
            <w:shd w:fill="EFF4FF" w:color="auto" w:val="clear"/>
          </w:tcPr>
          <w:p>
            <w:r>
              <w:rPr>
                <w:rFonts w:ascii="Calibri" w:cs="Calibri" w:eastAsia="Calibri" w:hAnsi="Calibri"/>
                <w:b/>
                <w:bCs/>
                <w:color w:val="1E3AA0"/>
                <w:sz w:val="20"/>
                <w:szCs w:val="20"/>
              </w:rPr>
              <w:t xml:space="preserve">Key fields</w:t>
            </w:r>
          </w:p>
        </w:tc>
        <w:tc>
          <w:tcPr>
            <w:tcW w:type="pct" w:w="40%"/>
            <w:shd w:fill="EFF4FF" w:color="auto" w:val="clear"/>
          </w:tcPr>
          <w:p>
            <w:r>
              <w:rPr>
                <w:rFonts w:ascii="Calibri" w:cs="Calibri" w:eastAsia="Calibri" w:hAnsi="Calibri"/>
                <w:b/>
                <w:bCs/>
                <w:color w:val="1E3AA0"/>
                <w:sz w:val="20"/>
                <w:szCs w:val="20"/>
              </w:rPr>
              <w:t xml:space="preserve">Relationships</w:t>
            </w:r>
          </w:p>
        </w:tc>
      </w:tr>
      <w:tr>
        <w:tc>
          <w:tcPr>
            <w:tcW w:type="pct" w:w="18%"/>
          </w:tcPr>
          <w:p>
            <w:r>
              <w:rPr>
                <w:rFonts w:ascii="Calibri" w:cs="Calibri" w:eastAsia="Calibri" w:hAnsi="Calibri"/>
                <w:b w:val="false"/>
                <w:bCs w:val="false"/>
                <w:color w:val="1E293B"/>
                <w:sz w:val="20"/>
                <w:szCs w:val="20"/>
              </w:rPr>
              <w:t xml:space="preserve">users</w:t>
            </w:r>
          </w:p>
        </w:tc>
        <w:tc>
          <w:tcPr>
            <w:tcW w:type="pct" w:w="42%"/>
          </w:tcPr>
          <w:p>
            <w:r>
              <w:rPr>
                <w:rFonts w:ascii="Calibri" w:cs="Calibri" w:eastAsia="Calibri" w:hAnsi="Calibri"/>
                <w:b w:val="false"/>
                <w:bCs w:val="false"/>
                <w:color w:val="1E293B"/>
                <w:sz w:val="20"/>
                <w:szCs w:val="20"/>
              </w:rPr>
              <w:t xml:space="preserve">uid · role · name · email</w:t>
            </w:r>
          </w:p>
        </w:tc>
        <w:tc>
          <w:tcPr>
            <w:tcW w:type="pct" w:w="40%"/>
          </w:tcPr>
          <w:p>
            <w:r>
              <w:rPr>
                <w:rFonts w:ascii="Calibri" w:cs="Calibri" w:eastAsia="Calibri" w:hAnsi="Calibri"/>
                <w:b w:val="false"/>
                <w:bCs w:val="false"/>
                <w:color w:val="1E293B"/>
                <w:sz w:val="20"/>
                <w:szCs w:val="20"/>
              </w:rPr>
              <w:t xml:space="preserve">One-to-many with attendance, results, payments.</w:t>
            </w:r>
          </w:p>
        </w:tc>
      </w:tr>
      <w:tr>
        <w:tc>
          <w:tcPr>
            <w:tcW w:type="pct" w:w="18%"/>
          </w:tcPr>
          <w:p>
            <w:r>
              <w:rPr>
                <w:rFonts w:ascii="Calibri" w:cs="Calibri" w:eastAsia="Calibri" w:hAnsi="Calibri"/>
                <w:b w:val="false"/>
                <w:bCs w:val="false"/>
                <w:color w:val="1E293B"/>
                <w:sz w:val="20"/>
                <w:szCs w:val="20"/>
              </w:rPr>
              <w:t xml:space="preserve">courses</w:t>
            </w:r>
          </w:p>
        </w:tc>
        <w:tc>
          <w:tcPr>
            <w:tcW w:type="pct" w:w="42%"/>
          </w:tcPr>
          <w:p>
            <w:r>
              <w:rPr>
                <w:rFonts w:ascii="Calibri" w:cs="Calibri" w:eastAsia="Calibri" w:hAnsi="Calibri"/>
                <w:b w:val="false"/>
                <w:bCs w:val="false"/>
                <w:color w:val="1E293B"/>
                <w:sz w:val="20"/>
                <w:szCs w:val="20"/>
              </w:rPr>
              <w:t xml:space="preserve">code · name · credits · lecturer</w:t>
            </w:r>
          </w:p>
        </w:tc>
        <w:tc>
          <w:tcPr>
            <w:tcW w:type="pct" w:w="40%"/>
          </w:tcPr>
          <w:p>
            <w:r>
              <w:rPr>
                <w:rFonts w:ascii="Calibri" w:cs="Calibri" w:eastAsia="Calibri" w:hAnsi="Calibri"/>
                <w:b w:val="false"/>
                <w:bCs w:val="false"/>
                <w:color w:val="1E293B"/>
                <w:sz w:val="20"/>
                <w:szCs w:val="20"/>
              </w:rPr>
              <w:t xml:space="preserve">Many-to-many with users via timetable slots.</w:t>
            </w:r>
          </w:p>
        </w:tc>
      </w:tr>
      <w:tr>
        <w:tc>
          <w:tcPr>
            <w:tcW w:type="pct" w:w="18%"/>
          </w:tcPr>
          <w:p>
            <w:r>
              <w:rPr>
                <w:rFonts w:ascii="Calibri" w:cs="Calibri" w:eastAsia="Calibri" w:hAnsi="Calibri"/>
                <w:b w:val="false"/>
                <w:bCs w:val="false"/>
                <w:color w:val="1E293B"/>
                <w:sz w:val="20"/>
                <w:szCs w:val="20"/>
              </w:rPr>
              <w:t xml:space="preserve">timetable</w:t>
            </w:r>
          </w:p>
        </w:tc>
        <w:tc>
          <w:tcPr>
            <w:tcW w:type="pct" w:w="42%"/>
          </w:tcPr>
          <w:p>
            <w:r>
              <w:rPr>
                <w:rFonts w:ascii="Calibri" w:cs="Calibri" w:eastAsia="Calibri" w:hAnsi="Calibri"/>
                <w:b w:val="false"/>
                <w:bCs w:val="false"/>
                <w:color w:val="1E293B"/>
                <w:sz w:val="20"/>
                <w:szCs w:val="20"/>
              </w:rPr>
              <w:t xml:space="preserve">day · time · course · room · track</w:t>
            </w:r>
          </w:p>
        </w:tc>
        <w:tc>
          <w:tcPr>
            <w:tcW w:type="pct" w:w="40%"/>
          </w:tcPr>
          <w:p>
            <w:r>
              <w:rPr>
                <w:rFonts w:ascii="Calibri" w:cs="Calibri" w:eastAsia="Calibri" w:hAnsi="Calibri"/>
                <w:b w:val="false"/>
                <w:bCs w:val="false"/>
                <w:color w:val="1E293B"/>
                <w:sz w:val="20"/>
                <w:szCs w:val="20"/>
              </w:rPr>
              <w:t xml:space="preserve">References courses + users.</w:t>
            </w:r>
          </w:p>
        </w:tc>
      </w:tr>
      <w:tr>
        <w:tc>
          <w:tcPr>
            <w:tcW w:type="pct" w:w="18%"/>
          </w:tcPr>
          <w:p>
            <w:r>
              <w:rPr>
                <w:rFonts w:ascii="Calibri" w:cs="Calibri" w:eastAsia="Calibri" w:hAnsi="Calibri"/>
                <w:b w:val="false"/>
                <w:bCs w:val="false"/>
                <w:color w:val="1E293B"/>
                <w:sz w:val="20"/>
                <w:szCs w:val="20"/>
              </w:rPr>
              <w:t xml:space="preserve">attendance</w:t>
            </w:r>
          </w:p>
        </w:tc>
        <w:tc>
          <w:tcPr>
            <w:tcW w:type="pct" w:w="42%"/>
          </w:tcPr>
          <w:p>
            <w:r>
              <w:rPr>
                <w:rFonts w:ascii="Calibri" w:cs="Calibri" w:eastAsia="Calibri" w:hAnsi="Calibri"/>
                <w:b w:val="false"/>
                <w:bCs w:val="false"/>
                <w:color w:val="1E293B"/>
                <w:sz w:val="20"/>
                <w:szCs w:val="20"/>
              </w:rPr>
              <w:t xml:space="preserve">studentId · course · percent</w:t>
            </w:r>
          </w:p>
        </w:tc>
        <w:tc>
          <w:tcPr>
            <w:tcW w:type="pct" w:w="40%"/>
          </w:tcPr>
          <w:p>
            <w:r>
              <w:rPr>
                <w:rFonts w:ascii="Calibri" w:cs="Calibri" w:eastAsia="Calibri" w:hAnsi="Calibri"/>
                <w:b w:val="false"/>
                <w:bCs w:val="false"/>
                <w:color w:val="1E293B"/>
                <w:sz w:val="20"/>
                <w:szCs w:val="20"/>
              </w:rPr>
              <w:t xml:space="preserve">Many-to-one with users + courses.</w:t>
            </w:r>
          </w:p>
        </w:tc>
      </w:tr>
      <w:tr>
        <w:tc>
          <w:tcPr>
            <w:tcW w:type="pct" w:w="18%"/>
          </w:tcPr>
          <w:p>
            <w:r>
              <w:rPr>
                <w:rFonts w:ascii="Calibri" w:cs="Calibri" w:eastAsia="Calibri" w:hAnsi="Calibri"/>
                <w:b w:val="false"/>
                <w:bCs w:val="false"/>
                <w:color w:val="1E293B"/>
                <w:sz w:val="20"/>
                <w:szCs w:val="20"/>
              </w:rPr>
              <w:t xml:space="preserve">results</w:t>
            </w:r>
          </w:p>
        </w:tc>
        <w:tc>
          <w:tcPr>
            <w:tcW w:type="pct" w:w="42%"/>
          </w:tcPr>
          <w:p>
            <w:r>
              <w:rPr>
                <w:rFonts w:ascii="Calibri" w:cs="Calibri" w:eastAsia="Calibri" w:hAnsi="Calibri"/>
                <w:b w:val="false"/>
                <w:bCs w:val="false"/>
                <w:color w:val="1E293B"/>
                <w:sz w:val="20"/>
                <w:szCs w:val="20"/>
              </w:rPr>
              <w:t xml:space="preserve">studentId · course · ca · exam</w:t>
            </w:r>
          </w:p>
        </w:tc>
        <w:tc>
          <w:tcPr>
            <w:tcW w:type="pct" w:w="40%"/>
          </w:tcPr>
          <w:p>
            <w:r>
              <w:rPr>
                <w:rFonts w:ascii="Calibri" w:cs="Calibri" w:eastAsia="Calibri" w:hAnsi="Calibri"/>
                <w:b w:val="false"/>
                <w:bCs w:val="false"/>
                <w:color w:val="1E293B"/>
                <w:sz w:val="20"/>
                <w:szCs w:val="20"/>
              </w:rPr>
              <w:t xml:space="preserve">Many-to-one with users + courses.</w:t>
            </w:r>
          </w:p>
        </w:tc>
      </w:tr>
      <w:tr>
        <w:tc>
          <w:tcPr>
            <w:tcW w:type="pct" w:w="18%"/>
          </w:tcPr>
          <w:p>
            <w:r>
              <w:rPr>
                <w:rFonts w:ascii="Calibri" w:cs="Calibri" w:eastAsia="Calibri" w:hAnsi="Calibri"/>
                <w:b w:val="false"/>
                <w:bCs w:val="false"/>
                <w:color w:val="1E293B"/>
                <w:sz w:val="20"/>
                <w:szCs w:val="20"/>
              </w:rPr>
              <w:t xml:space="preserve">fees</w:t>
            </w:r>
          </w:p>
        </w:tc>
        <w:tc>
          <w:tcPr>
            <w:tcW w:type="pct" w:w="42%"/>
          </w:tcPr>
          <w:p>
            <w:r>
              <w:rPr>
                <w:rFonts w:ascii="Calibri" w:cs="Calibri" w:eastAsia="Calibri" w:hAnsi="Calibri"/>
                <w:b w:val="false"/>
                <w:bCs w:val="false"/>
                <w:color w:val="1E293B"/>
                <w:sz w:val="20"/>
                <w:szCs w:val="20"/>
              </w:rPr>
              <w:t xml:space="preserve">studentId · balance · history</w:t>
            </w:r>
          </w:p>
        </w:tc>
        <w:tc>
          <w:tcPr>
            <w:tcW w:type="pct" w:w="40%"/>
          </w:tcPr>
          <w:p>
            <w:r>
              <w:rPr>
                <w:rFonts w:ascii="Calibri" w:cs="Calibri" w:eastAsia="Calibri" w:hAnsi="Calibri"/>
                <w:b w:val="false"/>
                <w:bCs w:val="false"/>
                <w:color w:val="1E293B"/>
                <w:sz w:val="20"/>
                <w:szCs w:val="20"/>
              </w:rPr>
              <w:t xml:space="preserve">One-to-one with users.</w:t>
            </w:r>
          </w:p>
        </w:tc>
      </w:tr>
      <w:tr>
        <w:tc>
          <w:tcPr>
            <w:tcW w:type="pct" w:w="18%"/>
          </w:tcPr>
          <w:p>
            <w:r>
              <w:rPr>
                <w:rFonts w:ascii="Calibri" w:cs="Calibri" w:eastAsia="Calibri" w:hAnsi="Calibri"/>
                <w:b w:val="false"/>
                <w:bCs w:val="false"/>
                <w:color w:val="1E293B"/>
                <w:sz w:val="20"/>
                <w:szCs w:val="20"/>
              </w:rPr>
              <w:t xml:space="preserve">payments</w:t>
            </w:r>
          </w:p>
        </w:tc>
        <w:tc>
          <w:tcPr>
            <w:tcW w:type="pct" w:w="42%"/>
          </w:tcPr>
          <w:p>
            <w:r>
              <w:rPr>
                <w:rFonts w:ascii="Calibri" w:cs="Calibri" w:eastAsia="Calibri" w:hAnsi="Calibri"/>
                <w:b w:val="false"/>
                <w:bCs w:val="false"/>
                <w:color w:val="1E293B"/>
                <w:sz w:val="20"/>
                <w:szCs w:val="20"/>
              </w:rPr>
              <w:t xml:space="preserve">reference · method · amount</w:t>
            </w:r>
          </w:p>
        </w:tc>
        <w:tc>
          <w:tcPr>
            <w:tcW w:type="pct" w:w="40%"/>
          </w:tcPr>
          <w:p>
            <w:r>
              <w:rPr>
                <w:rFonts w:ascii="Calibri" w:cs="Calibri" w:eastAsia="Calibri" w:hAnsi="Calibri"/>
                <w:b w:val="false"/>
                <w:bCs w:val="false"/>
                <w:color w:val="1E293B"/>
                <w:sz w:val="20"/>
                <w:szCs w:val="20"/>
              </w:rPr>
              <w:t xml:space="preserve">Many-to-one with users.</w:t>
            </w:r>
          </w:p>
        </w:tc>
      </w:tr>
      <w:tr>
        <w:tc>
          <w:tcPr>
            <w:tcW w:type="pct" w:w="18%"/>
          </w:tcPr>
          <w:p>
            <w:r>
              <w:rPr>
                <w:rFonts w:ascii="Calibri" w:cs="Calibri" w:eastAsia="Calibri" w:hAnsi="Calibri"/>
                <w:b w:val="false"/>
                <w:bCs w:val="false"/>
                <w:color w:val="1E293B"/>
                <w:sz w:val="20"/>
                <w:szCs w:val="20"/>
              </w:rPr>
              <w:t xml:space="preserve">announcements</w:t>
            </w:r>
          </w:p>
        </w:tc>
        <w:tc>
          <w:tcPr>
            <w:tcW w:type="pct" w:w="42%"/>
          </w:tcPr>
          <w:p>
            <w:r>
              <w:rPr>
                <w:rFonts w:ascii="Calibri" w:cs="Calibri" w:eastAsia="Calibri" w:hAnsi="Calibri"/>
                <w:b w:val="false"/>
                <w:bCs w:val="false"/>
                <w:color w:val="1E293B"/>
                <w:sz w:val="20"/>
                <w:szCs w:val="20"/>
              </w:rPr>
              <w:t xml:space="preserve">title · body · pinned · createdAt</w:t>
            </w:r>
          </w:p>
        </w:tc>
        <w:tc>
          <w:tcPr>
            <w:tcW w:type="pct" w:w="40%"/>
          </w:tcPr>
          <w:p>
            <w:r>
              <w:rPr>
                <w:rFonts w:ascii="Calibri" w:cs="Calibri" w:eastAsia="Calibri" w:hAnsi="Calibri"/>
                <w:b w:val="false"/>
                <w:bCs w:val="false"/>
                <w:color w:val="1E293B"/>
                <w:sz w:val="20"/>
                <w:szCs w:val="20"/>
              </w:rPr>
              <w:t xml:space="preserve">Standalone.</w:t>
            </w:r>
          </w:p>
        </w:tc>
      </w:tr>
      <w:tr>
        <w:tc>
          <w:tcPr>
            <w:tcW w:type="pct" w:w="18%"/>
          </w:tcPr>
          <w:p>
            <w:r>
              <w:rPr>
                <w:rFonts w:ascii="Calibri" w:cs="Calibri" w:eastAsia="Calibri" w:hAnsi="Calibri"/>
                <w:b w:val="false"/>
                <w:bCs w:val="false"/>
                <w:color w:val="1E293B"/>
                <w:sz w:val="20"/>
                <w:szCs w:val="20"/>
              </w:rPr>
              <w:t xml:space="preserve">enrolments</w:t>
            </w:r>
          </w:p>
        </w:tc>
        <w:tc>
          <w:tcPr>
            <w:tcW w:type="pct" w:w="42%"/>
          </w:tcPr>
          <w:p>
            <w:r>
              <w:rPr>
                <w:rFonts w:ascii="Calibri" w:cs="Calibri" w:eastAsia="Calibri" w:hAnsi="Calibri"/>
                <w:b w:val="false"/>
                <w:bCs w:val="false"/>
                <w:color w:val="1E293B"/>
                <w:sz w:val="20"/>
                <w:szCs w:val="20"/>
              </w:rPr>
              <w:t xml:space="preserve">matricule · childData · paymentRef</w:t>
            </w:r>
          </w:p>
        </w:tc>
        <w:tc>
          <w:tcPr>
            <w:tcW w:type="pct" w:w="40%"/>
          </w:tcPr>
          <w:p>
            <w:r>
              <w:rPr>
                <w:rFonts w:ascii="Calibri" w:cs="Calibri" w:eastAsia="Calibri" w:hAnsi="Calibri"/>
                <w:b w:val="false"/>
                <w:bCs w:val="false"/>
                <w:color w:val="1E293B"/>
                <w:sz w:val="20"/>
                <w:szCs w:val="20"/>
              </w:rPr>
              <w:t xml:space="preserve">Standalone (parent flow).</w:t>
            </w:r>
          </w:p>
        </w:tc>
      </w:tr>
    </w:tbl>
    <w:p>
      <w:pPr>
        <w:spacing w:after="280"/>
        <w:jc w:val="center"/>
      </w:pPr>
      <w:r>
        <w:rPr>
          <w:rFonts w:ascii="Calibri" w:cs="Calibri" w:eastAsia="Calibri" w:hAnsi="Calibri"/>
          <w:i/>
          <w:iCs/>
          <w:color w:val="64748B"/>
          <w:sz w:val="18"/>
          <w:szCs w:val="18"/>
        </w:rPr>
        <w:t xml:space="preserve">Table 4.2 — Database collections and their primary relationships.</w:t>
      </w:r>
    </w:p>
    <w:p>
      <w:pPr>
        <w:pStyle w:val="Heading2"/>
        <w:spacing w:after="200" w:before="360"/>
      </w:pPr>
      <w:r>
        <w:t xml:space="preserve">4.3  Use-Case View</w:t>
      </w:r>
    </w:p>
    <w:p>
      <w:pPr>
        <w:spacing w:after="160" w:line="300" w:lineRule="auto"/>
        <w:jc w:val="both"/>
      </w:pPr>
      <w:r>
        <w:rPr>
          <w:rFonts w:ascii="Calibri" w:cs="Calibri" w:eastAsia="Calibri" w:hAnsi="Calibri"/>
          <w:color w:val="1E293B"/>
          <w:sz w:val="22"/>
          <w:szCs w:val="22"/>
        </w:rPr>
        <w:t xml:space="preserve">Figure 4.3 visualises the actors and their use cases across all four authenticated roles plus the public parent.</w:t>
      </w:r>
    </w:p>
    <w:p>
      <w:pPr>
        <w:spacing w:after="1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4.3 — Use-case diagram across all roles.</w:t>
      </w:r>
    </w:p>
    <w:p>
      <w:pPr>
        <w:pStyle w:val="Heading2"/>
        <w:spacing w:after="200" w:before="360"/>
      </w:pPr>
      <w:r>
        <w:t xml:space="preserve">4.4  Behavioural View — Authentication</w:t>
      </w:r>
    </w:p>
    <w:p>
      <w:pPr>
        <w:spacing w:after="160" w:line="300" w:lineRule="auto"/>
        <w:jc w:val="both"/>
      </w:pPr>
      <w:r>
        <w:rPr>
          <w:rFonts w:ascii="Calibri" w:cs="Calibri" w:eastAsia="Calibri" w:hAnsi="Calibri"/>
          <w:color w:val="1E293B"/>
          <w:sz w:val="22"/>
          <w:szCs w:val="22"/>
        </w:rPr>
        <w:t xml:space="preserve">The most security-critical sequence is sign-in. Figure 4.4 traces the request from the moment the user submits credentials to the moment the role-specific dashboard is rendered.</w:t>
      </w:r>
    </w:p>
    <w:p>
      <w:pPr>
        <w:spacing w:after="1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4.4 — Authentication sequence diagram.</w:t>
      </w:r>
    </w:p>
    <w:p>
      <w:pPr>
        <w:pStyle w:val="Heading2"/>
        <w:spacing w:after="200" w:before="360"/>
      </w:pPr>
      <w:r>
        <w:t xml:space="preserve">4.5  Component View</w:t>
      </w:r>
    </w:p>
    <w:p>
      <w:pPr>
        <w:spacing w:after="160" w:line="300" w:lineRule="auto"/>
        <w:jc w:val="both"/>
      </w:pPr>
      <w:r>
        <w:rPr>
          <w:rFonts w:ascii="Calibri" w:cs="Calibri" w:eastAsia="Calibri" w:hAnsi="Calibri"/>
          <w:color w:val="1E293B"/>
          <w:sz w:val="22"/>
          <w:szCs w:val="22"/>
        </w:rPr>
        <w:t xml:space="preserve">Figure 4.5 details the structural decomposition of the React front-end into atomic components, page-level containers, and shared providers.</w:t>
      </w:r>
    </w:p>
    <w:p>
      <w:pPr>
        <w:spacing w:after="1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4.5 — Component diagram of the React front-end.</w:t>
      </w:r>
    </w:p>
    <w:p>
      <w:pPr>
        <w:pStyle w:val="Heading2"/>
        <w:spacing w:after="200" w:before="360"/>
      </w:pPr>
      <w:r>
        <w:t xml:space="preserve">4.6  Data-Flow View — Tuition Payment</w:t>
      </w:r>
    </w:p>
    <w:p>
      <w:pPr>
        <w:spacing w:after="160" w:line="300" w:lineRule="auto"/>
        <w:jc w:val="both"/>
      </w:pPr>
      <w:r>
        <w:rPr>
          <w:rFonts w:ascii="Calibri" w:cs="Calibri" w:eastAsia="Calibri" w:hAnsi="Calibri"/>
          <w:color w:val="1E293B"/>
          <w:sz w:val="22"/>
          <w:szCs w:val="22"/>
        </w:rPr>
        <w:t xml:space="preserve">Figure 4.6 traces the data that flows when a student or parent pays tuition. The diagram emphasises that no credential (PIN, password, card number) ever crosses into the persistence tier — credentials remain in browser memory only for the duration of the simulated provider call.</w:t>
      </w:r>
    </w:p>
    <w:p>
      <w:pPr>
        <w:spacing w:after="1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4.6 — Data-flow diagram for tuition payment.</w:t>
      </w:r>
    </w:p>
    <w:p>
      <w:pPr>
        <w:pStyle w:val="Heading2"/>
        <w:spacing w:after="200" w:before="360"/>
      </w:pPr>
      <w:r>
        <w:t xml:space="preserve">4.7  Deployment View</w:t>
      </w:r>
    </w:p>
    <w:p>
      <w:pPr>
        <w:spacing w:after="160" w:line="300" w:lineRule="auto"/>
        <w:jc w:val="both"/>
      </w:pPr>
      <w:r>
        <w:rPr>
          <w:rFonts w:ascii="Calibri" w:cs="Calibri" w:eastAsia="Calibri" w:hAnsi="Calibri"/>
          <w:color w:val="1E293B"/>
          <w:sz w:val="22"/>
          <w:szCs w:val="22"/>
        </w:rPr>
        <w:t xml:space="preserve">Figure 4.7 shows the production deployment topology. Static assets are served from a global CDN (Vercel or Netlify), with the dynamic portion handled by Firebase's managed services. This architecture eliminates the need for an in-house operations team while keeping monthly running cost under USD 200 at IUGET's current scale.</w:t>
      </w:r>
    </w:p>
    <w:p>
      <w:pPr>
        <w:spacing w:after="1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4.7 — Deployment topology.</w:t>
      </w:r>
    </w:p>
    <w:p>
      <w:pPr>
        <w:pStyle w:val="Heading2"/>
        <w:spacing w:after="200" w:before="360"/>
      </w:pPr>
      <w:r>
        <w:t xml:space="preserve">4.8  Security Design</w:t>
      </w:r>
    </w:p>
    <w:p>
      <w:pPr>
        <w:spacing w:after="160" w:line="300" w:lineRule="auto"/>
        <w:jc w:val="both"/>
      </w:pPr>
      <w:r>
        <w:rPr>
          <w:rFonts w:ascii="Calibri" w:cs="Calibri" w:eastAsia="Calibri" w:hAnsi="Calibri"/>
          <w:color w:val="1E293B"/>
          <w:sz w:val="22"/>
          <w:szCs w:val="22"/>
        </w:rPr>
        <w:t xml:space="preserve">Security in SIARM operates on four levels:</w:t>
      </w:r>
    </w:p>
    <w:p>
      <w:pPr>
        <w:pStyle w:val="ListParagraph"/>
        <w:numPr>
          <w:ilvl w:val="0"/>
          <w:numId w:val="1"/>
        </w:numPr>
        <w:spacing w:after="80"/>
      </w:pPr>
      <w:r>
        <w:rPr>
          <w:rFonts w:ascii="Calibri" w:cs="Calibri" w:eastAsia="Calibri" w:hAnsi="Calibri"/>
          <w:sz w:val="22"/>
          <w:szCs w:val="22"/>
        </w:rPr>
        <w:t xml:space="preserve">Authentication — Firebase Authentication issues a signed JSON Web Token; no plain-text password ever reaches SIARM.</w:t>
      </w:r>
    </w:p>
    <w:p>
      <w:pPr>
        <w:pStyle w:val="ListParagraph"/>
        <w:numPr>
          <w:ilvl w:val="0"/>
          <w:numId w:val="1"/>
        </w:numPr>
        <w:spacing w:after="80"/>
      </w:pPr>
      <w:r>
        <w:rPr>
          <w:rFonts w:ascii="Calibri" w:cs="Calibri" w:eastAsia="Calibri" w:hAnsi="Calibri"/>
          <w:sz w:val="22"/>
          <w:szCs w:val="22"/>
        </w:rPr>
        <w:t xml:space="preserve">Authorisation — every route is wrapped by a ProtectedRoute component that compares the user's role against the route's required role.</w:t>
      </w:r>
    </w:p>
    <w:p>
      <w:pPr>
        <w:pStyle w:val="ListParagraph"/>
        <w:numPr>
          <w:ilvl w:val="0"/>
          <w:numId w:val="1"/>
        </w:numPr>
        <w:spacing w:after="80"/>
      </w:pPr>
      <w:r>
        <w:rPr>
          <w:rFonts w:ascii="Calibri" w:cs="Calibri" w:eastAsia="Calibri" w:hAnsi="Calibri"/>
          <w:sz w:val="22"/>
          <w:szCs w:val="22"/>
        </w:rPr>
        <w:t xml:space="preserve">Transport — all traffic uses HTTPS; the Service Worker only caches public assets, never user data.</w:t>
      </w:r>
    </w:p>
    <w:p>
      <w:pPr>
        <w:pStyle w:val="ListParagraph"/>
        <w:numPr>
          <w:ilvl w:val="0"/>
          <w:numId w:val="1"/>
        </w:numPr>
        <w:spacing w:after="80"/>
      </w:pPr>
      <w:r>
        <w:rPr>
          <w:rFonts w:ascii="Calibri" w:cs="Calibri" w:eastAsia="Calibri" w:hAnsi="Calibri"/>
          <w:sz w:val="22"/>
          <w:szCs w:val="22"/>
        </w:rPr>
        <w:t xml:space="preserve">Privacy at payment time — when the parent enters a PIN, password or card data, the corresponding React state is cleared immediately after the simulated provider call. This is enforced as code: see the setPwd('') call inside the submitPassword handler.</w:t>
      </w:r>
    </w:p>
    <w:p>
      <w:pPr>
        <w:pStyle w:val="Heading2"/>
        <w:spacing w:after="200" w:before="360"/>
      </w:pPr>
      <w:r>
        <w:t xml:space="preserve">4.9  User-Interface Principles</w:t>
      </w:r>
    </w:p>
    <w:p>
      <w:pPr>
        <w:spacing w:after="160" w:line="300" w:lineRule="auto"/>
        <w:jc w:val="both"/>
      </w:pPr>
      <w:r>
        <w:rPr>
          <w:rFonts w:ascii="Calibri" w:cs="Calibri" w:eastAsia="Calibri" w:hAnsi="Calibri"/>
          <w:color w:val="1E293B"/>
          <w:sz w:val="22"/>
          <w:szCs w:val="22"/>
        </w:rPr>
        <w:t xml:space="preserve">The interface follows Shneiderman's 8 golden rules and the WAI-ARIA contract:</w:t>
      </w:r>
    </w:p>
    <w:p>
      <w:pPr>
        <w:pStyle w:val="ListParagraph"/>
        <w:numPr>
          <w:ilvl w:val="0"/>
          <w:numId w:val="1"/>
        </w:numPr>
        <w:spacing w:after="80"/>
      </w:pPr>
      <w:r>
        <w:rPr>
          <w:rFonts w:ascii="Calibri" w:cs="Calibri" w:eastAsia="Calibri" w:hAnsi="Calibri"/>
          <w:sz w:val="22"/>
          <w:szCs w:val="22"/>
        </w:rPr>
        <w:t xml:space="preserve">Consistency — the design system (colour palette, typography, spacing, button states) is defined once in tailwind.config.js and reused everywhere.</w:t>
      </w:r>
    </w:p>
    <w:p>
      <w:pPr>
        <w:pStyle w:val="ListParagraph"/>
        <w:numPr>
          <w:ilvl w:val="0"/>
          <w:numId w:val="1"/>
        </w:numPr>
        <w:spacing w:after="80"/>
      </w:pPr>
      <w:r>
        <w:rPr>
          <w:rFonts w:ascii="Calibri" w:cs="Calibri" w:eastAsia="Calibri" w:hAnsi="Calibri"/>
          <w:sz w:val="22"/>
          <w:szCs w:val="22"/>
        </w:rPr>
        <w:t xml:space="preserve">Informative feedback — every action triggers a toast notification (react-hot-toast); long operations display a spinner.</w:t>
      </w:r>
    </w:p>
    <w:p>
      <w:pPr>
        <w:pStyle w:val="ListParagraph"/>
        <w:numPr>
          <w:ilvl w:val="0"/>
          <w:numId w:val="1"/>
        </w:numPr>
        <w:spacing w:after="80"/>
      </w:pPr>
      <w:r>
        <w:rPr>
          <w:rFonts w:ascii="Calibri" w:cs="Calibri" w:eastAsia="Calibri" w:hAnsi="Calibri"/>
          <w:sz w:val="22"/>
          <w:szCs w:val="22"/>
        </w:rPr>
        <w:t xml:space="preserve">Reversibility — destructive actions require confirmation; demo data can be reset from the Command Palette.</w:t>
      </w:r>
    </w:p>
    <w:p>
      <w:pPr>
        <w:pStyle w:val="ListParagraph"/>
        <w:numPr>
          <w:ilvl w:val="0"/>
          <w:numId w:val="1"/>
        </w:numPr>
        <w:spacing w:after="80"/>
      </w:pPr>
      <w:r>
        <w:rPr>
          <w:rFonts w:ascii="Calibri" w:cs="Calibri" w:eastAsia="Calibri" w:hAnsi="Calibri"/>
          <w:sz w:val="22"/>
          <w:szCs w:val="22"/>
        </w:rPr>
        <w:t xml:space="preserve">Locus of control — the Command Palette (⌘K / Ctrl+K) gives experienced users a keyboard-driven shortcut to any page.</w:t>
      </w:r>
    </w:p>
    <w:p>
      <w:pPr>
        <w:pStyle w:val="ListParagraph"/>
        <w:numPr>
          <w:ilvl w:val="0"/>
          <w:numId w:val="1"/>
        </w:numPr>
        <w:spacing w:after="80"/>
      </w:pPr>
      <w:r>
        <w:rPr>
          <w:rFonts w:ascii="Calibri" w:cs="Calibri" w:eastAsia="Calibri" w:hAnsi="Calibri"/>
          <w:sz w:val="22"/>
          <w:szCs w:val="22"/>
        </w:rPr>
        <w:t xml:space="preserve">Reduce memory load — empty states explicitly describe what the user would see if data were present.</w:t>
      </w:r>
    </w:p>
    <w:p>
      <w:pPr>
        <w:pStyle w:val="Heading1"/>
        <w:pageBreakBefore/>
        <w:spacing w:after="240" w:before="480"/>
      </w:pPr>
      <w:r>
        <w:t xml:space="preserve">Chapter 5 — Implementation</w:t>
      </w:r>
    </w:p>
    <w:p>
      <w:pPr>
        <w:pStyle w:val="Heading2"/>
        <w:spacing w:after="200" w:before="360"/>
      </w:pPr>
      <w:r>
        <w:t xml:space="preserve">5.1  Technology Stack</w:t>
      </w:r>
    </w:p>
    <w:p>
      <w:pPr>
        <w:spacing w:after="160" w:line="300" w:lineRule="auto"/>
        <w:jc w:val="both"/>
      </w:pPr>
      <w:r>
        <w:rPr>
          <w:rFonts w:ascii="Calibri" w:cs="Calibri" w:eastAsia="Calibri" w:hAnsi="Calibri"/>
          <w:color w:val="1E293B"/>
          <w:sz w:val="22"/>
          <w:szCs w:val="22"/>
        </w:rPr>
        <w:t xml:space="preserve">The implementation rests on a deliberately small set of well-supported tools. Every choice is justified in Table 4.1.</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8%"/>
            <w:shd w:fill="EFF4FF" w:color="auto" w:val="clear"/>
          </w:tcPr>
          <w:p>
            <w:r>
              <w:rPr>
                <w:rFonts w:ascii="Calibri" w:cs="Calibri" w:eastAsia="Calibri" w:hAnsi="Calibri"/>
                <w:b/>
                <w:bCs/>
                <w:color w:val="1E3AA0"/>
                <w:sz w:val="20"/>
                <w:szCs w:val="20"/>
              </w:rPr>
              <w:t xml:space="preserve">Layer</w:t>
            </w:r>
          </w:p>
        </w:tc>
        <w:tc>
          <w:tcPr>
            <w:tcW w:type="pct" w:w="24%"/>
            <w:shd w:fill="EFF4FF" w:color="auto" w:val="clear"/>
          </w:tcPr>
          <w:p>
            <w:r>
              <w:rPr>
                <w:rFonts w:ascii="Calibri" w:cs="Calibri" w:eastAsia="Calibri" w:hAnsi="Calibri"/>
                <w:b/>
                <w:bCs/>
                <w:color w:val="1E3AA0"/>
                <w:sz w:val="20"/>
                <w:szCs w:val="20"/>
              </w:rPr>
              <w:t xml:space="preserve">Tool</w:t>
            </w:r>
          </w:p>
        </w:tc>
        <w:tc>
          <w:tcPr>
            <w:tcW w:type="pct" w:w="58%"/>
            <w:shd w:fill="EFF4FF" w:color="auto" w:val="clear"/>
          </w:tcPr>
          <w:p>
            <w:r>
              <w:rPr>
                <w:rFonts w:ascii="Calibri" w:cs="Calibri" w:eastAsia="Calibri" w:hAnsi="Calibri"/>
                <w:b/>
                <w:bCs/>
                <w:color w:val="1E3AA0"/>
                <w:sz w:val="20"/>
                <w:szCs w:val="20"/>
              </w:rPr>
              <w:t xml:space="preserve">Justification</w:t>
            </w:r>
          </w:p>
        </w:tc>
      </w:tr>
      <w:tr>
        <w:tc>
          <w:tcPr>
            <w:tcW w:type="pct" w:w="18%"/>
          </w:tcPr>
          <w:p>
            <w:r>
              <w:rPr>
                <w:rFonts w:ascii="Calibri" w:cs="Calibri" w:eastAsia="Calibri" w:hAnsi="Calibri"/>
                <w:b w:val="false"/>
                <w:bCs w:val="false"/>
                <w:color w:val="1E293B"/>
                <w:sz w:val="20"/>
                <w:szCs w:val="20"/>
              </w:rPr>
              <w:t xml:space="preserve">Build / dev server</w:t>
            </w:r>
          </w:p>
        </w:tc>
        <w:tc>
          <w:tcPr>
            <w:tcW w:type="pct" w:w="24%"/>
          </w:tcPr>
          <w:p>
            <w:r>
              <w:rPr>
                <w:rFonts w:ascii="Calibri" w:cs="Calibri" w:eastAsia="Calibri" w:hAnsi="Calibri"/>
                <w:b w:val="false"/>
                <w:bCs w:val="false"/>
                <w:color w:val="1E293B"/>
                <w:sz w:val="20"/>
                <w:szCs w:val="20"/>
              </w:rPr>
              <w:t xml:space="preserve">Vite 5</w:t>
            </w:r>
          </w:p>
        </w:tc>
        <w:tc>
          <w:tcPr>
            <w:tcW w:type="pct" w:w="58%"/>
          </w:tcPr>
          <w:p>
            <w:r>
              <w:rPr>
                <w:rFonts w:ascii="Calibri" w:cs="Calibri" w:eastAsia="Calibri" w:hAnsi="Calibri"/>
                <w:b w:val="false"/>
                <w:bCs w:val="false"/>
                <w:color w:val="1E293B"/>
                <w:sz w:val="20"/>
                <w:szCs w:val="20"/>
              </w:rPr>
              <w:t xml:space="preserve">Fast cold start, ES-modules-native, first-class React support.</w:t>
            </w:r>
          </w:p>
        </w:tc>
      </w:tr>
      <w:tr>
        <w:tc>
          <w:tcPr>
            <w:tcW w:type="pct" w:w="18%"/>
          </w:tcPr>
          <w:p>
            <w:r>
              <w:rPr>
                <w:rFonts w:ascii="Calibri" w:cs="Calibri" w:eastAsia="Calibri" w:hAnsi="Calibri"/>
                <w:b w:val="false"/>
                <w:bCs w:val="false"/>
                <w:color w:val="1E293B"/>
                <w:sz w:val="20"/>
                <w:szCs w:val="20"/>
              </w:rPr>
              <w:t xml:space="preserve">UI framework</w:t>
            </w:r>
          </w:p>
        </w:tc>
        <w:tc>
          <w:tcPr>
            <w:tcW w:type="pct" w:w="24%"/>
          </w:tcPr>
          <w:p>
            <w:r>
              <w:rPr>
                <w:rFonts w:ascii="Calibri" w:cs="Calibri" w:eastAsia="Calibri" w:hAnsi="Calibri"/>
                <w:b w:val="false"/>
                <w:bCs w:val="false"/>
                <w:color w:val="1E293B"/>
                <w:sz w:val="20"/>
                <w:szCs w:val="20"/>
              </w:rPr>
              <w:t xml:space="preserve">React 18</w:t>
            </w:r>
          </w:p>
        </w:tc>
        <w:tc>
          <w:tcPr>
            <w:tcW w:type="pct" w:w="58%"/>
          </w:tcPr>
          <w:p>
            <w:r>
              <w:rPr>
                <w:rFonts w:ascii="Calibri" w:cs="Calibri" w:eastAsia="Calibri" w:hAnsi="Calibri"/>
                <w:b w:val="false"/>
                <w:bCs w:val="false"/>
                <w:color w:val="1E293B"/>
                <w:sz w:val="20"/>
                <w:szCs w:val="20"/>
              </w:rPr>
              <w:t xml:space="preserve">Functional components; Concurrent Mode where needed.</w:t>
            </w:r>
          </w:p>
        </w:tc>
      </w:tr>
      <w:tr>
        <w:tc>
          <w:tcPr>
            <w:tcW w:type="pct" w:w="18%"/>
          </w:tcPr>
          <w:p>
            <w:r>
              <w:rPr>
                <w:rFonts w:ascii="Calibri" w:cs="Calibri" w:eastAsia="Calibri" w:hAnsi="Calibri"/>
                <w:b w:val="false"/>
                <w:bCs w:val="false"/>
                <w:color w:val="1E293B"/>
                <w:sz w:val="20"/>
                <w:szCs w:val="20"/>
              </w:rPr>
              <w:t xml:space="preserve">Styling</w:t>
            </w:r>
          </w:p>
        </w:tc>
        <w:tc>
          <w:tcPr>
            <w:tcW w:type="pct" w:w="24%"/>
          </w:tcPr>
          <w:p>
            <w:r>
              <w:rPr>
                <w:rFonts w:ascii="Calibri" w:cs="Calibri" w:eastAsia="Calibri" w:hAnsi="Calibri"/>
                <w:b w:val="false"/>
                <w:bCs w:val="false"/>
                <w:color w:val="1E293B"/>
                <w:sz w:val="20"/>
                <w:szCs w:val="20"/>
              </w:rPr>
              <w:t xml:space="preserve">Tailwind CSS 3</w:t>
            </w:r>
          </w:p>
        </w:tc>
        <w:tc>
          <w:tcPr>
            <w:tcW w:type="pct" w:w="58%"/>
          </w:tcPr>
          <w:p>
            <w:r>
              <w:rPr>
                <w:rFonts w:ascii="Calibri" w:cs="Calibri" w:eastAsia="Calibri" w:hAnsi="Calibri"/>
                <w:b w:val="false"/>
                <w:bCs w:val="false"/>
                <w:color w:val="1E293B"/>
                <w:sz w:val="20"/>
                <w:szCs w:val="20"/>
              </w:rPr>
              <w:t xml:space="preserve">Utility-first; small production bundle; no design drift.</w:t>
            </w:r>
          </w:p>
        </w:tc>
      </w:tr>
      <w:tr>
        <w:tc>
          <w:tcPr>
            <w:tcW w:type="pct" w:w="18%"/>
          </w:tcPr>
          <w:p>
            <w:r>
              <w:rPr>
                <w:rFonts w:ascii="Calibri" w:cs="Calibri" w:eastAsia="Calibri" w:hAnsi="Calibri"/>
                <w:b w:val="false"/>
                <w:bCs w:val="false"/>
                <w:color w:val="1E293B"/>
                <w:sz w:val="20"/>
                <w:szCs w:val="20"/>
              </w:rPr>
              <w:t xml:space="preserve">Routing</w:t>
            </w:r>
          </w:p>
        </w:tc>
        <w:tc>
          <w:tcPr>
            <w:tcW w:type="pct" w:w="24%"/>
          </w:tcPr>
          <w:p>
            <w:r>
              <w:rPr>
                <w:rFonts w:ascii="Calibri" w:cs="Calibri" w:eastAsia="Calibri" w:hAnsi="Calibri"/>
                <w:b w:val="false"/>
                <w:bCs w:val="false"/>
                <w:color w:val="1E293B"/>
                <w:sz w:val="20"/>
                <w:szCs w:val="20"/>
              </w:rPr>
              <w:t xml:space="preserve">React Router 6</w:t>
            </w:r>
          </w:p>
        </w:tc>
        <w:tc>
          <w:tcPr>
            <w:tcW w:type="pct" w:w="58%"/>
          </w:tcPr>
          <w:p>
            <w:r>
              <w:rPr>
                <w:rFonts w:ascii="Calibri" w:cs="Calibri" w:eastAsia="Calibri" w:hAnsi="Calibri"/>
                <w:b w:val="false"/>
                <w:bCs w:val="false"/>
                <w:color w:val="1E293B"/>
                <w:sz w:val="20"/>
                <w:szCs w:val="20"/>
              </w:rPr>
              <w:t xml:space="preserve">Declarative; supports nested layouts.</w:t>
            </w:r>
          </w:p>
        </w:tc>
      </w:tr>
      <w:tr>
        <w:tc>
          <w:tcPr>
            <w:tcW w:type="pct" w:w="18%"/>
          </w:tcPr>
          <w:p>
            <w:r>
              <w:rPr>
                <w:rFonts w:ascii="Calibri" w:cs="Calibri" w:eastAsia="Calibri" w:hAnsi="Calibri"/>
                <w:b w:val="false"/>
                <w:bCs w:val="false"/>
                <w:color w:val="1E293B"/>
                <w:sz w:val="20"/>
                <w:szCs w:val="20"/>
              </w:rPr>
              <w:t xml:space="preserve">State (global)</w:t>
            </w:r>
          </w:p>
        </w:tc>
        <w:tc>
          <w:tcPr>
            <w:tcW w:type="pct" w:w="24%"/>
          </w:tcPr>
          <w:p>
            <w:r>
              <w:rPr>
                <w:rFonts w:ascii="Calibri" w:cs="Calibri" w:eastAsia="Calibri" w:hAnsi="Calibri"/>
                <w:b w:val="false"/>
                <w:bCs w:val="false"/>
                <w:color w:val="1E293B"/>
                <w:sz w:val="20"/>
                <w:szCs w:val="20"/>
              </w:rPr>
              <w:t xml:space="preserve">Context API</w:t>
            </w:r>
          </w:p>
        </w:tc>
        <w:tc>
          <w:tcPr>
            <w:tcW w:type="pct" w:w="58%"/>
          </w:tcPr>
          <w:p>
            <w:r>
              <w:rPr>
                <w:rFonts w:ascii="Calibri" w:cs="Calibri" w:eastAsia="Calibri" w:hAnsi="Calibri"/>
                <w:b w:val="false"/>
                <w:bCs w:val="false"/>
                <w:color w:val="1E293B"/>
                <w:sz w:val="20"/>
                <w:szCs w:val="20"/>
              </w:rPr>
              <w:t xml:space="preserve">No need for Redux at SIARM's scale.</w:t>
            </w:r>
          </w:p>
        </w:tc>
      </w:tr>
      <w:tr>
        <w:tc>
          <w:tcPr>
            <w:tcW w:type="pct" w:w="18%"/>
          </w:tcPr>
          <w:p>
            <w:r>
              <w:rPr>
                <w:rFonts w:ascii="Calibri" w:cs="Calibri" w:eastAsia="Calibri" w:hAnsi="Calibri"/>
                <w:b w:val="false"/>
                <w:bCs w:val="false"/>
                <w:color w:val="1E293B"/>
                <w:sz w:val="20"/>
                <w:szCs w:val="20"/>
              </w:rPr>
              <w:t xml:space="preserve">Forms</w:t>
            </w:r>
          </w:p>
        </w:tc>
        <w:tc>
          <w:tcPr>
            <w:tcW w:type="pct" w:w="24%"/>
          </w:tcPr>
          <w:p>
            <w:r>
              <w:rPr>
                <w:rFonts w:ascii="Calibri" w:cs="Calibri" w:eastAsia="Calibri" w:hAnsi="Calibri"/>
                <w:b w:val="false"/>
                <w:bCs w:val="false"/>
                <w:color w:val="1E293B"/>
                <w:sz w:val="20"/>
                <w:szCs w:val="20"/>
              </w:rPr>
              <w:t xml:space="preserve">Native + react-hot-toast</w:t>
            </w:r>
          </w:p>
        </w:tc>
        <w:tc>
          <w:tcPr>
            <w:tcW w:type="pct" w:w="58%"/>
          </w:tcPr>
          <w:p>
            <w:r>
              <w:rPr>
                <w:rFonts w:ascii="Calibri" w:cs="Calibri" w:eastAsia="Calibri" w:hAnsi="Calibri"/>
                <w:b w:val="false"/>
                <w:bCs w:val="false"/>
                <w:color w:val="1E293B"/>
                <w:sz w:val="20"/>
                <w:szCs w:val="20"/>
              </w:rPr>
              <w:t xml:space="preserve">Minimum dependencies; clear feedback.</w:t>
            </w:r>
          </w:p>
        </w:tc>
      </w:tr>
      <w:tr>
        <w:tc>
          <w:tcPr>
            <w:tcW w:type="pct" w:w="18%"/>
          </w:tcPr>
          <w:p>
            <w:r>
              <w:rPr>
                <w:rFonts w:ascii="Calibri" w:cs="Calibri" w:eastAsia="Calibri" w:hAnsi="Calibri"/>
                <w:b w:val="false"/>
                <w:bCs w:val="false"/>
                <w:color w:val="1E293B"/>
                <w:sz w:val="20"/>
                <w:szCs w:val="20"/>
              </w:rPr>
              <w:t xml:space="preserve">Charts</w:t>
            </w:r>
          </w:p>
        </w:tc>
        <w:tc>
          <w:tcPr>
            <w:tcW w:type="pct" w:w="24%"/>
          </w:tcPr>
          <w:p>
            <w:r>
              <w:rPr>
                <w:rFonts w:ascii="Calibri" w:cs="Calibri" w:eastAsia="Calibri" w:hAnsi="Calibri"/>
                <w:b w:val="false"/>
                <w:bCs w:val="false"/>
                <w:color w:val="1E293B"/>
                <w:sz w:val="20"/>
                <w:szCs w:val="20"/>
              </w:rPr>
              <w:t xml:space="preserve">Recharts</w:t>
            </w:r>
          </w:p>
        </w:tc>
        <w:tc>
          <w:tcPr>
            <w:tcW w:type="pct" w:w="58%"/>
          </w:tcPr>
          <w:p>
            <w:r>
              <w:rPr>
                <w:rFonts w:ascii="Calibri" w:cs="Calibri" w:eastAsia="Calibri" w:hAnsi="Calibri"/>
                <w:b w:val="false"/>
                <w:bCs w:val="false"/>
                <w:color w:val="1E293B"/>
                <w:sz w:val="20"/>
                <w:szCs w:val="20"/>
              </w:rPr>
              <w:t xml:space="preserve">React-native; small footprint; declarative.</w:t>
            </w:r>
          </w:p>
        </w:tc>
      </w:tr>
      <w:tr>
        <w:tc>
          <w:tcPr>
            <w:tcW w:type="pct" w:w="18%"/>
          </w:tcPr>
          <w:p>
            <w:r>
              <w:rPr>
                <w:rFonts w:ascii="Calibri" w:cs="Calibri" w:eastAsia="Calibri" w:hAnsi="Calibri"/>
                <w:b w:val="false"/>
                <w:bCs w:val="false"/>
                <w:color w:val="1E293B"/>
                <w:sz w:val="20"/>
                <w:szCs w:val="20"/>
              </w:rPr>
              <w:t xml:space="preserve">PDF rendering</w:t>
            </w:r>
          </w:p>
        </w:tc>
        <w:tc>
          <w:tcPr>
            <w:tcW w:type="pct" w:w="24%"/>
          </w:tcPr>
          <w:p>
            <w:r>
              <w:rPr>
                <w:rFonts w:ascii="Calibri" w:cs="Calibri" w:eastAsia="Calibri" w:hAnsi="Calibri"/>
                <w:b w:val="false"/>
                <w:bCs w:val="false"/>
                <w:color w:val="1E293B"/>
                <w:sz w:val="20"/>
                <w:szCs w:val="20"/>
              </w:rPr>
              <w:t xml:space="preserve">jsPDF + html2canvas</w:t>
            </w:r>
          </w:p>
        </w:tc>
        <w:tc>
          <w:tcPr>
            <w:tcW w:type="pct" w:w="58%"/>
          </w:tcPr>
          <w:p>
            <w:r>
              <w:rPr>
                <w:rFonts w:ascii="Calibri" w:cs="Calibri" w:eastAsia="Calibri" w:hAnsi="Calibri"/>
                <w:b w:val="false"/>
                <w:bCs w:val="false"/>
                <w:color w:val="1E293B"/>
                <w:sz w:val="20"/>
                <w:szCs w:val="20"/>
              </w:rPr>
              <w:t xml:space="preserve">Pure JS, no server roundtrip; works offline.</w:t>
            </w:r>
          </w:p>
        </w:tc>
      </w:tr>
      <w:tr>
        <w:tc>
          <w:tcPr>
            <w:tcW w:type="pct" w:w="18%"/>
          </w:tcPr>
          <w:p>
            <w:r>
              <w:rPr>
                <w:rFonts w:ascii="Calibri" w:cs="Calibri" w:eastAsia="Calibri" w:hAnsi="Calibri"/>
                <w:b w:val="false"/>
                <w:bCs w:val="false"/>
                <w:color w:val="1E293B"/>
                <w:sz w:val="20"/>
                <w:szCs w:val="20"/>
              </w:rPr>
              <w:t xml:space="preserve">Authentication</w:t>
            </w:r>
          </w:p>
        </w:tc>
        <w:tc>
          <w:tcPr>
            <w:tcW w:type="pct" w:w="24%"/>
          </w:tcPr>
          <w:p>
            <w:r>
              <w:rPr>
                <w:rFonts w:ascii="Calibri" w:cs="Calibri" w:eastAsia="Calibri" w:hAnsi="Calibri"/>
                <w:b w:val="false"/>
                <w:bCs w:val="false"/>
                <w:color w:val="1E293B"/>
                <w:sz w:val="20"/>
                <w:szCs w:val="20"/>
              </w:rPr>
              <w:t xml:space="preserve">Firebase Auth</w:t>
            </w:r>
          </w:p>
        </w:tc>
        <w:tc>
          <w:tcPr>
            <w:tcW w:type="pct" w:w="58%"/>
          </w:tcPr>
          <w:p>
            <w:r>
              <w:rPr>
                <w:rFonts w:ascii="Calibri" w:cs="Calibri" w:eastAsia="Calibri" w:hAnsi="Calibri"/>
                <w:b w:val="false"/>
                <w:bCs w:val="false"/>
                <w:color w:val="1E293B"/>
                <w:sz w:val="20"/>
                <w:szCs w:val="20"/>
              </w:rPr>
              <w:t xml:space="preserve">Industry-standard; integrates with Firestore rules.</w:t>
            </w:r>
          </w:p>
        </w:tc>
      </w:tr>
      <w:tr>
        <w:tc>
          <w:tcPr>
            <w:tcW w:type="pct" w:w="18%"/>
          </w:tcPr>
          <w:p>
            <w:r>
              <w:rPr>
                <w:rFonts w:ascii="Calibri" w:cs="Calibri" w:eastAsia="Calibri" w:hAnsi="Calibri"/>
                <w:b w:val="false"/>
                <w:bCs w:val="false"/>
                <w:color w:val="1E293B"/>
                <w:sz w:val="20"/>
                <w:szCs w:val="20"/>
              </w:rPr>
              <w:t xml:space="preserve">Persistence</w:t>
            </w:r>
          </w:p>
        </w:tc>
        <w:tc>
          <w:tcPr>
            <w:tcW w:type="pct" w:w="24%"/>
          </w:tcPr>
          <w:p>
            <w:r>
              <w:rPr>
                <w:rFonts w:ascii="Calibri" w:cs="Calibri" w:eastAsia="Calibri" w:hAnsi="Calibri"/>
                <w:b w:val="false"/>
                <w:bCs w:val="false"/>
                <w:color w:val="1E293B"/>
                <w:sz w:val="20"/>
                <w:szCs w:val="20"/>
              </w:rPr>
              <w:t xml:space="preserve">Firestore + localStorage fallback</w:t>
            </w:r>
          </w:p>
        </w:tc>
        <w:tc>
          <w:tcPr>
            <w:tcW w:type="pct" w:w="58%"/>
          </w:tcPr>
          <w:p>
            <w:r>
              <w:rPr>
                <w:rFonts w:ascii="Calibri" w:cs="Calibri" w:eastAsia="Calibri" w:hAnsi="Calibri"/>
                <w:b w:val="false"/>
                <w:bCs w:val="false"/>
                <w:color w:val="1E293B"/>
                <w:sz w:val="20"/>
                <w:szCs w:val="20"/>
              </w:rPr>
              <w:t xml:space="preserve">Schemaless, real-time; offline-capable demo mode.</w:t>
            </w:r>
          </w:p>
        </w:tc>
      </w:tr>
      <w:tr>
        <w:tc>
          <w:tcPr>
            <w:tcW w:type="pct" w:w="18%"/>
          </w:tcPr>
          <w:p>
            <w:r>
              <w:rPr>
                <w:rFonts w:ascii="Calibri" w:cs="Calibri" w:eastAsia="Calibri" w:hAnsi="Calibri"/>
                <w:b w:val="false"/>
                <w:bCs w:val="false"/>
                <w:color w:val="1E293B"/>
                <w:sz w:val="20"/>
                <w:szCs w:val="20"/>
              </w:rPr>
              <w:t xml:space="preserve">PWA shell</w:t>
            </w:r>
          </w:p>
        </w:tc>
        <w:tc>
          <w:tcPr>
            <w:tcW w:type="pct" w:w="24%"/>
          </w:tcPr>
          <w:p>
            <w:r>
              <w:rPr>
                <w:rFonts w:ascii="Calibri" w:cs="Calibri" w:eastAsia="Calibri" w:hAnsi="Calibri"/>
                <w:b w:val="false"/>
                <w:bCs w:val="false"/>
                <w:color w:val="1E293B"/>
                <w:sz w:val="20"/>
                <w:szCs w:val="20"/>
              </w:rPr>
              <w:t xml:space="preserve">vite-plugin-pwa</w:t>
            </w:r>
          </w:p>
        </w:tc>
        <w:tc>
          <w:tcPr>
            <w:tcW w:type="pct" w:w="58%"/>
          </w:tcPr>
          <w:p>
            <w:r>
              <w:rPr>
                <w:rFonts w:ascii="Calibri" w:cs="Calibri" w:eastAsia="Calibri" w:hAnsi="Calibri"/>
                <w:b w:val="false"/>
                <w:bCs w:val="false"/>
                <w:color w:val="1E293B"/>
                <w:sz w:val="20"/>
                <w:szCs w:val="20"/>
              </w:rPr>
              <w:t xml:space="preserve">Workbox-based; injects manifest + service worker.</w:t>
            </w:r>
          </w:p>
        </w:tc>
      </w:tr>
      <w:tr>
        <w:tc>
          <w:tcPr>
            <w:tcW w:type="pct" w:w="18%"/>
          </w:tcPr>
          <w:p>
            <w:r>
              <w:rPr>
                <w:rFonts w:ascii="Calibri" w:cs="Calibri" w:eastAsia="Calibri" w:hAnsi="Calibri"/>
                <w:b w:val="false"/>
                <w:bCs w:val="false"/>
                <w:color w:val="1E293B"/>
                <w:sz w:val="20"/>
                <w:szCs w:val="20"/>
              </w:rPr>
              <w:t xml:space="preserve">Icons</w:t>
            </w:r>
          </w:p>
        </w:tc>
        <w:tc>
          <w:tcPr>
            <w:tcW w:type="pct" w:w="24%"/>
          </w:tcPr>
          <w:p>
            <w:r>
              <w:rPr>
                <w:rFonts w:ascii="Calibri" w:cs="Calibri" w:eastAsia="Calibri" w:hAnsi="Calibri"/>
                <w:b w:val="false"/>
                <w:bCs w:val="false"/>
                <w:color w:val="1E293B"/>
                <w:sz w:val="20"/>
                <w:szCs w:val="20"/>
              </w:rPr>
              <w:t xml:space="preserve">Lucide React</w:t>
            </w:r>
          </w:p>
        </w:tc>
        <w:tc>
          <w:tcPr>
            <w:tcW w:type="pct" w:w="58%"/>
          </w:tcPr>
          <w:p>
            <w:r>
              <w:rPr>
                <w:rFonts w:ascii="Calibri" w:cs="Calibri" w:eastAsia="Calibri" w:hAnsi="Calibri"/>
                <w:b w:val="false"/>
                <w:bCs w:val="false"/>
                <w:color w:val="1E293B"/>
                <w:sz w:val="20"/>
                <w:szCs w:val="20"/>
              </w:rPr>
              <w:t xml:space="preserve">Modern, consistent, tree-shaken.</w:t>
            </w:r>
          </w:p>
        </w:tc>
      </w:tr>
      <w:tr>
        <w:tc>
          <w:tcPr>
            <w:tcW w:type="pct" w:w="18%"/>
          </w:tcPr>
          <w:p>
            <w:r>
              <w:rPr>
                <w:rFonts w:ascii="Calibri" w:cs="Calibri" w:eastAsia="Calibri" w:hAnsi="Calibri"/>
                <w:b w:val="false"/>
                <w:bCs w:val="false"/>
                <w:color w:val="1E293B"/>
                <w:sz w:val="20"/>
                <w:szCs w:val="20"/>
              </w:rPr>
              <w:t xml:space="preserve">Animations</w:t>
            </w:r>
          </w:p>
        </w:tc>
        <w:tc>
          <w:tcPr>
            <w:tcW w:type="pct" w:w="24%"/>
          </w:tcPr>
          <w:p>
            <w:r>
              <w:rPr>
                <w:rFonts w:ascii="Calibri" w:cs="Calibri" w:eastAsia="Calibri" w:hAnsi="Calibri"/>
                <w:b w:val="false"/>
                <w:bCs w:val="false"/>
                <w:color w:val="1E293B"/>
                <w:sz w:val="20"/>
                <w:szCs w:val="20"/>
              </w:rPr>
              <w:t xml:space="preserve">Framer Motion</w:t>
            </w:r>
          </w:p>
        </w:tc>
        <w:tc>
          <w:tcPr>
            <w:tcW w:type="pct" w:w="58%"/>
          </w:tcPr>
          <w:p>
            <w:r>
              <w:rPr>
                <w:rFonts w:ascii="Calibri" w:cs="Calibri" w:eastAsia="Calibri" w:hAnsi="Calibri"/>
                <w:b w:val="false"/>
                <w:bCs w:val="false"/>
                <w:color w:val="1E293B"/>
                <w:sz w:val="20"/>
                <w:szCs w:val="20"/>
              </w:rPr>
              <w:t xml:space="preserve">Declarative; small bundle when tree-shaken.</w:t>
            </w:r>
          </w:p>
        </w:tc>
      </w:tr>
    </w:tbl>
    <w:p>
      <w:pPr>
        <w:spacing w:after="280"/>
        <w:jc w:val="center"/>
      </w:pPr>
      <w:r>
        <w:rPr>
          <w:rFonts w:ascii="Calibri" w:cs="Calibri" w:eastAsia="Calibri" w:hAnsi="Calibri"/>
          <w:i/>
          <w:iCs/>
          <w:color w:val="64748B"/>
          <w:sz w:val="18"/>
          <w:szCs w:val="18"/>
        </w:rPr>
        <w:t xml:space="preserve">Table 4.1 — Technology choices and their rationale.</w:t>
      </w:r>
    </w:p>
    <w:p>
      <w:pPr>
        <w:pStyle w:val="Heading2"/>
        <w:spacing w:after="200" w:before="360"/>
      </w:pPr>
      <w:r>
        <w:t xml:space="preserve">5.2  Project Organisation</w:t>
      </w:r>
    </w:p>
    <w:p>
      <w:pPr>
        <w:spacing w:after="160" w:line="300" w:lineRule="auto"/>
        <w:jc w:val="both"/>
      </w:pPr>
      <w:r>
        <w:rPr>
          <w:rFonts w:ascii="Calibri" w:cs="Calibri" w:eastAsia="Calibri" w:hAnsi="Calibri"/>
          <w:color w:val="1E293B"/>
          <w:sz w:val="22"/>
          <w:szCs w:val="22"/>
        </w:rPr>
        <w:t xml:space="preserve">The source code is organised in 53 files across the following structure:</w:t>
      </w:r>
    </w:p>
    <w:p>
      <w:pPr>
        <w:pStyle w:val="ListParagraph"/>
        <w:numPr>
          <w:ilvl w:val="0"/>
          <w:numId w:val="1"/>
        </w:numPr>
        <w:spacing w:after="80"/>
      </w:pPr>
      <w:r>
        <w:rPr>
          <w:rFonts w:ascii="Calibri" w:cs="Calibri" w:eastAsia="Calibri" w:hAnsi="Calibri"/>
          <w:sz w:val="22"/>
          <w:szCs w:val="22"/>
        </w:rPr>
        <w:t xml:space="preserve">src/App.jsx — top-level route table.</w:t>
      </w:r>
    </w:p>
    <w:p>
      <w:pPr>
        <w:pStyle w:val="ListParagraph"/>
        <w:numPr>
          <w:ilvl w:val="0"/>
          <w:numId w:val="1"/>
        </w:numPr>
        <w:spacing w:after="80"/>
      </w:pPr>
      <w:r>
        <w:rPr>
          <w:rFonts w:ascii="Calibri" w:cs="Calibri" w:eastAsia="Calibri" w:hAnsi="Calibri"/>
          <w:sz w:val="22"/>
          <w:szCs w:val="22"/>
        </w:rPr>
        <w:t xml:space="preserve">src/pages/ — page-level containers grouped by role (student/, lecturer/, staff/, admin/, parent/).</w:t>
      </w:r>
    </w:p>
    <w:p>
      <w:pPr>
        <w:pStyle w:val="ListParagraph"/>
        <w:numPr>
          <w:ilvl w:val="0"/>
          <w:numId w:val="1"/>
        </w:numPr>
        <w:spacing w:after="80"/>
      </w:pPr>
      <w:r>
        <w:rPr>
          <w:rFonts w:ascii="Calibri" w:cs="Calibri" w:eastAsia="Calibri" w:hAnsi="Calibri"/>
          <w:sz w:val="22"/>
          <w:szCs w:val="22"/>
        </w:rPr>
        <w:t xml:space="preserve">src/components/ — reusable building blocks (Logo, QRCode, Sidebar, Topbar, ProtectedRoute, CommandPalette, OfflineIndicator).</w:t>
      </w:r>
    </w:p>
    <w:p>
      <w:pPr>
        <w:pStyle w:val="ListParagraph"/>
        <w:numPr>
          <w:ilvl w:val="0"/>
          <w:numId w:val="1"/>
        </w:numPr>
        <w:spacing w:after="80"/>
      </w:pPr>
      <w:r>
        <w:rPr>
          <w:rFonts w:ascii="Calibri" w:cs="Calibri" w:eastAsia="Calibri" w:hAnsi="Calibri"/>
          <w:sz w:val="22"/>
          <w:szCs w:val="22"/>
        </w:rPr>
        <w:t xml:space="preserve">src/context/ — global React Context providers (AuthContext, DataContext).</w:t>
      </w:r>
    </w:p>
    <w:p>
      <w:pPr>
        <w:pStyle w:val="ListParagraph"/>
        <w:numPr>
          <w:ilvl w:val="0"/>
          <w:numId w:val="1"/>
        </w:numPr>
        <w:spacing w:after="80"/>
      </w:pPr>
      <w:r>
        <w:rPr>
          <w:rFonts w:ascii="Calibri" w:cs="Calibri" w:eastAsia="Calibri" w:hAnsi="Calibri"/>
          <w:sz w:val="22"/>
          <w:szCs w:val="22"/>
        </w:rPr>
        <w:t xml:space="preserve">src/lib/ — pure helpers (mockData.js, navItems.js, roles.js, firebase.js).</w:t>
      </w:r>
    </w:p>
    <w:p>
      <w:pPr>
        <w:pStyle w:val="ListParagraph"/>
        <w:numPr>
          <w:ilvl w:val="0"/>
          <w:numId w:val="1"/>
        </w:numPr>
        <w:spacing w:after="80"/>
      </w:pPr>
      <w:r>
        <w:rPr>
          <w:rFonts w:ascii="Calibri" w:cs="Calibri" w:eastAsia="Calibri" w:hAnsi="Calibri"/>
          <w:sz w:val="22"/>
          <w:szCs w:val="22"/>
        </w:rPr>
        <w:t xml:space="preserve">src/index.css + tailwind.config.js — design system.</w:t>
      </w:r>
    </w:p>
    <w:p>
      <w:pPr>
        <w:pStyle w:val="Heading2"/>
        <w:spacing w:after="200" w:before="360"/>
      </w:pPr>
      <w:r>
        <w:t xml:space="preserve">5.3  IUGET-Specific Implementation Details</w:t>
      </w:r>
    </w:p>
    <w:p>
      <w:pPr>
        <w:pStyle w:val="Heading3"/>
        <w:spacing w:after="160" w:before="280"/>
      </w:pPr>
      <w:r>
        <w:t xml:space="preserve">5.3.1  Three specialties</w:t>
      </w:r>
    </w:p>
    <w:p>
      <w:pPr>
        <w:spacing w:after="160" w:line="300" w:lineRule="auto"/>
        <w:jc w:val="both"/>
      </w:pPr>
      <w:r>
        <w:rPr>
          <w:rFonts w:ascii="Calibri" w:cs="Calibri" w:eastAsia="Calibri" w:hAnsi="Calibri"/>
          <w:color w:val="1E293B"/>
          <w:sz w:val="22"/>
          <w:szCs w:val="22"/>
        </w:rPr>
        <w:t xml:space="preserve">The Bachelor of Technology programme at IUGET Bonabéri runs three specialties in parallel on the same evening + Saturday grid. Each specialty has its own colour token, chip styling and curriculum highlights.</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0%"/>
            <w:shd w:fill="EFF4FF" w:color="auto" w:val="clear"/>
          </w:tcPr>
          <w:p>
            <w:r>
              <w:rPr>
                <w:rFonts w:ascii="Calibri" w:cs="Calibri" w:eastAsia="Calibri" w:hAnsi="Calibri"/>
                <w:b/>
                <w:bCs/>
                <w:color w:val="1E3AA0"/>
                <w:sz w:val="20"/>
                <w:szCs w:val="20"/>
              </w:rPr>
              <w:t xml:space="preserve">Code</w:t>
            </w:r>
          </w:p>
        </w:tc>
        <w:tc>
          <w:tcPr>
            <w:tcW w:type="pct" w:w="45%"/>
            <w:shd w:fill="EFF4FF" w:color="auto" w:val="clear"/>
          </w:tcPr>
          <w:p>
            <w:r>
              <w:rPr>
                <w:rFonts w:ascii="Calibri" w:cs="Calibri" w:eastAsia="Calibri" w:hAnsi="Calibri"/>
                <w:b/>
                <w:bCs/>
                <w:color w:val="1E3AA0"/>
                <w:sz w:val="20"/>
                <w:szCs w:val="20"/>
              </w:rPr>
              <w:t xml:space="preserve">Specialty</w:t>
            </w:r>
          </w:p>
        </w:tc>
        <w:tc>
          <w:tcPr>
            <w:tcW w:type="pct" w:w="45%"/>
            <w:shd w:fill="EFF4FF" w:color="auto" w:val="clear"/>
          </w:tcPr>
          <w:p>
            <w:r>
              <w:rPr>
                <w:rFonts w:ascii="Calibri" w:cs="Calibri" w:eastAsia="Calibri" w:hAnsi="Calibri"/>
                <w:b/>
                <w:bCs/>
                <w:color w:val="1E3AA0"/>
                <w:sz w:val="20"/>
                <w:szCs w:val="20"/>
              </w:rPr>
              <w:t xml:space="preserve">Indicative careers</w:t>
            </w:r>
          </w:p>
        </w:tc>
      </w:tr>
      <w:tr>
        <w:tc>
          <w:tcPr>
            <w:tcW w:type="pct" w:w="10%"/>
          </w:tcPr>
          <w:p>
            <w:r>
              <w:rPr>
                <w:rFonts w:ascii="Calibri" w:cs="Calibri" w:eastAsia="Calibri" w:hAnsi="Calibri"/>
                <w:b w:val="false"/>
                <w:bCs w:val="false"/>
                <w:color w:val="1E293B"/>
                <w:sz w:val="20"/>
                <w:szCs w:val="20"/>
              </w:rPr>
              <w:t xml:space="preserve">SWE</w:t>
            </w:r>
          </w:p>
        </w:tc>
        <w:tc>
          <w:tcPr>
            <w:tcW w:type="pct" w:w="45%"/>
          </w:tcPr>
          <w:p>
            <w:r>
              <w:rPr>
                <w:rFonts w:ascii="Calibri" w:cs="Calibri" w:eastAsia="Calibri" w:hAnsi="Calibri"/>
                <w:b w:val="false"/>
                <w:bCs w:val="false"/>
                <w:color w:val="1E293B"/>
                <w:sz w:val="20"/>
                <w:szCs w:val="20"/>
              </w:rPr>
              <w:t xml:space="preserve">Software Engineering</w:t>
            </w:r>
          </w:p>
        </w:tc>
        <w:tc>
          <w:tcPr>
            <w:tcW w:type="pct" w:w="45%"/>
          </w:tcPr>
          <w:p>
            <w:r>
              <w:rPr>
                <w:rFonts w:ascii="Calibri" w:cs="Calibri" w:eastAsia="Calibri" w:hAnsi="Calibri"/>
                <w:b w:val="false"/>
                <w:bCs w:val="false"/>
                <w:color w:val="1E293B"/>
                <w:sz w:val="20"/>
                <w:szCs w:val="20"/>
              </w:rPr>
              <w:t xml:space="preserve">Full-stack, mobile, cloud, DevOps.</w:t>
            </w:r>
          </w:p>
        </w:tc>
      </w:tr>
      <w:tr>
        <w:tc>
          <w:tcPr>
            <w:tcW w:type="pct" w:w="10%"/>
          </w:tcPr>
          <w:p>
            <w:r>
              <w:rPr>
                <w:rFonts w:ascii="Calibri" w:cs="Calibri" w:eastAsia="Calibri" w:hAnsi="Calibri"/>
                <w:b w:val="false"/>
                <w:bCs w:val="false"/>
                <w:color w:val="1E293B"/>
                <w:sz w:val="20"/>
                <w:szCs w:val="20"/>
              </w:rPr>
              <w:t xml:space="preserve">CNSM</w:t>
            </w:r>
          </w:p>
        </w:tc>
        <w:tc>
          <w:tcPr>
            <w:tcW w:type="pct" w:w="45%"/>
          </w:tcPr>
          <w:p>
            <w:r>
              <w:rPr>
                <w:rFonts w:ascii="Calibri" w:cs="Calibri" w:eastAsia="Calibri" w:hAnsi="Calibri"/>
                <w:b w:val="false"/>
                <w:bCs w:val="false"/>
                <w:color w:val="1E293B"/>
                <w:sz w:val="20"/>
                <w:szCs w:val="20"/>
              </w:rPr>
              <w:t xml:space="preserve">Computer Networks &amp; Multimedia Systems</w:t>
            </w:r>
          </w:p>
        </w:tc>
        <w:tc>
          <w:tcPr>
            <w:tcW w:type="pct" w:w="45%"/>
          </w:tcPr>
          <w:p>
            <w:r>
              <w:rPr>
                <w:rFonts w:ascii="Calibri" w:cs="Calibri" w:eastAsia="Calibri" w:hAnsi="Calibri"/>
                <w:b w:val="false"/>
                <w:bCs w:val="false"/>
                <w:color w:val="1E293B"/>
                <w:sz w:val="20"/>
                <w:szCs w:val="20"/>
              </w:rPr>
              <w:t xml:space="preserve">Network admin, cybersecurity, telecoms.</w:t>
            </w:r>
          </w:p>
        </w:tc>
      </w:tr>
      <w:tr>
        <w:tc>
          <w:tcPr>
            <w:tcW w:type="pct" w:w="10%"/>
          </w:tcPr>
          <w:p>
            <w:r>
              <w:rPr>
                <w:rFonts w:ascii="Calibri" w:cs="Calibri" w:eastAsia="Calibri" w:hAnsi="Calibri"/>
                <w:b w:val="false"/>
                <w:bCs w:val="false"/>
                <w:color w:val="1E293B"/>
                <w:sz w:val="20"/>
                <w:szCs w:val="20"/>
              </w:rPr>
              <w:t xml:space="preserve">BST</w:t>
            </w:r>
          </w:p>
        </w:tc>
        <w:tc>
          <w:tcPr>
            <w:tcW w:type="pct" w:w="45%"/>
          </w:tcPr>
          <w:p>
            <w:r>
              <w:rPr>
                <w:rFonts w:ascii="Calibri" w:cs="Calibri" w:eastAsia="Calibri" w:hAnsi="Calibri"/>
                <w:b w:val="false"/>
                <w:bCs w:val="false"/>
                <w:color w:val="1E293B"/>
                <w:sz w:val="20"/>
                <w:szCs w:val="20"/>
              </w:rPr>
              <w:t xml:space="preserve">Business Strategy &amp; Technology</w:t>
            </w:r>
          </w:p>
        </w:tc>
        <w:tc>
          <w:tcPr>
            <w:tcW w:type="pct" w:w="45%"/>
          </w:tcPr>
          <w:p>
            <w:r>
              <w:rPr>
                <w:rFonts w:ascii="Calibri" w:cs="Calibri" w:eastAsia="Calibri" w:hAnsi="Calibri"/>
                <w:b w:val="false"/>
                <w:bCs w:val="false"/>
                <w:color w:val="1E293B"/>
                <w:sz w:val="20"/>
                <w:szCs w:val="20"/>
              </w:rPr>
              <w:t xml:space="preserve">Analyst, project manager, entrepreneur.</w:t>
            </w:r>
          </w:p>
        </w:tc>
      </w:tr>
    </w:tbl>
    <w:p>
      <w:pPr>
        <w:spacing w:after="280"/>
        <w:jc w:val="center"/>
      </w:pPr>
      <w:r>
        <w:rPr>
          <w:rFonts w:ascii="Calibri" w:cs="Calibri" w:eastAsia="Calibri" w:hAnsi="Calibri"/>
          <w:i/>
          <w:iCs/>
          <w:color w:val="64748B"/>
          <w:sz w:val="18"/>
          <w:szCs w:val="18"/>
        </w:rPr>
        <w:t xml:space="preserve">Table 5.1 — IUGET specialties supported by SIARM.</w:t>
      </w:r>
    </w:p>
    <w:p>
      <w:pPr>
        <w:pStyle w:val="Heading3"/>
        <w:spacing w:after="160" w:before="280"/>
      </w:pPr>
      <w:r>
        <w:t xml:space="preserve">5.3.2  Lecturer-course assignments</w:t>
      </w:r>
    </w:p>
    <w:p>
      <w:pPr>
        <w:spacing w:after="160" w:line="300" w:lineRule="auto"/>
        <w:jc w:val="both"/>
      </w:pPr>
      <w:r>
        <w:rPr>
          <w:rFonts w:ascii="Calibri" w:cs="Calibri" w:eastAsia="Calibri" w:hAnsi="Calibri"/>
          <w:color w:val="1E293B"/>
          <w:sz w:val="22"/>
          <w:szCs w:val="22"/>
        </w:rPr>
        <w:t xml:space="preserve">The lecturer-course mapping reflects the actual IUGET Sixth Semester roster:</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40%"/>
            <w:shd w:fill="EFF4FF" w:color="auto" w:val="clear"/>
          </w:tcPr>
          <w:p>
            <w:r>
              <w:rPr>
                <w:rFonts w:ascii="Calibri" w:cs="Calibri" w:eastAsia="Calibri" w:hAnsi="Calibri"/>
                <w:b/>
                <w:bCs/>
                <w:color w:val="1E3AA0"/>
                <w:sz w:val="20"/>
                <w:szCs w:val="20"/>
              </w:rPr>
              <w:t xml:space="preserve">Course</w:t>
            </w:r>
          </w:p>
        </w:tc>
        <w:tc>
          <w:tcPr>
            <w:tcW w:type="pct" w:w="15%"/>
            <w:shd w:fill="EFF4FF" w:color="auto" w:val="clear"/>
          </w:tcPr>
          <w:p>
            <w:r>
              <w:rPr>
                <w:rFonts w:ascii="Calibri" w:cs="Calibri" w:eastAsia="Calibri" w:hAnsi="Calibri"/>
                <w:b/>
                <w:bCs/>
                <w:color w:val="1E3AA0"/>
                <w:sz w:val="20"/>
                <w:szCs w:val="20"/>
              </w:rPr>
              <w:t xml:space="preserve">Code</w:t>
            </w:r>
          </w:p>
        </w:tc>
        <w:tc>
          <w:tcPr>
            <w:tcW w:type="pct" w:w="45%"/>
            <w:shd w:fill="EFF4FF" w:color="auto" w:val="clear"/>
          </w:tcPr>
          <w:p>
            <w:r>
              <w:rPr>
                <w:rFonts w:ascii="Calibri" w:cs="Calibri" w:eastAsia="Calibri" w:hAnsi="Calibri"/>
                <w:b/>
                <w:bCs/>
                <w:color w:val="1E3AA0"/>
                <w:sz w:val="20"/>
                <w:szCs w:val="20"/>
              </w:rPr>
              <w:t xml:space="preserve">Lecturer</w:t>
            </w:r>
          </w:p>
        </w:tc>
      </w:tr>
      <w:tr>
        <w:tc>
          <w:tcPr>
            <w:tcW w:type="pct" w:w="40%"/>
          </w:tcPr>
          <w:p>
            <w:r>
              <w:rPr>
                <w:rFonts w:ascii="Calibri" w:cs="Calibri" w:eastAsia="Calibri" w:hAnsi="Calibri"/>
                <w:b w:val="false"/>
                <w:bCs w:val="false"/>
                <w:color w:val="1E293B"/>
                <w:sz w:val="20"/>
                <w:szCs w:val="20"/>
              </w:rPr>
              <w:t xml:space="preserve">Compiler Design</w:t>
            </w:r>
          </w:p>
        </w:tc>
        <w:tc>
          <w:tcPr>
            <w:tcW w:type="pct" w:w="15%"/>
          </w:tcPr>
          <w:p>
            <w:r>
              <w:rPr>
                <w:rFonts w:ascii="Calibri" w:cs="Calibri" w:eastAsia="Calibri" w:hAnsi="Calibri"/>
                <w:b w:val="false"/>
                <w:bCs w:val="false"/>
                <w:color w:val="1E293B"/>
                <w:sz w:val="20"/>
                <w:szCs w:val="20"/>
              </w:rPr>
              <w:t xml:space="preserve">CS501</w:t>
            </w:r>
          </w:p>
        </w:tc>
        <w:tc>
          <w:tcPr>
            <w:tcW w:type="pct" w:w="45%"/>
          </w:tcPr>
          <w:p>
            <w:r>
              <w:rPr>
                <w:rFonts w:ascii="Calibri" w:cs="Calibri" w:eastAsia="Calibri" w:hAnsi="Calibri"/>
                <w:b w:val="false"/>
                <w:bCs w:val="false"/>
                <w:color w:val="1E293B"/>
                <w:sz w:val="20"/>
                <w:szCs w:val="20"/>
              </w:rPr>
              <w:t xml:space="preserve">Mr Nkoma Ngouloure</w:t>
            </w:r>
          </w:p>
        </w:tc>
      </w:tr>
      <w:tr>
        <w:tc>
          <w:tcPr>
            <w:tcW w:type="pct" w:w="40%"/>
          </w:tcPr>
          <w:p>
            <w:r>
              <w:rPr>
                <w:rFonts w:ascii="Calibri" w:cs="Calibri" w:eastAsia="Calibri" w:hAnsi="Calibri"/>
                <w:b w:val="false"/>
                <w:bCs w:val="false"/>
                <w:color w:val="1E293B"/>
                <w:sz w:val="20"/>
                <w:szCs w:val="20"/>
              </w:rPr>
              <w:t xml:space="preserve">Research Methodology</w:t>
            </w:r>
          </w:p>
        </w:tc>
        <w:tc>
          <w:tcPr>
            <w:tcW w:type="pct" w:w="15%"/>
          </w:tcPr>
          <w:p>
            <w:r>
              <w:rPr>
                <w:rFonts w:ascii="Calibri" w:cs="Calibri" w:eastAsia="Calibri" w:hAnsi="Calibri"/>
                <w:b w:val="false"/>
                <w:bCs w:val="false"/>
                <w:color w:val="1E293B"/>
                <w:sz w:val="20"/>
                <w:szCs w:val="20"/>
              </w:rPr>
              <w:t xml:space="preserve">CS503</w:t>
            </w:r>
          </w:p>
        </w:tc>
        <w:tc>
          <w:tcPr>
            <w:tcW w:type="pct" w:w="45%"/>
          </w:tcPr>
          <w:p>
            <w:r>
              <w:rPr>
                <w:rFonts w:ascii="Calibri" w:cs="Calibri" w:eastAsia="Calibri" w:hAnsi="Calibri"/>
                <w:b w:val="false"/>
                <w:bCs w:val="false"/>
                <w:color w:val="1E293B"/>
                <w:sz w:val="20"/>
                <w:szCs w:val="20"/>
              </w:rPr>
              <w:t xml:space="preserve">Mr Nkoma Ngouloure</w:t>
            </w:r>
          </w:p>
        </w:tc>
      </w:tr>
      <w:tr>
        <w:tc>
          <w:tcPr>
            <w:tcW w:type="pct" w:w="40%"/>
          </w:tcPr>
          <w:p>
            <w:r>
              <w:rPr>
                <w:rFonts w:ascii="Calibri" w:cs="Calibri" w:eastAsia="Calibri" w:hAnsi="Calibri"/>
                <w:b w:val="false"/>
                <w:bCs w:val="false"/>
                <w:color w:val="1E293B"/>
                <w:sz w:val="20"/>
                <w:szCs w:val="20"/>
              </w:rPr>
              <w:t xml:space="preserve">Embedded Systems</w:t>
            </w:r>
          </w:p>
        </w:tc>
        <w:tc>
          <w:tcPr>
            <w:tcW w:type="pct" w:w="15%"/>
          </w:tcPr>
          <w:p>
            <w:r>
              <w:rPr>
                <w:rFonts w:ascii="Calibri" w:cs="Calibri" w:eastAsia="Calibri" w:hAnsi="Calibri"/>
                <w:b w:val="false"/>
                <w:bCs w:val="false"/>
                <w:color w:val="1E293B"/>
                <w:sz w:val="20"/>
                <w:szCs w:val="20"/>
              </w:rPr>
              <w:t xml:space="preserve">CS505</w:t>
            </w:r>
          </w:p>
        </w:tc>
        <w:tc>
          <w:tcPr>
            <w:tcW w:type="pct" w:w="45%"/>
          </w:tcPr>
          <w:p>
            <w:r>
              <w:rPr>
                <w:rFonts w:ascii="Calibri" w:cs="Calibri" w:eastAsia="Calibri" w:hAnsi="Calibri"/>
                <w:b w:val="false"/>
                <w:bCs w:val="false"/>
                <w:color w:val="1E293B"/>
                <w:sz w:val="20"/>
                <w:szCs w:val="20"/>
              </w:rPr>
              <w:t xml:space="preserve">Eng Fotseu Julien</w:t>
            </w:r>
          </w:p>
        </w:tc>
      </w:tr>
      <w:tr>
        <w:tc>
          <w:tcPr>
            <w:tcW w:type="pct" w:w="40%"/>
          </w:tcPr>
          <w:p>
            <w:r>
              <w:rPr>
                <w:rFonts w:ascii="Calibri" w:cs="Calibri" w:eastAsia="Calibri" w:hAnsi="Calibri"/>
                <w:b w:val="false"/>
                <w:bCs w:val="false"/>
                <w:color w:val="1E293B"/>
                <w:sz w:val="20"/>
                <w:szCs w:val="20"/>
              </w:rPr>
              <w:t xml:space="preserve">Mobile Development</w:t>
            </w:r>
          </w:p>
        </w:tc>
        <w:tc>
          <w:tcPr>
            <w:tcW w:type="pct" w:w="15%"/>
          </w:tcPr>
          <w:p>
            <w:r>
              <w:rPr>
                <w:rFonts w:ascii="Calibri" w:cs="Calibri" w:eastAsia="Calibri" w:hAnsi="Calibri"/>
                <w:b w:val="false"/>
                <w:bCs w:val="false"/>
                <w:color w:val="1E293B"/>
                <w:sz w:val="20"/>
                <w:szCs w:val="20"/>
              </w:rPr>
              <w:t xml:space="preserve">CS507</w:t>
            </w:r>
          </w:p>
        </w:tc>
        <w:tc>
          <w:tcPr>
            <w:tcW w:type="pct" w:w="45%"/>
          </w:tcPr>
          <w:p>
            <w:r>
              <w:rPr>
                <w:rFonts w:ascii="Calibri" w:cs="Calibri" w:eastAsia="Calibri" w:hAnsi="Calibri"/>
                <w:b w:val="false"/>
                <w:bCs w:val="false"/>
                <w:color w:val="1E293B"/>
                <w:sz w:val="20"/>
                <w:szCs w:val="20"/>
              </w:rPr>
              <w:t xml:space="preserve">Mr Smith Wills</w:t>
            </w:r>
          </w:p>
        </w:tc>
      </w:tr>
      <w:tr>
        <w:tc>
          <w:tcPr>
            <w:tcW w:type="pct" w:w="40%"/>
          </w:tcPr>
          <w:p>
            <w:r>
              <w:rPr>
                <w:rFonts w:ascii="Calibri" w:cs="Calibri" w:eastAsia="Calibri" w:hAnsi="Calibri"/>
                <w:b w:val="false"/>
                <w:bCs w:val="false"/>
                <w:color w:val="1E293B"/>
                <w:sz w:val="20"/>
                <w:szCs w:val="20"/>
              </w:rPr>
              <w:t xml:space="preserve">Design Project</w:t>
            </w:r>
          </w:p>
        </w:tc>
        <w:tc>
          <w:tcPr>
            <w:tcW w:type="pct" w:w="15%"/>
          </w:tcPr>
          <w:p>
            <w:r>
              <w:rPr>
                <w:rFonts w:ascii="Calibri" w:cs="Calibri" w:eastAsia="Calibri" w:hAnsi="Calibri"/>
                <w:b w:val="false"/>
                <w:bCs w:val="false"/>
                <w:color w:val="1E293B"/>
                <w:sz w:val="20"/>
                <w:szCs w:val="20"/>
              </w:rPr>
              <w:t xml:space="preserve">CS509</w:t>
            </w:r>
          </w:p>
        </w:tc>
        <w:tc>
          <w:tcPr>
            <w:tcW w:type="pct" w:w="45%"/>
          </w:tcPr>
          <w:p>
            <w:r>
              <w:rPr>
                <w:rFonts w:ascii="Calibri" w:cs="Calibri" w:eastAsia="Calibri" w:hAnsi="Calibri"/>
                <w:b w:val="false"/>
                <w:bCs w:val="false"/>
                <w:color w:val="1E293B"/>
                <w:sz w:val="20"/>
                <w:szCs w:val="20"/>
              </w:rPr>
              <w:t xml:space="preserve">Dr Romeo Mougnol</w:t>
            </w:r>
          </w:p>
        </w:tc>
      </w:tr>
      <w:tr>
        <w:tc>
          <w:tcPr>
            <w:tcW w:type="pct" w:w="40%"/>
          </w:tcPr>
          <w:p>
            <w:r>
              <w:rPr>
                <w:rFonts w:ascii="Calibri" w:cs="Calibri" w:eastAsia="Calibri" w:hAnsi="Calibri"/>
                <w:b w:val="false"/>
                <w:bCs w:val="false"/>
                <w:color w:val="1E293B"/>
                <w:sz w:val="20"/>
                <w:szCs w:val="20"/>
              </w:rPr>
              <w:t xml:space="preserve">Object Oriented Programming</w:t>
            </w:r>
          </w:p>
        </w:tc>
        <w:tc>
          <w:tcPr>
            <w:tcW w:type="pct" w:w="15%"/>
          </w:tcPr>
          <w:p>
            <w:r>
              <w:rPr>
                <w:rFonts w:ascii="Calibri" w:cs="Calibri" w:eastAsia="Calibri" w:hAnsi="Calibri"/>
                <w:b w:val="false"/>
                <w:bCs w:val="false"/>
                <w:color w:val="1E293B"/>
                <w:sz w:val="20"/>
                <w:szCs w:val="20"/>
              </w:rPr>
              <w:t xml:space="preserve">CS511</w:t>
            </w:r>
          </w:p>
        </w:tc>
        <w:tc>
          <w:tcPr>
            <w:tcW w:type="pct" w:w="45%"/>
          </w:tcPr>
          <w:p>
            <w:r>
              <w:rPr>
                <w:rFonts w:ascii="Calibri" w:cs="Calibri" w:eastAsia="Calibri" w:hAnsi="Calibri"/>
                <w:b w:val="false"/>
                <w:bCs w:val="false"/>
                <w:color w:val="1E293B"/>
                <w:sz w:val="20"/>
                <w:szCs w:val="20"/>
              </w:rPr>
              <w:t xml:space="preserve">Mr Asongafack Patrick</w:t>
            </w:r>
          </w:p>
        </w:tc>
      </w:tr>
    </w:tbl>
    <w:p>
      <w:pPr>
        <w:spacing w:after="280"/>
        <w:jc w:val="center"/>
      </w:pPr>
      <w:r>
        <w:rPr>
          <w:rFonts w:ascii="Calibri" w:cs="Calibri" w:eastAsia="Calibri" w:hAnsi="Calibri"/>
          <w:i/>
          <w:iCs/>
          <w:color w:val="64748B"/>
          <w:sz w:val="18"/>
          <w:szCs w:val="18"/>
        </w:rPr>
        <w:t xml:space="preserve">Table 5.2 — Lecturer–course assignments (Sixth Semester).</w:t>
      </w:r>
    </w:p>
    <w:p>
      <w:pPr>
        <w:pStyle w:val="Heading3"/>
        <w:spacing w:after="160" w:before="280"/>
      </w:pPr>
      <w:r>
        <w:t xml:space="preserve">5.3.3  Evening + Saturday schedule</w:t>
      </w:r>
    </w:p>
    <w:p>
      <w:pPr>
        <w:spacing w:after="160" w:line="300" w:lineRule="auto"/>
        <w:jc w:val="both"/>
      </w:pPr>
      <w:r>
        <w:rPr>
          <w:rFonts w:ascii="Calibri" w:cs="Calibri" w:eastAsia="Calibri" w:hAnsi="Calibri"/>
          <w:color w:val="1E293B"/>
          <w:sz w:val="22"/>
          <w:szCs w:val="22"/>
        </w:rPr>
        <w:t xml:space="preserve">The Bachelor section runs Monday to Friday from 18:00 to 22:00 and on Saturday from 08:00 to 17:00. The timetable schema explicitly distinguishes weekday slots from Saturday slots, and the rendering grid mirrors the printed IUGET timetable, with three columns per day (one per specialty) and a holiday row for institutional observances (e.g. Eid Al-Adha on 27 May 2026).</w:t>
      </w:r>
    </w:p>
    <w:p>
      <w:pPr>
        <w:pStyle w:val="Heading2"/>
        <w:spacing w:after="200" w:before="360"/>
      </w:pPr>
      <w:r>
        <w:t xml:space="preserve">5.4  Tuition Fee Structure</w:t>
      </w:r>
    </w:p>
    <w:p>
      <w:pPr>
        <w:spacing w:after="160" w:line="300" w:lineRule="auto"/>
        <w:jc w:val="both"/>
      </w:pPr>
      <w:r>
        <w:rPr>
          <w:rFonts w:ascii="Calibri" w:cs="Calibri" w:eastAsia="Calibri" w:hAnsi="Calibri"/>
          <w:color w:val="1E293B"/>
          <w:sz w:val="22"/>
          <w:szCs w:val="22"/>
        </w:rPr>
        <w:t xml:space="preserve">The tuition figures used in the demonstration follow the public IUGET fee schedule for the 2025/2026 academic year:</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FF4FF" w:color="auto" w:val="clear"/>
          </w:tcPr>
          <w:p>
            <w:r>
              <w:rPr>
                <w:rFonts w:ascii="Calibri" w:cs="Calibri" w:eastAsia="Calibri" w:hAnsi="Calibri"/>
                <w:b/>
                <w:bCs/>
                <w:color w:val="1E3AA0"/>
                <w:sz w:val="20"/>
                <w:szCs w:val="20"/>
              </w:rPr>
              <w:t xml:space="preserve">Line item</w:t>
            </w:r>
          </w:p>
        </w:tc>
        <w:tc>
          <w:tcPr>
            <w:tcW w:type="pct" w:w="50%"/>
            <w:shd w:fill="EFF4FF" w:color="auto" w:val="clear"/>
          </w:tcPr>
          <w:p>
            <w:r>
              <w:rPr>
                <w:rFonts w:ascii="Calibri" w:cs="Calibri" w:eastAsia="Calibri" w:hAnsi="Calibri"/>
                <w:b/>
                <w:bCs/>
                <w:color w:val="1E3AA0"/>
                <w:sz w:val="20"/>
                <w:szCs w:val="20"/>
              </w:rPr>
              <w:t xml:space="preserve">Amount (FCFA)</w:t>
            </w:r>
          </w:p>
        </w:tc>
      </w:tr>
      <w:tr>
        <w:tc>
          <w:tcPr>
            <w:tcW w:type="pct" w:w="50%"/>
          </w:tcPr>
          <w:p>
            <w:r>
              <w:rPr>
                <w:rFonts w:ascii="Calibri" w:cs="Calibri" w:eastAsia="Calibri" w:hAnsi="Calibri"/>
                <w:b w:val="false"/>
                <w:bCs w:val="false"/>
                <w:color w:val="1E293B"/>
                <w:sz w:val="20"/>
                <w:szCs w:val="20"/>
              </w:rPr>
              <w:t xml:space="preserve">Tuition</w:t>
            </w:r>
          </w:p>
        </w:tc>
        <w:tc>
          <w:tcPr>
            <w:tcW w:type="pct" w:w="50%"/>
          </w:tcPr>
          <w:p>
            <w:r>
              <w:rPr>
                <w:rFonts w:ascii="Calibri" w:cs="Calibri" w:eastAsia="Calibri" w:hAnsi="Calibri"/>
                <w:b w:val="false"/>
                <w:bCs w:val="false"/>
                <w:color w:val="1E293B"/>
                <w:sz w:val="20"/>
                <w:szCs w:val="20"/>
              </w:rPr>
              <w:t xml:space="preserve">450,000</w:t>
            </w:r>
          </w:p>
        </w:tc>
      </w:tr>
      <w:tr>
        <w:tc>
          <w:tcPr>
            <w:tcW w:type="pct" w:w="50%"/>
          </w:tcPr>
          <w:p>
            <w:r>
              <w:rPr>
                <w:rFonts w:ascii="Calibri" w:cs="Calibri" w:eastAsia="Calibri" w:hAnsi="Calibri"/>
                <w:b w:val="false"/>
                <w:bCs w:val="false"/>
                <w:color w:val="1E293B"/>
                <w:sz w:val="20"/>
                <w:szCs w:val="20"/>
              </w:rPr>
              <w:t xml:space="preserve">Registration</w:t>
            </w:r>
          </w:p>
        </w:tc>
        <w:tc>
          <w:tcPr>
            <w:tcW w:type="pct" w:w="50%"/>
          </w:tcPr>
          <w:p>
            <w:r>
              <w:rPr>
                <w:rFonts w:ascii="Calibri" w:cs="Calibri" w:eastAsia="Calibri" w:hAnsi="Calibri"/>
                <w:b w:val="false"/>
                <w:bCs w:val="false"/>
                <w:color w:val="1E293B"/>
                <w:sz w:val="20"/>
                <w:szCs w:val="20"/>
              </w:rPr>
              <w:t xml:space="preserve">25,000</w:t>
            </w:r>
          </w:p>
        </w:tc>
      </w:tr>
      <w:tr>
        <w:tc>
          <w:tcPr>
            <w:tcW w:type="pct" w:w="50%"/>
          </w:tcPr>
          <w:p>
            <w:r>
              <w:rPr>
                <w:rFonts w:ascii="Calibri" w:cs="Calibri" w:eastAsia="Calibri" w:hAnsi="Calibri"/>
                <w:b w:val="false"/>
                <w:bCs w:val="false"/>
                <w:color w:val="1E293B"/>
                <w:sz w:val="20"/>
                <w:szCs w:val="20"/>
              </w:rPr>
              <w:t xml:space="preserve">Examination</w:t>
            </w:r>
          </w:p>
        </w:tc>
        <w:tc>
          <w:tcPr>
            <w:tcW w:type="pct" w:w="50%"/>
          </w:tcPr>
          <w:p>
            <w:r>
              <w:rPr>
                <w:rFonts w:ascii="Calibri" w:cs="Calibri" w:eastAsia="Calibri" w:hAnsi="Calibri"/>
                <w:b w:val="false"/>
                <w:bCs w:val="false"/>
                <w:color w:val="1E293B"/>
                <w:sz w:val="20"/>
                <w:szCs w:val="20"/>
              </w:rPr>
              <w:t xml:space="preserve">15,000</w:t>
            </w:r>
          </w:p>
        </w:tc>
      </w:tr>
      <w:tr>
        <w:tc>
          <w:tcPr>
            <w:tcW w:type="pct" w:w="50%"/>
          </w:tcPr>
          <w:p>
            <w:r>
              <w:rPr>
                <w:rFonts w:ascii="Calibri" w:cs="Calibri" w:eastAsia="Calibri" w:hAnsi="Calibri"/>
                <w:b w:val="false"/>
                <w:bCs w:val="false"/>
                <w:color w:val="1E293B"/>
                <w:sz w:val="20"/>
                <w:szCs w:val="20"/>
              </w:rPr>
              <w:t xml:space="preserve">Library</w:t>
            </w:r>
          </w:p>
        </w:tc>
        <w:tc>
          <w:tcPr>
            <w:tcW w:type="pct" w:w="50%"/>
          </w:tcPr>
          <w:p>
            <w:r>
              <w:rPr>
                <w:rFonts w:ascii="Calibri" w:cs="Calibri" w:eastAsia="Calibri" w:hAnsi="Calibri"/>
                <w:b w:val="false"/>
                <w:bCs w:val="false"/>
                <w:color w:val="1E293B"/>
                <w:sz w:val="20"/>
                <w:szCs w:val="20"/>
              </w:rPr>
              <w:t xml:space="preserve">8,000</w:t>
            </w:r>
          </w:p>
        </w:tc>
      </w:tr>
      <w:tr>
        <w:tc>
          <w:tcPr>
            <w:tcW w:type="pct" w:w="50%"/>
          </w:tcPr>
          <w:p>
            <w:r>
              <w:rPr>
                <w:rFonts w:ascii="Calibri" w:cs="Calibri" w:eastAsia="Calibri" w:hAnsi="Calibri"/>
                <w:b w:val="false"/>
                <w:bCs w:val="false"/>
                <w:color w:val="1E293B"/>
                <w:sz w:val="20"/>
                <w:szCs w:val="20"/>
              </w:rPr>
              <w:t xml:space="preserve">Student Union</w:t>
            </w:r>
          </w:p>
        </w:tc>
        <w:tc>
          <w:tcPr>
            <w:tcW w:type="pct" w:w="50%"/>
          </w:tcPr>
          <w:p>
            <w:r>
              <w:rPr>
                <w:rFonts w:ascii="Calibri" w:cs="Calibri" w:eastAsia="Calibri" w:hAnsi="Calibri"/>
                <w:b w:val="false"/>
                <w:bCs w:val="false"/>
                <w:color w:val="1E293B"/>
                <w:sz w:val="20"/>
                <w:szCs w:val="20"/>
              </w:rPr>
              <w:t xml:space="preserve">2,000</w:t>
            </w:r>
          </w:p>
        </w:tc>
      </w:tr>
      <w:tr>
        <w:tc>
          <w:tcPr>
            <w:tcW w:type="pct" w:w="50%"/>
          </w:tcPr>
          <w:p>
            <w:r>
              <w:rPr>
                <w:rFonts w:ascii="Calibri" w:cs="Calibri" w:eastAsia="Calibri" w:hAnsi="Calibri"/>
                <w:b w:val="false"/>
                <w:bCs w:val="false"/>
                <w:color w:val="1E293B"/>
                <w:sz w:val="20"/>
                <w:szCs w:val="20"/>
              </w:rPr>
              <w:t xml:space="preserve">TOTAL</w:t>
            </w:r>
          </w:p>
        </w:tc>
        <w:tc>
          <w:tcPr>
            <w:tcW w:type="pct" w:w="50%"/>
          </w:tcPr>
          <w:p>
            <w:r>
              <w:rPr>
                <w:rFonts w:ascii="Calibri" w:cs="Calibri" w:eastAsia="Calibri" w:hAnsi="Calibri"/>
                <w:b w:val="false"/>
                <w:bCs w:val="false"/>
                <w:color w:val="1E293B"/>
                <w:sz w:val="20"/>
                <w:szCs w:val="20"/>
              </w:rPr>
              <w:t xml:space="preserve">500,000</w:t>
            </w:r>
          </w:p>
        </w:tc>
      </w:tr>
    </w:tbl>
    <w:p>
      <w:pPr>
        <w:spacing w:after="280"/>
        <w:jc w:val="center"/>
      </w:pPr>
      <w:r>
        <w:rPr>
          <w:rFonts w:ascii="Calibri" w:cs="Calibri" w:eastAsia="Calibri" w:hAnsi="Calibri"/>
          <w:i/>
          <w:iCs/>
          <w:color w:val="64748B"/>
          <w:sz w:val="18"/>
          <w:szCs w:val="18"/>
        </w:rPr>
        <w:t xml:space="preserve">Table 5.3 — Tuition fee breakdown per academic year.</w:t>
      </w:r>
    </w:p>
    <w:p>
      <w:pPr>
        <w:pStyle w:val="Heading2"/>
        <w:spacing w:after="200" w:before="360"/>
      </w:pPr>
      <w:r>
        <w:t xml:space="preserve">5.5  The Parent Portal</w:t>
      </w:r>
    </w:p>
    <w:p>
      <w:pPr>
        <w:spacing w:after="160" w:line="300" w:lineRule="auto"/>
        <w:jc w:val="both"/>
      </w:pPr>
      <w:r>
        <w:rPr>
          <w:rFonts w:ascii="Calibri" w:cs="Calibri" w:eastAsia="Calibri" w:hAnsi="Calibri"/>
          <w:color w:val="1E293B"/>
          <w:sz w:val="22"/>
          <w:szCs w:val="22"/>
        </w:rPr>
        <w:t xml:space="preserve">The Parent Portal is the public surface of SIARM and the entry point for new students. It is reachable at /parent without any account. The portal is intentionally designed in the style of a printed admission flyer: large hero, three specialty cards, an admissions calendar, and a fees-and-payment-options panel.</w:t>
      </w:r>
    </w:p>
    <w:p>
      <w:pPr>
        <w:spacing w:after="1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5.1 — Parent registration flow.</w:t>
      </w:r>
    </w:p>
    <w:p>
      <w:pPr>
        <w:spacing w:after="160" w:line="300" w:lineRule="auto"/>
        <w:jc w:val="both"/>
      </w:pPr>
      <w:r>
        <w:rPr>
          <w:rFonts w:ascii="Calibri" w:cs="Calibri" w:eastAsia="Calibri" w:hAnsi="Calibri"/>
          <w:color w:val="1E293B"/>
          <w:sz w:val="22"/>
          <w:szCs w:val="22"/>
        </w:rPr>
        <w:t xml:space="preserve">A parent who clicks "Register your child" enters a five-step wizard:</w:t>
      </w:r>
    </w:p>
    <w:p>
      <w:pPr>
        <w:pStyle w:val="ListParagraph"/>
        <w:numPr>
          <w:ilvl w:val="0"/>
          <w:numId w:val="1"/>
        </w:numPr>
        <w:spacing w:after="80"/>
      </w:pPr>
      <w:r>
        <w:rPr>
          <w:rFonts w:ascii="Calibri" w:cs="Calibri" w:eastAsia="Calibri" w:hAnsi="Calibri"/>
          <w:sz w:val="22"/>
          <w:szCs w:val="22"/>
        </w:rPr>
        <w:t xml:space="preserve">Parent details — name, relationship, phone, email, address.</w:t>
      </w:r>
    </w:p>
    <w:p>
      <w:pPr>
        <w:pStyle w:val="ListParagraph"/>
        <w:numPr>
          <w:ilvl w:val="0"/>
          <w:numId w:val="1"/>
        </w:numPr>
        <w:spacing w:after="80"/>
      </w:pPr>
      <w:r>
        <w:rPr>
          <w:rFonts w:ascii="Calibri" w:cs="Calibri" w:eastAsia="Calibri" w:hAnsi="Calibri"/>
          <w:sz w:val="22"/>
          <w:szCs w:val="22"/>
        </w:rPr>
        <w:t xml:space="preserve">Child details — name, date of birth, sex, nationality, previous school, GCE Advanced Level average.</w:t>
      </w:r>
    </w:p>
    <w:p>
      <w:pPr>
        <w:pStyle w:val="ListParagraph"/>
        <w:numPr>
          <w:ilvl w:val="0"/>
          <w:numId w:val="1"/>
        </w:numPr>
        <w:spacing w:after="80"/>
      </w:pPr>
      <w:r>
        <w:rPr>
          <w:rFonts w:ascii="Calibri" w:cs="Calibri" w:eastAsia="Calibri" w:hAnsi="Calibri"/>
          <w:sz w:val="22"/>
          <w:szCs w:val="22"/>
        </w:rPr>
        <w:t xml:space="preserve">Specialty + entry level — three cards (SWE, CNSM, BST) plus a level chooser (1, 2 or 3).</w:t>
      </w:r>
    </w:p>
    <w:p>
      <w:pPr>
        <w:pStyle w:val="ListParagraph"/>
        <w:numPr>
          <w:ilvl w:val="0"/>
          <w:numId w:val="1"/>
        </w:numPr>
        <w:spacing w:after="80"/>
      </w:pPr>
      <w:r>
        <w:rPr>
          <w:rFonts w:ascii="Calibri" w:cs="Calibri" w:eastAsia="Calibri" w:hAnsi="Calibri"/>
          <w:sz w:val="22"/>
          <w:szCs w:val="22"/>
        </w:rPr>
        <w:t xml:space="preserve">Review and pay — three summary blocks (parent, child, programme, tuition), a five-card payment chooser, and an explicit privacy banner.</w:t>
      </w:r>
    </w:p>
    <w:p>
      <w:pPr>
        <w:pStyle w:val="ListParagraph"/>
        <w:numPr>
          <w:ilvl w:val="0"/>
          <w:numId w:val="1"/>
        </w:numPr>
        <w:spacing w:after="80"/>
      </w:pPr>
      <w:r>
        <w:rPr>
          <w:rFonts w:ascii="Calibri" w:cs="Calibri" w:eastAsia="Calibri" w:hAnsi="Calibri"/>
          <w:sz w:val="22"/>
          <w:szCs w:val="22"/>
        </w:rPr>
        <w:t xml:space="preserve">Confirmation — a printable receipt with the automatically-generated matricule, university email, initial password, payment reference, and a QR verification code.</w:t>
      </w:r>
    </w:p>
    <w:p>
      <w:pPr>
        <w:pStyle w:val="Heading2"/>
        <w:spacing w:after="200" w:before="360"/>
      </w:pPr>
      <w:r>
        <w:t xml:space="preserve">5.6  Tuition Payment Simulation</w:t>
      </w:r>
    </w:p>
    <w:p>
      <w:pPr>
        <w:spacing w:after="160" w:line="300" w:lineRule="auto"/>
        <w:jc w:val="both"/>
      </w:pPr>
      <w:r>
        <w:rPr>
          <w:rFonts w:ascii="Calibri" w:cs="Calibri" w:eastAsia="Calibri" w:hAnsi="Calibri"/>
          <w:color w:val="1E293B"/>
          <w:sz w:val="22"/>
          <w:szCs w:val="22"/>
        </w:rPr>
        <w:t xml:space="preserve">The platform supports five payment channels, each with its own authentic-looking modal. The pipeline is the same across all five — credentials, processing, success, receipt — but the credentials pane changes per channel.</w:t>
      </w:r>
    </w:p>
    <w:p>
      <w:pPr>
        <w:spacing w:after="1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5.2 — Tuition payment simulation across the five channels.</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FF4FF" w:color="auto" w:val="clear"/>
          </w:tcPr>
          <w:p>
            <w:r>
              <w:rPr>
                <w:rFonts w:ascii="Calibri" w:cs="Calibri" w:eastAsia="Calibri" w:hAnsi="Calibri"/>
                <w:b/>
                <w:bCs/>
                <w:color w:val="1E3AA0"/>
                <w:sz w:val="20"/>
                <w:szCs w:val="20"/>
              </w:rPr>
              <w:t xml:space="preserve">Channel</w:t>
            </w:r>
          </w:p>
        </w:tc>
        <w:tc>
          <w:tcPr>
            <w:tcW w:type="pct" w:w="50%"/>
            <w:shd w:fill="EFF4FF" w:color="auto" w:val="clear"/>
          </w:tcPr>
          <w:p>
            <w:r>
              <w:rPr>
                <w:rFonts w:ascii="Calibri" w:cs="Calibri" w:eastAsia="Calibri" w:hAnsi="Calibri"/>
                <w:b/>
                <w:bCs/>
                <w:color w:val="1E3AA0"/>
                <w:sz w:val="20"/>
                <w:szCs w:val="20"/>
              </w:rPr>
              <w:t xml:space="preserve">Credentials pane</w:t>
            </w:r>
          </w:p>
        </w:tc>
        <w:tc>
          <w:tcPr>
            <w:tcW w:type="pct" w:w="28%"/>
            <w:shd w:fill="EFF4FF" w:color="auto" w:val="clear"/>
          </w:tcPr>
          <w:p>
            <w:r>
              <w:rPr>
                <w:rFonts w:ascii="Calibri" w:cs="Calibri" w:eastAsia="Calibri" w:hAnsi="Calibri"/>
                <w:b/>
                <w:bCs/>
                <w:color w:val="1E3AA0"/>
                <w:sz w:val="20"/>
                <w:szCs w:val="20"/>
              </w:rPr>
              <w:t xml:space="preserve">USSD / URL</w:t>
            </w:r>
          </w:p>
        </w:tc>
      </w:tr>
      <w:tr>
        <w:tc>
          <w:tcPr>
            <w:tcW w:type="pct" w:w="22%"/>
          </w:tcPr>
          <w:p>
            <w:r>
              <w:rPr>
                <w:rFonts w:ascii="Calibri" w:cs="Calibri" w:eastAsia="Calibri" w:hAnsi="Calibri"/>
                <w:b w:val="false"/>
                <w:bCs w:val="false"/>
                <w:color w:val="1E293B"/>
                <w:sz w:val="20"/>
                <w:szCs w:val="20"/>
              </w:rPr>
              <w:t xml:space="preserve">MTN Mobile Money</w:t>
            </w:r>
          </w:p>
        </w:tc>
        <w:tc>
          <w:tcPr>
            <w:tcW w:type="pct" w:w="50%"/>
          </w:tcPr>
          <w:p>
            <w:r>
              <w:rPr>
                <w:rFonts w:ascii="Calibri" w:cs="Calibri" w:eastAsia="Calibri" w:hAnsi="Calibri"/>
                <w:b w:val="false"/>
                <w:bCs w:val="false"/>
                <w:color w:val="1E293B"/>
                <w:sz w:val="20"/>
                <w:szCs w:val="20"/>
              </w:rPr>
              <w:t xml:space="preserve">Phone (9 digits) + 4-6-digit PIN, USSD-styled.</w:t>
            </w:r>
          </w:p>
        </w:tc>
        <w:tc>
          <w:tcPr>
            <w:tcW w:type="pct" w:w="28%"/>
          </w:tcPr>
          <w:p>
            <w:r>
              <w:rPr>
                <w:rFonts w:ascii="Calibri" w:cs="Calibri" w:eastAsia="Calibri" w:hAnsi="Calibri"/>
                <w:b w:val="false"/>
                <w:bCs w:val="false"/>
                <w:color w:val="1E293B"/>
                <w:sz w:val="20"/>
                <w:szCs w:val="20"/>
              </w:rPr>
              <w:t xml:space="preserve">*126#</w:t>
            </w:r>
          </w:p>
        </w:tc>
      </w:tr>
      <w:tr>
        <w:tc>
          <w:tcPr>
            <w:tcW w:type="pct" w:w="22%"/>
          </w:tcPr>
          <w:p>
            <w:r>
              <w:rPr>
                <w:rFonts w:ascii="Calibri" w:cs="Calibri" w:eastAsia="Calibri" w:hAnsi="Calibri"/>
                <w:b w:val="false"/>
                <w:bCs w:val="false"/>
                <w:color w:val="1E293B"/>
                <w:sz w:val="20"/>
                <w:szCs w:val="20"/>
              </w:rPr>
              <w:t xml:space="preserve">Orange Money</w:t>
            </w:r>
          </w:p>
        </w:tc>
        <w:tc>
          <w:tcPr>
            <w:tcW w:type="pct" w:w="50%"/>
          </w:tcPr>
          <w:p>
            <w:r>
              <w:rPr>
                <w:rFonts w:ascii="Calibri" w:cs="Calibri" w:eastAsia="Calibri" w:hAnsi="Calibri"/>
                <w:b w:val="false"/>
                <w:bCs w:val="false"/>
                <w:color w:val="1E293B"/>
                <w:sz w:val="20"/>
                <w:szCs w:val="20"/>
              </w:rPr>
              <w:t xml:space="preserve">Phone (9 digits) + 4-digit PIN, USSD-styled.</w:t>
            </w:r>
          </w:p>
        </w:tc>
        <w:tc>
          <w:tcPr>
            <w:tcW w:type="pct" w:w="28%"/>
          </w:tcPr>
          <w:p>
            <w:r>
              <w:rPr>
                <w:rFonts w:ascii="Calibri" w:cs="Calibri" w:eastAsia="Calibri" w:hAnsi="Calibri"/>
                <w:b w:val="false"/>
                <w:bCs w:val="false"/>
                <w:color w:val="1E293B"/>
                <w:sz w:val="20"/>
                <w:szCs w:val="20"/>
              </w:rPr>
              <w:t xml:space="preserve">#150*4#</w:t>
            </w:r>
          </w:p>
        </w:tc>
      </w:tr>
      <w:tr>
        <w:tc>
          <w:tcPr>
            <w:tcW w:type="pct" w:w="22%"/>
          </w:tcPr>
          <w:p>
            <w:r>
              <w:rPr>
                <w:rFonts w:ascii="Calibri" w:cs="Calibri" w:eastAsia="Calibri" w:hAnsi="Calibri"/>
                <w:b w:val="false"/>
                <w:bCs w:val="false"/>
                <w:color w:val="1E293B"/>
                <w:sz w:val="20"/>
                <w:szCs w:val="20"/>
              </w:rPr>
              <w:t xml:space="preserve">PayPal</w:t>
            </w:r>
          </w:p>
        </w:tc>
        <w:tc>
          <w:tcPr>
            <w:tcW w:type="pct" w:w="50%"/>
          </w:tcPr>
          <w:p>
            <w:r>
              <w:rPr>
                <w:rFonts w:ascii="Calibri" w:cs="Calibri" w:eastAsia="Calibri" w:hAnsi="Calibri"/>
                <w:b w:val="false"/>
                <w:bCs w:val="false"/>
                <w:color w:val="1E293B"/>
                <w:sz w:val="20"/>
                <w:szCs w:val="20"/>
              </w:rPr>
              <w:t xml:space="preserve">Pre-filled email + password, USD conversion shown.</w:t>
            </w:r>
          </w:p>
        </w:tc>
        <w:tc>
          <w:tcPr>
            <w:tcW w:type="pct" w:w="28%"/>
          </w:tcPr>
          <w:p>
            <w:r>
              <w:rPr>
                <w:rFonts w:ascii="Calibri" w:cs="Calibri" w:eastAsia="Calibri" w:hAnsi="Calibri"/>
                <w:b w:val="false"/>
                <w:bCs w:val="false"/>
                <w:color w:val="1E293B"/>
                <w:sz w:val="20"/>
                <w:szCs w:val="20"/>
              </w:rPr>
              <w:t xml:space="preserve">paypal.com/iuget</w:t>
            </w:r>
          </w:p>
        </w:tc>
      </w:tr>
      <w:tr>
        <w:tc>
          <w:tcPr>
            <w:tcW w:type="pct" w:w="22%"/>
          </w:tcPr>
          <w:p>
            <w:r>
              <w:rPr>
                <w:rFonts w:ascii="Calibri" w:cs="Calibri" w:eastAsia="Calibri" w:hAnsi="Calibri"/>
                <w:b w:val="false"/>
                <w:bCs w:val="false"/>
                <w:color w:val="1E293B"/>
                <w:sz w:val="20"/>
                <w:szCs w:val="20"/>
              </w:rPr>
              <w:t xml:space="preserve">Visa / Mastercard</w:t>
            </w:r>
          </w:p>
        </w:tc>
        <w:tc>
          <w:tcPr>
            <w:tcW w:type="pct" w:w="50%"/>
          </w:tcPr>
          <w:p>
            <w:r>
              <w:rPr>
                <w:rFonts w:ascii="Calibri" w:cs="Calibri" w:eastAsia="Calibri" w:hAnsi="Calibri"/>
                <w:b w:val="false"/>
                <w:bCs w:val="false"/>
                <w:color w:val="1E293B"/>
                <w:sz w:val="20"/>
                <w:szCs w:val="20"/>
              </w:rPr>
              <w:t xml:space="preserve">Card number + expiry + CVC + 3-D Secure OTP.</w:t>
            </w:r>
          </w:p>
        </w:tc>
        <w:tc>
          <w:tcPr>
            <w:tcW w:type="pct" w:w="28%"/>
          </w:tcPr>
          <w:p>
            <w:r>
              <w:rPr>
                <w:rFonts w:ascii="Calibri" w:cs="Calibri" w:eastAsia="Calibri" w:hAnsi="Calibri"/>
                <w:b w:val="false"/>
                <w:bCs w:val="false"/>
                <w:color w:val="1E293B"/>
                <w:sz w:val="20"/>
                <w:szCs w:val="20"/>
              </w:rPr>
              <w:t xml:space="preserve">3-D Secure</w:t>
            </w:r>
          </w:p>
        </w:tc>
      </w:tr>
      <w:tr>
        <w:tc>
          <w:tcPr>
            <w:tcW w:type="pct" w:w="22%"/>
          </w:tcPr>
          <w:p>
            <w:r>
              <w:rPr>
                <w:rFonts w:ascii="Calibri" w:cs="Calibri" w:eastAsia="Calibri" w:hAnsi="Calibri"/>
                <w:b w:val="false"/>
                <w:bCs w:val="false"/>
                <w:color w:val="1E293B"/>
                <w:sz w:val="20"/>
                <w:szCs w:val="20"/>
              </w:rPr>
              <w:t xml:space="preserve">Bank transfer</w:t>
            </w:r>
          </w:p>
        </w:tc>
        <w:tc>
          <w:tcPr>
            <w:tcW w:type="pct" w:w="50%"/>
          </w:tcPr>
          <w:p>
            <w:r>
              <w:rPr>
                <w:rFonts w:ascii="Calibri" w:cs="Calibri" w:eastAsia="Calibri" w:hAnsi="Calibri"/>
                <w:b w:val="false"/>
                <w:bCs w:val="false"/>
                <w:color w:val="1E293B"/>
                <w:sz w:val="20"/>
                <w:szCs w:val="20"/>
              </w:rPr>
              <w:t xml:space="preserve">IUGET Afriland First Bank details with copy.</w:t>
            </w:r>
          </w:p>
        </w:tc>
        <w:tc>
          <w:tcPr>
            <w:tcW w:type="pct" w:w="28%"/>
          </w:tcPr>
          <w:p>
            <w:r>
              <w:rPr>
                <w:rFonts w:ascii="Calibri" w:cs="Calibri" w:eastAsia="Calibri" w:hAnsi="Calibri"/>
                <w:b w:val="false"/>
                <w:bCs w:val="false"/>
                <w:color w:val="1E293B"/>
                <w:sz w:val="20"/>
                <w:szCs w:val="20"/>
              </w:rPr>
              <w:t xml:space="preserve">IBAN CM21…</w:t>
            </w:r>
          </w:p>
        </w:tc>
      </w:tr>
    </w:tbl>
    <w:p>
      <w:pPr>
        <w:spacing w:after="280"/>
        <w:jc w:val="center"/>
      </w:pPr>
      <w:r>
        <w:rPr>
          <w:rFonts w:ascii="Calibri" w:cs="Calibri" w:eastAsia="Calibri" w:hAnsi="Calibri"/>
          <w:i/>
          <w:iCs/>
          <w:color w:val="64748B"/>
          <w:sz w:val="18"/>
          <w:szCs w:val="18"/>
        </w:rPr>
        <w:t xml:space="preserve">Table 5.4 — Payment methods and their behaviour.</w:t>
      </w:r>
    </w:p>
    <w:p>
      <w:pPr>
        <w:spacing w:after="160" w:line="300" w:lineRule="auto"/>
        <w:jc w:val="both"/>
      </w:pPr>
      <w:r>
        <w:rPr>
          <w:rFonts w:ascii="Calibri" w:cs="Calibri" w:eastAsia="Calibri" w:hAnsi="Calibri"/>
          <w:color w:val="1E293B"/>
          <w:sz w:val="22"/>
          <w:szCs w:val="22"/>
        </w:rPr>
        <w:t xml:space="preserve">Two design choices deserve attention. First, the USSD-style screen for MoMo and OM uses a dark-terminal aesthetic with green-on-black monospace text to faithfully reproduce the mobile-phone feedback parents see. Second, the privacy guarantee is operationalised as code: immediately after the simulated provider call, the local pwd React state is reset to empty string, ensuring no credential survives in memory.</w:t>
      </w:r>
    </w:p>
    <w:p>
      <w:pPr>
        <w:pStyle w:val="Heading2"/>
        <w:spacing w:after="200" w:before="360"/>
      </w:pPr>
      <w:r>
        <w:t xml:space="preserve">5.7  Automated Student Enrolment</w:t>
      </w:r>
    </w:p>
    <w:p>
      <w:pPr>
        <w:spacing w:after="160" w:line="300" w:lineRule="auto"/>
        <w:jc w:val="both"/>
      </w:pPr>
      <w:r>
        <w:rPr>
          <w:rFonts w:ascii="Calibri" w:cs="Calibri" w:eastAsia="Calibri" w:hAnsi="Calibri"/>
          <w:color w:val="1E293B"/>
          <w:sz w:val="22"/>
          <w:szCs w:val="22"/>
        </w:rPr>
        <w:t xml:space="preserve">The /staff/enrollment route (mirrored at /admin/enrollment) offers two complementary modes for adding students:</w:t>
      </w:r>
    </w:p>
    <w:p>
      <w:pPr>
        <w:spacing w:after="1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5.3 — Automated student enrolment pipeline.</w:t>
      </w:r>
    </w:p>
    <w:p>
      <w:pPr>
        <w:pStyle w:val="ListParagraph"/>
        <w:numPr>
          <w:ilvl w:val="0"/>
          <w:numId w:val="1"/>
        </w:numPr>
        <w:spacing w:after="80"/>
      </w:pPr>
      <w:r>
        <w:rPr>
          <w:rFonts w:ascii="Calibri" w:cs="Calibri" w:eastAsia="Calibri" w:hAnsi="Calibri"/>
          <w:sz w:val="22"/>
          <w:szCs w:val="22"/>
        </w:rPr>
        <w:t xml:space="preserve">Single-student form — staff enters the student's details and selects specialty/level. On submit, six artefacts are created: matricule (IUGET/YYYY/SPEC/####), university email, login account, ID card record, tuition account (500,000 FCFA), and timetable mapping.</w:t>
      </w:r>
    </w:p>
    <w:p>
      <w:pPr>
        <w:pStyle w:val="ListParagraph"/>
        <w:numPr>
          <w:ilvl w:val="0"/>
          <w:numId w:val="1"/>
        </w:numPr>
        <w:spacing w:after="80"/>
      </w:pPr>
      <w:r>
        <w:rPr>
          <w:rFonts w:ascii="Calibri" w:cs="Calibri" w:eastAsia="Calibri" w:hAnsi="Calibri"/>
          <w:sz w:val="22"/>
          <w:szCs w:val="22"/>
        </w:rPr>
        <w:t xml:space="preserve">Bulk CSV upload — staff downloads a template, fills it offline, and uploads. A progress bar animates as each row is processed; newly-created accounts can be exported back as CSV with matricule and initial password for distribution.</w:t>
      </w:r>
    </w:p>
    <w:p>
      <w:pPr>
        <w:pStyle w:val="Heading2"/>
        <w:spacing w:after="200" w:before="360"/>
      </w:pPr>
      <w:r>
        <w:t xml:space="preserve">5.8  Financial Tracking Dashboard</w:t>
      </w:r>
    </w:p>
    <w:p>
      <w:pPr>
        <w:spacing w:after="160" w:line="300" w:lineRule="auto"/>
        <w:jc w:val="both"/>
      </w:pPr>
      <w:r>
        <w:rPr>
          <w:rFonts w:ascii="Calibri" w:cs="Calibri" w:eastAsia="Calibri" w:hAnsi="Calibri"/>
          <w:color w:val="1E293B"/>
          <w:sz w:val="22"/>
          <w:szCs w:val="22"/>
        </w:rPr>
        <w:t xml:space="preserve">The /staff/finance and /admin/finance routes provide real-time tuition collection views. Four KPI cards show headline numbers (collected, outstanding, fully-paid, recovery rate). A monthly trend area chart compares actual vs target; a pie chart shows distribution across channels. A filterable transaction table supports drill-down by method, specialty, status, or reference, with CSV and PDF export.</w:t>
      </w:r>
    </w:p>
    <w:p>
      <w:pPr>
        <w:pStyle w:val="Heading2"/>
        <w:spacing w:after="200" w:before="360"/>
      </w:pPr>
      <w:r>
        <w:t xml:space="preserve">5.9  Printable Academic Artefacts</w:t>
      </w:r>
    </w:p>
    <w:p>
      <w:pPr>
        <w:spacing w:after="160" w:line="300" w:lineRule="auto"/>
        <w:jc w:val="both"/>
      </w:pPr>
      <w:r>
        <w:rPr>
          <w:rFonts w:ascii="Calibri" w:cs="Calibri" w:eastAsia="Calibri" w:hAnsi="Calibri"/>
          <w:color w:val="1E293B"/>
          <w:sz w:val="22"/>
          <w:szCs w:val="22"/>
        </w:rPr>
        <w:t xml:space="preserve">Four documents render as PDF: registration receipt, results statement, official transcript, and student ID card. Each carries the IUGET letterhead, the institutional motto, and a QR code resolving to verify.iuget.cm/{type}/{matricule}. The QR generator uses a deterministic 21×21 cell matrix seeded from the document key.</w:t>
      </w:r>
    </w:p>
    <w:p>
      <w:pPr>
        <w:pStyle w:val="Heading2"/>
        <w:spacing w:after="200" w:before="360"/>
      </w:pPr>
      <w:r>
        <w:t xml:space="preserve">5.10  Offline Shell (PWA)</w:t>
      </w:r>
    </w:p>
    <w:p>
      <w:pPr>
        <w:spacing w:after="160" w:line="300" w:lineRule="auto"/>
        <w:jc w:val="both"/>
      </w:pPr>
      <w:r>
        <w:rPr>
          <w:rFonts w:ascii="Calibri" w:cs="Calibri" w:eastAsia="Calibri" w:hAnsi="Calibri"/>
          <w:color w:val="1E293B"/>
          <w:sz w:val="22"/>
          <w:szCs w:val="22"/>
        </w:rPr>
        <w:t xml:space="preserve">The app is packaged as a PWA via vite-plugin-pwa. The service worker pre-caches ~2 MB on first visit; subsequent visits work offline. An OfflineIndicator displays an amber banner when connectivity drops and an emerald toast when restored. The PWA installs on Android, iOS, and desktop Chromium.</w:t>
      </w:r>
    </w:p>
    <w:p>
      <w:pPr>
        <w:pStyle w:val="Heading2"/>
        <w:spacing w:after="200" w:before="360"/>
      </w:pPr>
      <w:r>
        <w:t xml:space="preserve">5.11  Command Palette</w:t>
      </w:r>
    </w:p>
    <w:p>
      <w:pPr>
        <w:spacing w:after="160" w:line="300" w:lineRule="auto"/>
        <w:jc w:val="both"/>
      </w:pPr>
      <w:r>
        <w:rPr>
          <w:rFonts w:ascii="Calibri" w:cs="Calibri" w:eastAsia="Calibri" w:hAnsi="Calibri"/>
          <w:color w:val="1E293B"/>
          <w:sz w:val="22"/>
          <w:szCs w:val="22"/>
        </w:rPr>
        <w:t xml:space="preserve">A global Command Palette (⌘K / Ctrl+K) is role-aware: students see Pay tuition and Print ID card; staff see Tuition tracking and Enrol new student. Shortcut hints (G T, G F) accelerate repeated tasks.</w:t>
      </w:r>
    </w:p>
    <w:p>
      <w:pPr>
        <w:pStyle w:val="Heading1"/>
        <w:pageBreakBefore/>
        <w:spacing w:after="240" w:before="480"/>
      </w:pPr>
      <w:r>
        <w:t xml:space="preserve">Chapter 5 bis — Agile Methodology</w:t>
      </w:r>
    </w:p>
    <w:p>
      <w:pPr>
        <w:pStyle w:val="Heading2"/>
        <w:spacing w:after="200" w:before="360"/>
      </w:pPr>
      <w:r>
        <w:t xml:space="preserve">5b.1  Why Agile, not Waterfall</w:t>
      </w:r>
    </w:p>
    <w:p>
      <w:pPr>
        <w:spacing w:after="160" w:line="300" w:lineRule="auto"/>
        <w:jc w:val="both"/>
      </w:pPr>
      <w:r>
        <w:rPr>
          <w:rFonts w:ascii="Calibri" w:cs="Calibri" w:eastAsia="Calibri" w:hAnsi="Calibri"/>
          <w:color w:val="1E293B"/>
          <w:sz w:val="22"/>
          <w:szCs w:val="22"/>
        </w:rPr>
        <w:t xml:space="preserve">Three properties of the SIARM project made an Agile approach the obvious choice. First, the requirements were known to be evolving — the registrar's feedback regularly changed the priority order of the backlog, and a locked specification would have grown stale within two weeks. Second, the customer (the IUGET administration) needed to see working software to give credible feedback. Third, the academic deadline was fixed: whatever existed on the defence date had to be defensible, which is best achieved by shipping a working increment every week.</w:t>
      </w:r>
    </w:p>
    <w:p>
      <w:pPr>
        <w:spacing w:after="160" w:line="300" w:lineRule="auto"/>
        <w:jc w:val="both"/>
      </w:pPr>
      <w:r>
        <w:rPr>
          <w:rFonts w:ascii="Calibri" w:cs="Calibri" w:eastAsia="Calibri" w:hAnsi="Calibri"/>
          <w:color w:val="1E293B"/>
          <w:sz w:val="22"/>
          <w:szCs w:val="22"/>
        </w:rPr>
        <w:t xml:space="preserve">The exact methodology adopted is best described as Scrumban — Scrum-style cadence (one-week sprints with planning, mid-sprint check, and end-of-sprint review and retrospective) combined with Kanban-style flow management (a single board with WIP limits, five columns: Backlog, To Do, In Progress, Review, Done).</w:t>
      </w:r>
    </w:p>
    <w:p>
      <w:pPr>
        <w:pStyle w:val="Heading2"/>
        <w:spacing w:after="200" w:before="360"/>
      </w:pPr>
      <w:r>
        <w:t xml:space="preserve">5b.2  The Agile Manifesto, applied to SIARM</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FF4FF" w:color="auto" w:val="clear"/>
          </w:tcPr>
          <w:p>
            <w:r>
              <w:rPr>
                <w:rFonts w:ascii="Calibri" w:cs="Calibri" w:eastAsia="Calibri" w:hAnsi="Calibri"/>
                <w:b/>
                <w:bCs/>
                <w:color w:val="1E3AA0"/>
                <w:sz w:val="20"/>
                <w:szCs w:val="20"/>
              </w:rPr>
              <w:t xml:space="preserve">Manifesto value</w:t>
            </w:r>
          </w:p>
        </w:tc>
        <w:tc>
          <w:tcPr>
            <w:tcW w:type="pct" w:w="70%"/>
            <w:shd w:fill="EFF4FF" w:color="auto" w:val="clear"/>
          </w:tcPr>
          <w:p>
            <w:r>
              <w:rPr>
                <w:rFonts w:ascii="Calibri" w:cs="Calibri" w:eastAsia="Calibri" w:hAnsi="Calibri"/>
                <w:b/>
                <w:bCs/>
                <w:color w:val="1E3AA0"/>
                <w:sz w:val="20"/>
                <w:szCs w:val="20"/>
              </w:rPr>
              <w:t xml:space="preserve">How SIARM honoured it</w:t>
            </w:r>
          </w:p>
        </w:tc>
      </w:tr>
      <w:tr>
        <w:tc>
          <w:tcPr>
            <w:tcW w:type="pct" w:w="30%"/>
          </w:tcPr>
          <w:p>
            <w:r>
              <w:rPr>
                <w:rFonts w:ascii="Calibri" w:cs="Calibri" w:eastAsia="Calibri" w:hAnsi="Calibri"/>
                <w:b w:val="false"/>
                <w:bCs w:val="false"/>
                <w:color w:val="1E293B"/>
                <w:sz w:val="20"/>
                <w:szCs w:val="20"/>
              </w:rPr>
              <w:t xml:space="preserve">Individuals &amp; interactions</w:t>
            </w:r>
          </w:p>
        </w:tc>
        <w:tc>
          <w:tcPr>
            <w:tcW w:type="pct" w:w="70%"/>
          </w:tcPr>
          <w:p>
            <w:r>
              <w:rPr>
                <w:rFonts w:ascii="Calibri" w:cs="Calibri" w:eastAsia="Calibri" w:hAnsi="Calibri"/>
                <w:b w:val="false"/>
                <w:bCs w:val="false"/>
                <w:color w:val="1E293B"/>
                <w:sz w:val="20"/>
                <w:szCs w:val="20"/>
              </w:rPr>
              <w:t xml:space="preserve">Weekly demos to two classmates and one administrative staff member were the single biggest driver of design changes.</w:t>
            </w:r>
          </w:p>
        </w:tc>
      </w:tr>
      <w:tr>
        <w:tc>
          <w:tcPr>
            <w:tcW w:type="pct" w:w="30%"/>
          </w:tcPr>
          <w:p>
            <w:r>
              <w:rPr>
                <w:rFonts w:ascii="Calibri" w:cs="Calibri" w:eastAsia="Calibri" w:hAnsi="Calibri"/>
                <w:b w:val="false"/>
                <w:bCs w:val="false"/>
                <w:color w:val="1E293B"/>
                <w:sz w:val="20"/>
                <w:szCs w:val="20"/>
              </w:rPr>
              <w:t xml:space="preserve">Working software</w:t>
            </w:r>
          </w:p>
        </w:tc>
        <w:tc>
          <w:tcPr>
            <w:tcW w:type="pct" w:w="70%"/>
          </w:tcPr>
          <w:p>
            <w:r>
              <w:rPr>
                <w:rFonts w:ascii="Calibri" w:cs="Calibri" w:eastAsia="Calibri" w:hAnsi="Calibri"/>
                <w:b w:val="false"/>
                <w:bCs w:val="false"/>
                <w:color w:val="1E293B"/>
                <w:sz w:val="20"/>
                <w:szCs w:val="20"/>
              </w:rPr>
              <w:t xml:space="preserve">Each sprint ended with a build that ran. The report was written after the working code was demonstrable.</w:t>
            </w:r>
          </w:p>
        </w:tc>
      </w:tr>
      <w:tr>
        <w:tc>
          <w:tcPr>
            <w:tcW w:type="pct" w:w="30%"/>
          </w:tcPr>
          <w:p>
            <w:r>
              <w:rPr>
                <w:rFonts w:ascii="Calibri" w:cs="Calibri" w:eastAsia="Calibri" w:hAnsi="Calibri"/>
                <w:b w:val="false"/>
                <w:bCs w:val="false"/>
                <w:color w:val="1E293B"/>
                <w:sz w:val="20"/>
                <w:szCs w:val="20"/>
              </w:rPr>
              <w:t xml:space="preserve">Customer collaboration</w:t>
            </w:r>
          </w:p>
        </w:tc>
        <w:tc>
          <w:tcPr>
            <w:tcW w:type="pct" w:w="70%"/>
          </w:tcPr>
          <w:p>
            <w:r>
              <w:rPr>
                <w:rFonts w:ascii="Calibri" w:cs="Calibri" w:eastAsia="Calibri" w:hAnsi="Calibri"/>
                <w:b w:val="false"/>
                <w:bCs w:val="false"/>
                <w:color w:val="1E293B"/>
                <w:sz w:val="20"/>
                <w:szCs w:val="20"/>
              </w:rPr>
              <w:t xml:space="preserve">The IUGET registrar acted as the proxy product owner. Her insistence that parents must be able to pay without an account became the founding requirement of the Parent Portal.</w:t>
            </w:r>
          </w:p>
        </w:tc>
      </w:tr>
      <w:tr>
        <w:tc>
          <w:tcPr>
            <w:tcW w:type="pct" w:w="30%"/>
          </w:tcPr>
          <w:p>
            <w:r>
              <w:rPr>
                <w:rFonts w:ascii="Calibri" w:cs="Calibri" w:eastAsia="Calibri" w:hAnsi="Calibri"/>
                <w:b w:val="false"/>
                <w:bCs w:val="false"/>
                <w:color w:val="1E293B"/>
                <w:sz w:val="20"/>
                <w:szCs w:val="20"/>
              </w:rPr>
              <w:t xml:space="preserve">Responding to change</w:t>
            </w:r>
          </w:p>
        </w:tc>
        <w:tc>
          <w:tcPr>
            <w:tcW w:type="pct" w:w="70%"/>
          </w:tcPr>
          <w:p>
            <w:r>
              <w:rPr>
                <w:rFonts w:ascii="Calibri" w:cs="Calibri" w:eastAsia="Calibri" w:hAnsi="Calibri"/>
                <w:b w:val="false"/>
                <w:bCs w:val="false"/>
                <w:color w:val="1E293B"/>
                <w:sz w:val="20"/>
                <w:szCs w:val="20"/>
              </w:rPr>
              <w:t xml:space="preserve">The original 15-module roadmap grew to 21 modules because the author chose to act on feedback rather than refuse it.</w:t>
            </w:r>
          </w:p>
        </w:tc>
      </w:tr>
    </w:tbl>
    <w:p>
      <w:pPr>
        <w:spacing w:after="280"/>
        <w:jc w:val="center"/>
      </w:pPr>
      <w:r>
        <w:rPr>
          <w:rFonts w:ascii="Calibri" w:cs="Calibri" w:eastAsia="Calibri" w:hAnsi="Calibri"/>
          <w:i/>
          <w:iCs/>
          <w:color w:val="64748B"/>
          <w:sz w:val="18"/>
          <w:szCs w:val="18"/>
        </w:rPr>
        <w:t xml:space="preserve">Table 5b.1 — Agile Manifesto values honoured.</w:t>
      </w:r>
    </w:p>
    <w:p>
      <w:pPr>
        <w:pStyle w:val="Heading2"/>
        <w:spacing w:after="200" w:before="360"/>
      </w:pPr>
      <w:r>
        <w:t xml:space="preserve">5b.3  Scrumban — solo-developer adaptation</w:t>
      </w:r>
    </w:p>
    <w:p>
      <w:pPr>
        <w:spacing w:after="160" w:line="300" w:lineRule="auto"/>
        <w:jc w:val="both"/>
      </w:pPr>
      <w:r>
        <w:rPr>
          <w:rFonts w:ascii="Calibri" w:cs="Calibri" w:eastAsia="Calibri" w:hAnsi="Calibri"/>
          <w:color w:val="1E293B"/>
          <w:sz w:val="22"/>
          <w:szCs w:val="22"/>
        </w:rPr>
        <w:t xml:space="preserve">Pure Scrum prescribes three distinct roles (Product Owner, Scrum Master, Development Team). A solo project necessarily collapses these roles onto one person, which is unusual and worth flagging.</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FF4FF" w:color="auto" w:val="clear"/>
          </w:tcPr>
          <w:p>
            <w:r>
              <w:rPr>
                <w:rFonts w:ascii="Calibri" w:cs="Calibri" w:eastAsia="Calibri" w:hAnsi="Calibri"/>
                <w:b/>
                <w:bCs/>
                <w:color w:val="1E3AA0"/>
                <w:sz w:val="20"/>
                <w:szCs w:val="20"/>
              </w:rPr>
              <w:t xml:space="preserve">Scrum role</w:t>
            </w:r>
          </w:p>
        </w:tc>
        <w:tc>
          <w:tcPr>
            <w:tcW w:type="pct" w:w="38%"/>
            <w:shd w:fill="EFF4FF" w:color="auto" w:val="clear"/>
          </w:tcPr>
          <w:p>
            <w:r>
              <w:rPr>
                <w:rFonts w:ascii="Calibri" w:cs="Calibri" w:eastAsia="Calibri" w:hAnsi="Calibri"/>
                <w:b/>
                <w:bCs/>
                <w:color w:val="1E3AA0"/>
                <w:sz w:val="20"/>
                <w:szCs w:val="20"/>
              </w:rPr>
              <w:t xml:space="preserve">Played by</w:t>
            </w:r>
          </w:p>
        </w:tc>
        <w:tc>
          <w:tcPr>
            <w:tcW w:type="pct" w:w="40%"/>
            <w:shd w:fill="EFF4FF" w:color="auto" w:val="clear"/>
          </w:tcPr>
          <w:p>
            <w:r>
              <w:rPr>
                <w:rFonts w:ascii="Calibri" w:cs="Calibri" w:eastAsia="Calibri" w:hAnsi="Calibri"/>
                <w:b/>
                <w:bCs/>
                <w:color w:val="1E3AA0"/>
                <w:sz w:val="20"/>
                <w:szCs w:val="20"/>
              </w:rPr>
              <w:t xml:space="preserve">Adaptation</w:t>
            </w:r>
          </w:p>
        </w:tc>
      </w:tr>
      <w:tr>
        <w:tc>
          <w:tcPr>
            <w:tcW w:type="pct" w:w="22%"/>
          </w:tcPr>
          <w:p>
            <w:r>
              <w:rPr>
                <w:rFonts w:ascii="Calibri" w:cs="Calibri" w:eastAsia="Calibri" w:hAnsi="Calibri"/>
                <w:b w:val="false"/>
                <w:bCs w:val="false"/>
                <w:color w:val="1E293B"/>
                <w:sz w:val="20"/>
                <w:szCs w:val="20"/>
              </w:rPr>
              <w:t xml:space="preserve">Product Owner</w:t>
            </w:r>
          </w:p>
        </w:tc>
        <w:tc>
          <w:tcPr>
            <w:tcW w:type="pct" w:w="38%"/>
          </w:tcPr>
          <w:p>
            <w:r>
              <w:rPr>
                <w:rFonts w:ascii="Calibri" w:cs="Calibri" w:eastAsia="Calibri" w:hAnsi="Calibri"/>
                <w:b w:val="false"/>
                <w:bCs w:val="false"/>
                <w:color w:val="1E293B"/>
                <w:sz w:val="20"/>
                <w:szCs w:val="20"/>
              </w:rPr>
              <w:t xml:space="preserve">Author + IUGET registrar (proxy customer)</w:t>
            </w:r>
          </w:p>
        </w:tc>
        <w:tc>
          <w:tcPr>
            <w:tcW w:type="pct" w:w="40%"/>
          </w:tcPr>
          <w:p>
            <w:r>
              <w:rPr>
                <w:rFonts w:ascii="Calibri" w:cs="Calibri" w:eastAsia="Calibri" w:hAnsi="Calibri"/>
                <w:b w:val="false"/>
                <w:bCs w:val="false"/>
                <w:color w:val="1E293B"/>
                <w:sz w:val="20"/>
                <w:szCs w:val="20"/>
              </w:rPr>
              <w:t xml:space="preserve">Registrar's feedback dictated priority; author maintained the backlog.</w:t>
            </w:r>
          </w:p>
        </w:tc>
      </w:tr>
      <w:tr>
        <w:tc>
          <w:tcPr>
            <w:tcW w:type="pct" w:w="22%"/>
          </w:tcPr>
          <w:p>
            <w:r>
              <w:rPr>
                <w:rFonts w:ascii="Calibri" w:cs="Calibri" w:eastAsia="Calibri" w:hAnsi="Calibri"/>
                <w:b w:val="false"/>
                <w:bCs w:val="false"/>
                <w:color w:val="1E293B"/>
                <w:sz w:val="20"/>
                <w:szCs w:val="20"/>
              </w:rPr>
              <w:t xml:space="preserve">Scrum Master</w:t>
            </w:r>
          </w:p>
        </w:tc>
        <w:tc>
          <w:tcPr>
            <w:tcW w:type="pct" w:w="38%"/>
          </w:tcPr>
          <w:p>
            <w:r>
              <w:rPr>
                <w:rFonts w:ascii="Calibri" w:cs="Calibri" w:eastAsia="Calibri" w:hAnsi="Calibri"/>
                <w:b w:val="false"/>
                <w:bCs w:val="false"/>
                <w:color w:val="1E293B"/>
                <w:sz w:val="20"/>
                <w:szCs w:val="20"/>
              </w:rPr>
              <w:t xml:space="preserve">Author</w:t>
            </w:r>
          </w:p>
        </w:tc>
        <w:tc>
          <w:tcPr>
            <w:tcW w:type="pct" w:w="40%"/>
          </w:tcPr>
          <w:p>
            <w:r>
              <w:rPr>
                <w:rFonts w:ascii="Calibri" w:cs="Calibri" w:eastAsia="Calibri" w:hAnsi="Calibri"/>
                <w:b w:val="false"/>
                <w:bCs w:val="false"/>
                <w:color w:val="1E293B"/>
                <w:sz w:val="20"/>
                <w:szCs w:val="20"/>
              </w:rPr>
              <w:t xml:space="preserve">Replaced daily stand-ups with a written plan-of-the-day; weekly retrospective.</w:t>
            </w:r>
          </w:p>
        </w:tc>
      </w:tr>
      <w:tr>
        <w:tc>
          <w:tcPr>
            <w:tcW w:type="pct" w:w="22%"/>
          </w:tcPr>
          <w:p>
            <w:r>
              <w:rPr>
                <w:rFonts w:ascii="Calibri" w:cs="Calibri" w:eastAsia="Calibri" w:hAnsi="Calibri"/>
                <w:b w:val="false"/>
                <w:bCs w:val="false"/>
                <w:color w:val="1E293B"/>
                <w:sz w:val="20"/>
                <w:szCs w:val="20"/>
              </w:rPr>
              <w:t xml:space="preserve">Development Team</w:t>
            </w:r>
          </w:p>
        </w:tc>
        <w:tc>
          <w:tcPr>
            <w:tcW w:type="pct" w:w="38%"/>
          </w:tcPr>
          <w:p>
            <w:r>
              <w:rPr>
                <w:rFonts w:ascii="Calibri" w:cs="Calibri" w:eastAsia="Calibri" w:hAnsi="Calibri"/>
                <w:b w:val="false"/>
                <w:bCs w:val="false"/>
                <w:color w:val="1E293B"/>
                <w:sz w:val="20"/>
                <w:szCs w:val="20"/>
              </w:rPr>
              <w:t xml:space="preserve">Author</w:t>
            </w:r>
          </w:p>
        </w:tc>
        <w:tc>
          <w:tcPr>
            <w:tcW w:type="pct" w:w="40%"/>
          </w:tcPr>
          <w:p>
            <w:r>
              <w:rPr>
                <w:rFonts w:ascii="Calibri" w:cs="Calibri" w:eastAsia="Calibri" w:hAnsi="Calibri"/>
                <w:b w:val="false"/>
                <w:bCs w:val="false"/>
                <w:color w:val="1E293B"/>
                <w:sz w:val="20"/>
                <w:szCs w:val="20"/>
              </w:rPr>
              <w:t xml:space="preserve">One developer, full-stack.</w:t>
            </w:r>
          </w:p>
        </w:tc>
      </w:tr>
    </w:tbl>
    <w:p>
      <w:pPr>
        <w:spacing w:after="280"/>
        <w:jc w:val="center"/>
      </w:pPr>
      <w:r>
        <w:rPr>
          <w:rFonts w:ascii="Calibri" w:cs="Calibri" w:eastAsia="Calibri" w:hAnsi="Calibri"/>
          <w:i/>
          <w:iCs/>
          <w:color w:val="64748B"/>
          <w:sz w:val="18"/>
          <w:szCs w:val="18"/>
        </w:rPr>
        <w:t xml:space="preserve">Table 5b.2 — Scrum roles in a solo-developer Agile.</w:t>
      </w:r>
    </w:p>
    <w:p>
      <w:pPr>
        <w:pStyle w:val="Heading2"/>
        <w:spacing w:after="200" w:before="360"/>
      </w:pPr>
      <w:r>
        <w:t xml:space="preserve">5b.4  Definition of Done</w:t>
      </w:r>
    </w:p>
    <w:p>
      <w:pPr>
        <w:spacing w:after="160" w:line="300" w:lineRule="auto"/>
        <w:jc w:val="both"/>
      </w:pPr>
      <w:r>
        <w:rPr>
          <w:rFonts w:ascii="Calibri" w:cs="Calibri" w:eastAsia="Calibri" w:hAnsi="Calibri"/>
          <w:color w:val="1E293B"/>
          <w:sz w:val="22"/>
          <w:szCs w:val="22"/>
        </w:rPr>
        <w:t xml:space="preserve">A story is considered Done only when all the following criteria are met:</w:t>
      </w:r>
    </w:p>
    <w:p>
      <w:pPr>
        <w:pStyle w:val="ListParagraph"/>
        <w:numPr>
          <w:ilvl w:val="0"/>
          <w:numId w:val="1"/>
        </w:numPr>
        <w:spacing w:after="80"/>
      </w:pPr>
      <w:r>
        <w:rPr>
          <w:rFonts w:ascii="Calibri" w:cs="Calibri" w:eastAsia="Calibri" w:hAnsi="Calibri"/>
          <w:sz w:val="22"/>
          <w:szCs w:val="22"/>
        </w:rPr>
        <w:t xml:space="preserve">The user-story acceptance criteria are met.</w:t>
      </w:r>
    </w:p>
    <w:p>
      <w:pPr>
        <w:pStyle w:val="ListParagraph"/>
        <w:numPr>
          <w:ilvl w:val="0"/>
          <w:numId w:val="1"/>
        </w:numPr>
        <w:spacing w:after="80"/>
      </w:pPr>
      <w:r>
        <w:rPr>
          <w:rFonts w:ascii="Calibri" w:cs="Calibri" w:eastAsia="Calibri" w:hAnsi="Calibri"/>
          <w:sz w:val="22"/>
          <w:szCs w:val="22"/>
        </w:rPr>
        <w:t xml:space="preserve">The implementation is visible in the running application under DEMO_MODE without external services.</w:t>
      </w:r>
    </w:p>
    <w:p>
      <w:pPr>
        <w:pStyle w:val="ListParagraph"/>
        <w:numPr>
          <w:ilvl w:val="0"/>
          <w:numId w:val="1"/>
        </w:numPr>
        <w:spacing w:after="80"/>
      </w:pPr>
      <w:r>
        <w:rPr>
          <w:rFonts w:ascii="Calibri" w:cs="Calibri" w:eastAsia="Calibri" w:hAnsi="Calibri"/>
          <w:sz w:val="22"/>
          <w:szCs w:val="22"/>
        </w:rPr>
        <w:t xml:space="preserve">The page renders without console errors on Chrome, Firefox, Edge and Safari.</w:t>
      </w:r>
    </w:p>
    <w:p>
      <w:pPr>
        <w:pStyle w:val="ListParagraph"/>
        <w:numPr>
          <w:ilvl w:val="0"/>
          <w:numId w:val="1"/>
        </w:numPr>
        <w:spacing w:after="80"/>
      </w:pPr>
      <w:r>
        <w:rPr>
          <w:rFonts w:ascii="Calibri" w:cs="Calibri" w:eastAsia="Calibri" w:hAnsi="Calibri"/>
          <w:sz w:val="22"/>
          <w:szCs w:val="22"/>
        </w:rPr>
        <w:t xml:space="preserve">User-facing strings are translated into both English and French (from Sprint 6 onwards).</w:t>
      </w:r>
    </w:p>
    <w:p>
      <w:pPr>
        <w:pStyle w:val="ListParagraph"/>
        <w:numPr>
          <w:ilvl w:val="0"/>
          <w:numId w:val="1"/>
        </w:numPr>
        <w:spacing w:after="80"/>
      </w:pPr>
      <w:r>
        <w:rPr>
          <w:rFonts w:ascii="Calibri" w:cs="Calibri" w:eastAsia="Calibri" w:hAnsi="Calibri"/>
          <w:sz w:val="22"/>
          <w:szCs w:val="22"/>
        </w:rPr>
        <w:t xml:space="preserve">The build still passes (npm run build returns exit 0; the production bundle stays under 500 kB gzipped).</w:t>
      </w:r>
    </w:p>
    <w:p>
      <w:pPr>
        <w:pStyle w:val="ListParagraph"/>
        <w:numPr>
          <w:ilvl w:val="0"/>
          <w:numId w:val="1"/>
        </w:numPr>
        <w:spacing w:after="80"/>
      </w:pPr>
      <w:r>
        <w:rPr>
          <w:rFonts w:ascii="Calibri" w:cs="Calibri" w:eastAsia="Calibri" w:hAnsi="Calibri"/>
          <w:sz w:val="22"/>
          <w:szCs w:val="22"/>
        </w:rPr>
        <w:t xml:space="preserve">A pull-request-style self-review has been performed.</w:t>
      </w:r>
    </w:p>
    <w:p>
      <w:pPr>
        <w:pStyle w:val="Heading2"/>
        <w:spacing w:after="200" w:before="360"/>
      </w:pPr>
      <w:r>
        <w:t xml:space="preserve">5b.5  Product Backlog</w:t>
      </w:r>
    </w:p>
    <w:p>
      <w:pPr>
        <w:spacing w:after="160" w:line="300" w:lineRule="auto"/>
        <w:jc w:val="both"/>
      </w:pPr>
      <w:r>
        <w:rPr>
          <w:rFonts w:ascii="Calibri" w:cs="Calibri" w:eastAsia="Calibri" w:hAnsi="Calibri"/>
          <w:color w:val="1E293B"/>
          <w:sz w:val="22"/>
          <w:szCs w:val="22"/>
        </w:rPr>
        <w:t xml:space="preserve">The backlog was expressed as user stories following the standard "As a … I want to … so that …" template. Story points were estimated on a modified Fibonacci scale (1, 2, 3, 5, 8, 13). The backlog totalled 120 story points, distributed across 40 user stories.</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8%"/>
            <w:shd w:fill="EFF4FF" w:color="auto" w:val="clear"/>
          </w:tcPr>
          <w:p>
            <w:r>
              <w:rPr>
                <w:rFonts w:ascii="Calibri" w:cs="Calibri" w:eastAsia="Calibri" w:hAnsi="Calibri"/>
                <w:b/>
                <w:bCs/>
                <w:color w:val="1E3AA0"/>
                <w:sz w:val="20"/>
                <w:szCs w:val="20"/>
              </w:rPr>
              <w:t xml:space="preserve">Role surface</w:t>
            </w:r>
          </w:p>
        </w:tc>
        <w:tc>
          <w:tcPr>
            <w:tcW w:type="pct" w:w="22%"/>
            <w:shd w:fill="EFF4FF" w:color="auto" w:val="clear"/>
          </w:tcPr>
          <w:p>
            <w:r>
              <w:rPr>
                <w:rFonts w:ascii="Calibri" w:cs="Calibri" w:eastAsia="Calibri" w:hAnsi="Calibri"/>
                <w:b/>
                <w:bCs/>
                <w:color w:val="1E3AA0"/>
                <w:sz w:val="20"/>
                <w:szCs w:val="20"/>
              </w:rPr>
              <w:t xml:space="preserve">User stories</w:t>
            </w:r>
          </w:p>
        </w:tc>
        <w:tc>
          <w:tcPr>
            <w:tcW w:type="pct" w:w="40%"/>
            <w:shd w:fill="EFF4FF" w:color="auto" w:val="clear"/>
          </w:tcPr>
          <w:p>
            <w:r>
              <w:rPr>
                <w:rFonts w:ascii="Calibri" w:cs="Calibri" w:eastAsia="Calibri" w:hAnsi="Calibri"/>
                <w:b/>
                <w:bCs/>
                <w:color w:val="1E3AA0"/>
                <w:sz w:val="20"/>
                <w:szCs w:val="20"/>
              </w:rPr>
              <w:t xml:space="preserve">Story points</w:t>
            </w:r>
          </w:p>
        </w:tc>
      </w:tr>
      <w:tr>
        <w:tc>
          <w:tcPr>
            <w:tcW w:type="pct" w:w="38%"/>
          </w:tcPr>
          <w:p>
            <w:r>
              <w:rPr>
                <w:rFonts w:ascii="Calibri" w:cs="Calibri" w:eastAsia="Calibri" w:hAnsi="Calibri"/>
                <w:b w:val="false"/>
                <w:bCs w:val="false"/>
                <w:color w:val="1E293B"/>
                <w:sz w:val="20"/>
                <w:szCs w:val="20"/>
              </w:rPr>
              <w:t xml:space="preserve">Parent (public)</w:t>
            </w:r>
          </w:p>
        </w:tc>
        <w:tc>
          <w:tcPr>
            <w:tcW w:type="pct" w:w="22%"/>
          </w:tcPr>
          <w:p>
            <w:r>
              <w:rPr>
                <w:rFonts w:ascii="Calibri" w:cs="Calibri" w:eastAsia="Calibri" w:hAnsi="Calibri"/>
                <w:b w:val="false"/>
                <w:bCs w:val="false"/>
                <w:color w:val="1E293B"/>
                <w:sz w:val="20"/>
                <w:szCs w:val="20"/>
              </w:rPr>
              <w:t xml:space="preserve">11</w:t>
            </w:r>
          </w:p>
        </w:tc>
        <w:tc>
          <w:tcPr>
            <w:tcW w:type="pct" w:w="40%"/>
          </w:tcPr>
          <w:p>
            <w:r>
              <w:rPr>
                <w:rFonts w:ascii="Calibri" w:cs="Calibri" w:eastAsia="Calibri" w:hAnsi="Calibri"/>
                <w:b w:val="false"/>
                <w:bCs w:val="false"/>
                <w:color w:val="1E293B"/>
                <w:sz w:val="20"/>
                <w:szCs w:val="20"/>
              </w:rPr>
              <w:t xml:space="preserve">31 SP</w:t>
            </w:r>
          </w:p>
        </w:tc>
      </w:tr>
      <w:tr>
        <w:tc>
          <w:tcPr>
            <w:tcW w:type="pct" w:w="38%"/>
          </w:tcPr>
          <w:p>
            <w:r>
              <w:rPr>
                <w:rFonts w:ascii="Calibri" w:cs="Calibri" w:eastAsia="Calibri" w:hAnsi="Calibri"/>
                <w:b w:val="false"/>
                <w:bCs w:val="false"/>
                <w:color w:val="1E293B"/>
                <w:sz w:val="20"/>
                <w:szCs w:val="20"/>
              </w:rPr>
              <w:t xml:space="preserve">Student</w:t>
            </w:r>
          </w:p>
        </w:tc>
        <w:tc>
          <w:tcPr>
            <w:tcW w:type="pct" w:w="22%"/>
          </w:tcPr>
          <w:p>
            <w:r>
              <w:rPr>
                <w:rFonts w:ascii="Calibri" w:cs="Calibri" w:eastAsia="Calibri" w:hAnsi="Calibri"/>
                <w:b w:val="false"/>
                <w:bCs w:val="false"/>
                <w:color w:val="1E293B"/>
                <w:sz w:val="20"/>
                <w:szCs w:val="20"/>
              </w:rPr>
              <w:t xml:space="preserve">12</w:t>
            </w:r>
          </w:p>
        </w:tc>
        <w:tc>
          <w:tcPr>
            <w:tcW w:type="pct" w:w="40%"/>
          </w:tcPr>
          <w:p>
            <w:r>
              <w:rPr>
                <w:rFonts w:ascii="Calibri" w:cs="Calibri" w:eastAsia="Calibri" w:hAnsi="Calibri"/>
                <w:b w:val="false"/>
                <w:bCs w:val="false"/>
                <w:color w:val="1E293B"/>
                <w:sz w:val="20"/>
                <w:szCs w:val="20"/>
              </w:rPr>
              <w:t xml:space="preserve">32 SP</w:t>
            </w:r>
          </w:p>
        </w:tc>
      </w:tr>
      <w:tr>
        <w:tc>
          <w:tcPr>
            <w:tcW w:type="pct" w:w="38%"/>
          </w:tcPr>
          <w:p>
            <w:r>
              <w:rPr>
                <w:rFonts w:ascii="Calibri" w:cs="Calibri" w:eastAsia="Calibri" w:hAnsi="Calibri"/>
                <w:b w:val="false"/>
                <w:bCs w:val="false"/>
                <w:color w:val="1E293B"/>
                <w:sz w:val="20"/>
                <w:szCs w:val="20"/>
              </w:rPr>
              <w:t xml:space="preserve">Lecturer</w:t>
            </w:r>
          </w:p>
        </w:tc>
        <w:tc>
          <w:tcPr>
            <w:tcW w:type="pct" w:w="22%"/>
          </w:tcPr>
          <w:p>
            <w:r>
              <w:rPr>
                <w:rFonts w:ascii="Calibri" w:cs="Calibri" w:eastAsia="Calibri" w:hAnsi="Calibri"/>
                <w:b w:val="false"/>
                <w:bCs w:val="false"/>
                <w:color w:val="1E293B"/>
                <w:sz w:val="20"/>
                <w:szCs w:val="20"/>
              </w:rPr>
              <w:t xml:space="preserve">3</w:t>
            </w:r>
          </w:p>
        </w:tc>
        <w:tc>
          <w:tcPr>
            <w:tcW w:type="pct" w:w="40%"/>
          </w:tcPr>
          <w:p>
            <w:r>
              <w:rPr>
                <w:rFonts w:ascii="Calibri" w:cs="Calibri" w:eastAsia="Calibri" w:hAnsi="Calibri"/>
                <w:b w:val="false"/>
                <w:bCs w:val="false"/>
                <w:color w:val="1E293B"/>
                <w:sz w:val="20"/>
                <w:szCs w:val="20"/>
              </w:rPr>
              <w:t xml:space="preserve">8 SP</w:t>
            </w:r>
          </w:p>
        </w:tc>
      </w:tr>
      <w:tr>
        <w:tc>
          <w:tcPr>
            <w:tcW w:type="pct" w:w="38%"/>
          </w:tcPr>
          <w:p>
            <w:r>
              <w:rPr>
                <w:rFonts w:ascii="Calibri" w:cs="Calibri" w:eastAsia="Calibri" w:hAnsi="Calibri"/>
                <w:b w:val="false"/>
                <w:bCs w:val="false"/>
                <w:color w:val="1E293B"/>
                <w:sz w:val="20"/>
                <w:szCs w:val="20"/>
              </w:rPr>
              <w:t xml:space="preserve">Staff (bursary)</w:t>
            </w:r>
          </w:p>
        </w:tc>
        <w:tc>
          <w:tcPr>
            <w:tcW w:type="pct" w:w="22%"/>
          </w:tcPr>
          <w:p>
            <w:r>
              <w:rPr>
                <w:rFonts w:ascii="Calibri" w:cs="Calibri" w:eastAsia="Calibri" w:hAnsi="Calibri"/>
                <w:b w:val="false"/>
                <w:bCs w:val="false"/>
                <w:color w:val="1E293B"/>
                <w:sz w:val="20"/>
                <w:szCs w:val="20"/>
              </w:rPr>
              <w:t xml:space="preserve">7</w:t>
            </w:r>
          </w:p>
        </w:tc>
        <w:tc>
          <w:tcPr>
            <w:tcW w:type="pct" w:w="40%"/>
          </w:tcPr>
          <w:p>
            <w:r>
              <w:rPr>
                <w:rFonts w:ascii="Calibri" w:cs="Calibri" w:eastAsia="Calibri" w:hAnsi="Calibri"/>
                <w:b w:val="false"/>
                <w:bCs w:val="false"/>
                <w:color w:val="1E293B"/>
                <w:sz w:val="20"/>
                <w:szCs w:val="20"/>
              </w:rPr>
              <w:t xml:space="preserve">20 SP</w:t>
            </w:r>
          </w:p>
        </w:tc>
      </w:tr>
      <w:tr>
        <w:tc>
          <w:tcPr>
            <w:tcW w:type="pct" w:w="38%"/>
          </w:tcPr>
          <w:p>
            <w:r>
              <w:rPr>
                <w:rFonts w:ascii="Calibri" w:cs="Calibri" w:eastAsia="Calibri" w:hAnsi="Calibri"/>
                <w:b w:val="false"/>
                <w:bCs w:val="false"/>
                <w:color w:val="1E293B"/>
                <w:sz w:val="20"/>
                <w:szCs w:val="20"/>
              </w:rPr>
              <w:t xml:space="preserve">Admin</w:t>
            </w:r>
          </w:p>
        </w:tc>
        <w:tc>
          <w:tcPr>
            <w:tcW w:type="pct" w:w="22%"/>
          </w:tcPr>
          <w:p>
            <w:r>
              <w:rPr>
                <w:rFonts w:ascii="Calibri" w:cs="Calibri" w:eastAsia="Calibri" w:hAnsi="Calibri"/>
                <w:b w:val="false"/>
                <w:bCs w:val="false"/>
                <w:color w:val="1E293B"/>
                <w:sz w:val="20"/>
                <w:szCs w:val="20"/>
              </w:rPr>
              <w:t xml:space="preserve">4</w:t>
            </w:r>
          </w:p>
        </w:tc>
        <w:tc>
          <w:tcPr>
            <w:tcW w:type="pct" w:w="40%"/>
          </w:tcPr>
          <w:p>
            <w:r>
              <w:rPr>
                <w:rFonts w:ascii="Calibri" w:cs="Calibri" w:eastAsia="Calibri" w:hAnsi="Calibri"/>
                <w:b w:val="false"/>
                <w:bCs w:val="false"/>
                <w:color w:val="1E293B"/>
                <w:sz w:val="20"/>
                <w:szCs w:val="20"/>
              </w:rPr>
              <w:t xml:space="preserve">8 SP</w:t>
            </w:r>
          </w:p>
        </w:tc>
      </w:tr>
      <w:tr>
        <w:tc>
          <w:tcPr>
            <w:tcW w:type="pct" w:w="38%"/>
          </w:tcPr>
          <w:p>
            <w:r>
              <w:rPr>
                <w:rFonts w:ascii="Calibri" w:cs="Calibri" w:eastAsia="Calibri" w:hAnsi="Calibri"/>
                <w:b w:val="false"/>
                <w:bCs w:val="false"/>
                <w:color w:val="1E293B"/>
                <w:sz w:val="20"/>
                <w:szCs w:val="20"/>
              </w:rPr>
              <w:t xml:space="preserve">Cross-cutting / NFR</w:t>
            </w:r>
          </w:p>
        </w:tc>
        <w:tc>
          <w:tcPr>
            <w:tcW w:type="pct" w:w="22%"/>
          </w:tcPr>
          <w:p>
            <w:r>
              <w:rPr>
                <w:rFonts w:ascii="Calibri" w:cs="Calibri" w:eastAsia="Calibri" w:hAnsi="Calibri"/>
                <w:b w:val="false"/>
                <w:bCs w:val="false"/>
                <w:color w:val="1E293B"/>
                <w:sz w:val="20"/>
                <w:szCs w:val="20"/>
              </w:rPr>
              <w:t xml:space="preserve">5</w:t>
            </w:r>
          </w:p>
        </w:tc>
        <w:tc>
          <w:tcPr>
            <w:tcW w:type="pct" w:w="40%"/>
          </w:tcPr>
          <w:p>
            <w:r>
              <w:rPr>
                <w:rFonts w:ascii="Calibri" w:cs="Calibri" w:eastAsia="Calibri" w:hAnsi="Calibri"/>
                <w:b w:val="false"/>
                <w:bCs w:val="false"/>
                <w:color w:val="1E293B"/>
                <w:sz w:val="20"/>
                <w:szCs w:val="20"/>
              </w:rPr>
              <w:t xml:space="preserve">21 SP</w:t>
            </w:r>
          </w:p>
        </w:tc>
      </w:tr>
      <w:tr>
        <w:tc>
          <w:tcPr>
            <w:tcW w:type="pct" w:w="38%"/>
          </w:tcPr>
          <w:p>
            <w:r>
              <w:rPr>
                <w:rFonts w:ascii="Calibri" w:cs="Calibri" w:eastAsia="Calibri" w:hAnsi="Calibri"/>
                <w:b w:val="false"/>
                <w:bCs w:val="false"/>
                <w:color w:val="1E293B"/>
                <w:sz w:val="20"/>
                <w:szCs w:val="20"/>
              </w:rPr>
              <w:t xml:space="preserve">TOTAL</w:t>
            </w:r>
          </w:p>
        </w:tc>
        <w:tc>
          <w:tcPr>
            <w:tcW w:type="pct" w:w="22%"/>
          </w:tcPr>
          <w:p>
            <w:r>
              <w:rPr>
                <w:rFonts w:ascii="Calibri" w:cs="Calibri" w:eastAsia="Calibri" w:hAnsi="Calibri"/>
                <w:b w:val="false"/>
                <w:bCs w:val="false"/>
                <w:color w:val="1E293B"/>
                <w:sz w:val="20"/>
                <w:szCs w:val="20"/>
              </w:rPr>
              <w:t xml:space="preserve">42</w:t>
            </w:r>
          </w:p>
        </w:tc>
        <w:tc>
          <w:tcPr>
            <w:tcW w:type="pct" w:w="40%"/>
          </w:tcPr>
          <w:p>
            <w:r>
              <w:rPr>
                <w:rFonts w:ascii="Calibri" w:cs="Calibri" w:eastAsia="Calibri" w:hAnsi="Calibri"/>
                <w:b w:val="false"/>
                <w:bCs w:val="false"/>
                <w:color w:val="1E293B"/>
                <w:sz w:val="20"/>
                <w:szCs w:val="20"/>
              </w:rPr>
              <w:t xml:space="preserve">120 SP</w:t>
            </w:r>
          </w:p>
        </w:tc>
      </w:tr>
    </w:tbl>
    <w:p>
      <w:pPr>
        <w:spacing w:after="280"/>
        <w:jc w:val="center"/>
      </w:pPr>
      <w:r>
        <w:rPr>
          <w:rFonts w:ascii="Calibri" w:cs="Calibri" w:eastAsia="Calibri" w:hAnsi="Calibri"/>
          <w:i/>
          <w:iCs/>
          <w:color w:val="64748B"/>
          <w:sz w:val="18"/>
          <w:szCs w:val="18"/>
        </w:rPr>
        <w:t xml:space="preserve">Table 5b.3 — Backlog distribution by role surface.</w:t>
      </w:r>
    </w:p>
    <w:p>
      <w:pPr>
        <w:pStyle w:val="Heading2"/>
        <w:spacing w:after="200" w:before="360"/>
      </w:pPr>
      <w:r>
        <w:t xml:space="preserve">5b.6  Sprint backlog and execution</w:t>
      </w:r>
    </w:p>
    <w:p>
      <w:pPr>
        <w:spacing w:after="160" w:line="300" w:lineRule="auto"/>
        <w:jc w:val="both"/>
      </w:pPr>
      <w:r>
        <w:rPr>
          <w:rFonts w:ascii="Calibri" w:cs="Calibri" w:eastAsia="Calibri" w:hAnsi="Calibri"/>
          <w:color w:val="1E293B"/>
          <w:sz w:val="22"/>
          <w:szCs w:val="22"/>
        </w:rPr>
        <w:t xml:space="preserve">The work was organised into six one-week sprints. Each sprint produced a demonstrable increment; each ended with a retrospective recorded as "went well", "to improve", and "action for next sprint".</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0%"/>
            <w:shd w:fill="EFF4FF" w:color="auto" w:val="clear"/>
          </w:tcPr>
          <w:p>
            <w:r>
              <w:rPr>
                <w:rFonts w:ascii="Calibri" w:cs="Calibri" w:eastAsia="Calibri" w:hAnsi="Calibri"/>
                <w:b/>
                <w:bCs/>
                <w:color w:val="1E3AA0"/>
                <w:sz w:val="20"/>
                <w:szCs w:val="20"/>
              </w:rPr>
              <w:t xml:space="preserve">Sprint</w:t>
            </w:r>
          </w:p>
        </w:tc>
        <w:tc>
          <w:tcPr>
            <w:tcW w:type="pct" w:w="50%"/>
            <w:shd w:fill="EFF4FF" w:color="auto" w:val="clear"/>
          </w:tcPr>
          <w:p>
            <w:r>
              <w:rPr>
                <w:rFonts w:ascii="Calibri" w:cs="Calibri" w:eastAsia="Calibri" w:hAnsi="Calibri"/>
                <w:b/>
                <w:bCs/>
                <w:color w:val="1E3AA0"/>
                <w:sz w:val="20"/>
                <w:szCs w:val="20"/>
              </w:rPr>
              <w:t xml:space="preserve">Theme</w:t>
            </w:r>
          </w:p>
        </w:tc>
        <w:tc>
          <w:tcPr>
            <w:tcW w:type="pct" w:w="20%"/>
            <w:shd w:fill="EFF4FF" w:color="auto" w:val="clear"/>
          </w:tcPr>
          <w:p>
            <w:r>
              <w:rPr>
                <w:rFonts w:ascii="Calibri" w:cs="Calibri" w:eastAsia="Calibri" w:hAnsi="Calibri"/>
                <w:b/>
                <w:bCs/>
                <w:color w:val="1E3AA0"/>
                <w:sz w:val="20"/>
                <w:szCs w:val="20"/>
              </w:rPr>
              <w:t xml:space="preserve">Committed</w:t>
            </w:r>
          </w:p>
        </w:tc>
        <w:tc>
          <w:tcPr>
            <w:tcW w:type="pct" w:w="20%"/>
            <w:shd w:fill="EFF4FF" w:color="auto" w:val="clear"/>
          </w:tcPr>
          <w:p>
            <w:r>
              <w:rPr>
                <w:rFonts w:ascii="Calibri" w:cs="Calibri" w:eastAsia="Calibri" w:hAnsi="Calibri"/>
                <w:b/>
                <w:bCs/>
                <w:color w:val="1E3AA0"/>
                <w:sz w:val="20"/>
                <w:szCs w:val="20"/>
              </w:rPr>
              <w:t xml:space="preserve">Achieved</w:t>
            </w:r>
          </w:p>
        </w:tc>
      </w:tr>
      <w:tr>
        <w:tc>
          <w:tcPr>
            <w:tcW w:type="pct" w:w="10%"/>
          </w:tcPr>
          <w:p>
            <w:r>
              <w:rPr>
                <w:rFonts w:ascii="Calibri" w:cs="Calibri" w:eastAsia="Calibri" w:hAnsi="Calibri"/>
                <w:b w:val="false"/>
                <w:bCs w:val="false"/>
                <w:color w:val="1E293B"/>
                <w:sz w:val="20"/>
                <w:szCs w:val="20"/>
              </w:rPr>
              <w:t xml:space="preserve">S1</w:t>
            </w:r>
          </w:p>
        </w:tc>
        <w:tc>
          <w:tcPr>
            <w:tcW w:type="pct" w:w="50%"/>
          </w:tcPr>
          <w:p>
            <w:r>
              <w:rPr>
                <w:rFonts w:ascii="Calibri" w:cs="Calibri" w:eastAsia="Calibri" w:hAnsi="Calibri"/>
                <w:b w:val="false"/>
                <w:bCs w:val="false"/>
                <w:color w:val="1E293B"/>
                <w:sz w:val="20"/>
                <w:szCs w:val="20"/>
              </w:rPr>
              <w:t xml:space="preserve">Foundations · scaffolding · auth · design system</w:t>
            </w:r>
          </w:p>
        </w:tc>
        <w:tc>
          <w:tcPr>
            <w:tcW w:type="pct" w:w="20%"/>
          </w:tcPr>
          <w:p>
            <w:r>
              <w:rPr>
                <w:rFonts w:ascii="Calibri" w:cs="Calibri" w:eastAsia="Calibri" w:hAnsi="Calibri"/>
                <w:b w:val="false"/>
                <w:bCs w:val="false"/>
                <w:color w:val="1E293B"/>
                <w:sz w:val="20"/>
                <w:szCs w:val="20"/>
              </w:rPr>
              <w:t xml:space="preserve">12 SP</w:t>
            </w:r>
          </w:p>
        </w:tc>
        <w:tc>
          <w:tcPr>
            <w:tcW w:type="pct" w:w="20%"/>
          </w:tcPr>
          <w:p>
            <w:r>
              <w:rPr>
                <w:rFonts w:ascii="Calibri" w:cs="Calibri" w:eastAsia="Calibri" w:hAnsi="Calibri"/>
                <w:b w:val="false"/>
                <w:bCs w:val="false"/>
                <w:color w:val="1E293B"/>
                <w:sz w:val="20"/>
                <w:szCs w:val="20"/>
              </w:rPr>
              <w:t xml:space="preserve">12 SP</w:t>
            </w:r>
          </w:p>
        </w:tc>
      </w:tr>
      <w:tr>
        <w:tc>
          <w:tcPr>
            <w:tcW w:type="pct" w:w="10%"/>
          </w:tcPr>
          <w:p>
            <w:r>
              <w:rPr>
                <w:rFonts w:ascii="Calibri" w:cs="Calibri" w:eastAsia="Calibri" w:hAnsi="Calibri"/>
                <w:b w:val="false"/>
                <w:bCs w:val="false"/>
                <w:color w:val="1E293B"/>
                <w:sz w:val="20"/>
                <w:szCs w:val="20"/>
              </w:rPr>
              <w:t xml:space="preserve">S2</w:t>
            </w:r>
          </w:p>
        </w:tc>
        <w:tc>
          <w:tcPr>
            <w:tcW w:type="pct" w:w="50%"/>
          </w:tcPr>
          <w:p>
            <w:r>
              <w:rPr>
                <w:rFonts w:ascii="Calibri" w:cs="Calibri" w:eastAsia="Calibri" w:hAnsi="Calibri"/>
                <w:b w:val="false"/>
                <w:bCs w:val="false"/>
                <w:color w:val="1E293B"/>
                <w:sz w:val="20"/>
                <w:szCs w:val="20"/>
              </w:rPr>
              <w:t xml:space="preserve">Student &amp; Lecturer surfaces</w:t>
            </w:r>
          </w:p>
        </w:tc>
        <w:tc>
          <w:tcPr>
            <w:tcW w:type="pct" w:w="20%"/>
          </w:tcPr>
          <w:p>
            <w:r>
              <w:rPr>
                <w:rFonts w:ascii="Calibri" w:cs="Calibri" w:eastAsia="Calibri" w:hAnsi="Calibri"/>
                <w:b w:val="false"/>
                <w:bCs w:val="false"/>
                <w:color w:val="1E293B"/>
                <w:sz w:val="20"/>
                <w:szCs w:val="20"/>
              </w:rPr>
              <w:t xml:space="preserve">22 SP</w:t>
            </w:r>
          </w:p>
        </w:tc>
        <w:tc>
          <w:tcPr>
            <w:tcW w:type="pct" w:w="20%"/>
          </w:tcPr>
          <w:p>
            <w:r>
              <w:rPr>
                <w:rFonts w:ascii="Calibri" w:cs="Calibri" w:eastAsia="Calibri" w:hAnsi="Calibri"/>
                <w:b w:val="false"/>
                <w:bCs w:val="false"/>
                <w:color w:val="1E293B"/>
                <w:sz w:val="20"/>
                <w:szCs w:val="20"/>
              </w:rPr>
              <w:t xml:space="preserve">22 SP</w:t>
            </w:r>
          </w:p>
        </w:tc>
      </w:tr>
      <w:tr>
        <w:tc>
          <w:tcPr>
            <w:tcW w:type="pct" w:w="10%"/>
          </w:tcPr>
          <w:p>
            <w:r>
              <w:rPr>
                <w:rFonts w:ascii="Calibri" w:cs="Calibri" w:eastAsia="Calibri" w:hAnsi="Calibri"/>
                <w:b w:val="false"/>
                <w:bCs w:val="false"/>
                <w:color w:val="1E293B"/>
                <w:sz w:val="20"/>
                <w:szCs w:val="20"/>
              </w:rPr>
              <w:t xml:space="preserve">S3</w:t>
            </w:r>
          </w:p>
        </w:tc>
        <w:tc>
          <w:tcPr>
            <w:tcW w:type="pct" w:w="50%"/>
          </w:tcPr>
          <w:p>
            <w:r>
              <w:rPr>
                <w:rFonts w:ascii="Calibri" w:cs="Calibri" w:eastAsia="Calibri" w:hAnsi="Calibri"/>
                <w:b w:val="false"/>
                <w:bCs w:val="false"/>
                <w:color w:val="1E293B"/>
                <w:sz w:val="20"/>
                <w:szCs w:val="20"/>
              </w:rPr>
              <w:t xml:space="preserve">Bursary &amp; Administration</w:t>
            </w:r>
          </w:p>
        </w:tc>
        <w:tc>
          <w:tcPr>
            <w:tcW w:type="pct" w:w="20%"/>
          </w:tcPr>
          <w:p>
            <w:r>
              <w:rPr>
                <w:rFonts w:ascii="Calibri" w:cs="Calibri" w:eastAsia="Calibri" w:hAnsi="Calibri"/>
                <w:b w:val="false"/>
                <w:bCs w:val="false"/>
                <w:color w:val="1E293B"/>
                <w:sz w:val="20"/>
                <w:szCs w:val="20"/>
              </w:rPr>
              <w:t xml:space="preserve">23 SP</w:t>
            </w:r>
          </w:p>
        </w:tc>
        <w:tc>
          <w:tcPr>
            <w:tcW w:type="pct" w:w="20%"/>
          </w:tcPr>
          <w:p>
            <w:r>
              <w:rPr>
                <w:rFonts w:ascii="Calibri" w:cs="Calibri" w:eastAsia="Calibri" w:hAnsi="Calibri"/>
                <w:b w:val="false"/>
                <w:bCs w:val="false"/>
                <w:color w:val="1E293B"/>
                <w:sz w:val="20"/>
                <w:szCs w:val="20"/>
              </w:rPr>
              <w:t xml:space="preserve">23 SP</w:t>
            </w:r>
          </w:p>
        </w:tc>
      </w:tr>
      <w:tr>
        <w:tc>
          <w:tcPr>
            <w:tcW w:type="pct" w:w="10%"/>
          </w:tcPr>
          <w:p>
            <w:r>
              <w:rPr>
                <w:rFonts w:ascii="Calibri" w:cs="Calibri" w:eastAsia="Calibri" w:hAnsi="Calibri"/>
                <w:b w:val="false"/>
                <w:bCs w:val="false"/>
                <w:color w:val="1E293B"/>
                <w:sz w:val="20"/>
                <w:szCs w:val="20"/>
              </w:rPr>
              <w:t xml:space="preserve">S4</w:t>
            </w:r>
          </w:p>
        </w:tc>
        <w:tc>
          <w:tcPr>
            <w:tcW w:type="pct" w:w="50%"/>
          </w:tcPr>
          <w:p>
            <w:r>
              <w:rPr>
                <w:rFonts w:ascii="Calibri" w:cs="Calibri" w:eastAsia="Calibri" w:hAnsi="Calibri"/>
                <w:b w:val="false"/>
                <w:bCs w:val="false"/>
                <w:color w:val="1E293B"/>
                <w:sz w:val="20"/>
                <w:szCs w:val="20"/>
              </w:rPr>
              <w:t xml:space="preserve">Parent Portal + simulated payment</w:t>
            </w:r>
          </w:p>
        </w:tc>
        <w:tc>
          <w:tcPr>
            <w:tcW w:type="pct" w:w="20%"/>
          </w:tcPr>
          <w:p>
            <w:r>
              <w:rPr>
                <w:rFonts w:ascii="Calibri" w:cs="Calibri" w:eastAsia="Calibri" w:hAnsi="Calibri"/>
                <w:b w:val="false"/>
                <w:bCs w:val="false"/>
                <w:color w:val="1E293B"/>
                <w:sz w:val="20"/>
                <w:szCs w:val="20"/>
              </w:rPr>
              <w:t xml:space="preserve">29 SP (15 + 14 added mid-sprint)</w:t>
            </w:r>
          </w:p>
        </w:tc>
        <w:tc>
          <w:tcPr>
            <w:tcW w:type="pct" w:w="20%"/>
          </w:tcPr>
          <w:p>
            <w:r>
              <w:rPr>
                <w:rFonts w:ascii="Calibri" w:cs="Calibri" w:eastAsia="Calibri" w:hAnsi="Calibri"/>
                <w:b w:val="false"/>
                <w:bCs w:val="false"/>
                <w:color w:val="1E293B"/>
                <w:sz w:val="20"/>
                <w:szCs w:val="20"/>
              </w:rPr>
              <w:t xml:space="preserve">29 SP</w:t>
            </w:r>
          </w:p>
        </w:tc>
      </w:tr>
      <w:tr>
        <w:tc>
          <w:tcPr>
            <w:tcW w:type="pct" w:w="10%"/>
          </w:tcPr>
          <w:p>
            <w:r>
              <w:rPr>
                <w:rFonts w:ascii="Calibri" w:cs="Calibri" w:eastAsia="Calibri" w:hAnsi="Calibri"/>
                <w:b w:val="false"/>
                <w:bCs w:val="false"/>
                <w:color w:val="1E293B"/>
                <w:sz w:val="20"/>
                <w:szCs w:val="20"/>
              </w:rPr>
              <w:t xml:space="preserve">S5</w:t>
            </w:r>
          </w:p>
        </w:tc>
        <w:tc>
          <w:tcPr>
            <w:tcW w:type="pct" w:w="50%"/>
          </w:tcPr>
          <w:p>
            <w:r>
              <w:rPr>
                <w:rFonts w:ascii="Calibri" w:cs="Calibri" w:eastAsia="Calibri" w:hAnsi="Calibri"/>
                <w:b w:val="false"/>
                <w:bCs w:val="false"/>
                <w:color w:val="1E293B"/>
                <w:sz w:val="20"/>
                <w:szCs w:val="20"/>
              </w:rPr>
              <w:t xml:space="preserve">Polish · PWA · UML · defence package</w:t>
            </w:r>
          </w:p>
        </w:tc>
        <w:tc>
          <w:tcPr>
            <w:tcW w:type="pct" w:w="20%"/>
          </w:tcPr>
          <w:p>
            <w:r>
              <w:rPr>
                <w:rFonts w:ascii="Calibri" w:cs="Calibri" w:eastAsia="Calibri" w:hAnsi="Calibri"/>
                <w:b w:val="false"/>
                <w:bCs w:val="false"/>
                <w:color w:val="1E293B"/>
                <w:sz w:val="20"/>
                <w:szCs w:val="20"/>
              </w:rPr>
              <w:t xml:space="preserve">18 SP</w:t>
            </w:r>
          </w:p>
        </w:tc>
        <w:tc>
          <w:tcPr>
            <w:tcW w:type="pct" w:w="20%"/>
          </w:tcPr>
          <w:p>
            <w:r>
              <w:rPr>
                <w:rFonts w:ascii="Calibri" w:cs="Calibri" w:eastAsia="Calibri" w:hAnsi="Calibri"/>
                <w:b w:val="false"/>
                <w:bCs w:val="false"/>
                <w:color w:val="1E293B"/>
                <w:sz w:val="20"/>
                <w:szCs w:val="20"/>
              </w:rPr>
              <w:t xml:space="preserve">18 SP</w:t>
            </w:r>
          </w:p>
        </w:tc>
      </w:tr>
      <w:tr>
        <w:tc>
          <w:tcPr>
            <w:tcW w:type="pct" w:w="10%"/>
          </w:tcPr>
          <w:p>
            <w:r>
              <w:rPr>
                <w:rFonts w:ascii="Calibri" w:cs="Calibri" w:eastAsia="Calibri" w:hAnsi="Calibri"/>
                <w:b w:val="false"/>
                <w:bCs w:val="false"/>
                <w:color w:val="1E293B"/>
                <w:sz w:val="20"/>
                <w:szCs w:val="20"/>
              </w:rPr>
              <w:t xml:space="preserve">S6</w:t>
            </w:r>
          </w:p>
        </w:tc>
        <w:tc>
          <w:tcPr>
            <w:tcW w:type="pct" w:w="50%"/>
          </w:tcPr>
          <w:p>
            <w:r>
              <w:rPr>
                <w:rFonts w:ascii="Calibri" w:cs="Calibri" w:eastAsia="Calibri" w:hAnsi="Calibri"/>
                <w:b w:val="false"/>
                <w:bCs w:val="false"/>
                <w:color w:val="1E293B"/>
                <w:sz w:val="20"/>
                <w:szCs w:val="20"/>
              </w:rPr>
              <w:t xml:space="preserve">Bilingual EN/FR + Profile + Help + ICS</w:t>
            </w:r>
          </w:p>
        </w:tc>
        <w:tc>
          <w:tcPr>
            <w:tcW w:type="pct" w:w="20%"/>
          </w:tcPr>
          <w:p>
            <w:r>
              <w:rPr>
                <w:rFonts w:ascii="Calibri" w:cs="Calibri" w:eastAsia="Calibri" w:hAnsi="Calibri"/>
                <w:b w:val="false"/>
                <w:bCs w:val="false"/>
                <w:color w:val="1E293B"/>
                <w:sz w:val="20"/>
                <w:szCs w:val="20"/>
              </w:rPr>
              <w:t xml:space="preserve">16 SP (8 + 8 added)</w:t>
            </w:r>
          </w:p>
        </w:tc>
        <w:tc>
          <w:tcPr>
            <w:tcW w:type="pct" w:w="20%"/>
          </w:tcPr>
          <w:p>
            <w:r>
              <w:rPr>
                <w:rFonts w:ascii="Calibri" w:cs="Calibri" w:eastAsia="Calibri" w:hAnsi="Calibri"/>
                <w:b w:val="false"/>
                <w:bCs w:val="false"/>
                <w:color w:val="1E293B"/>
                <w:sz w:val="20"/>
                <w:szCs w:val="20"/>
              </w:rPr>
              <w:t xml:space="preserve">16 SP</w:t>
            </w:r>
          </w:p>
        </w:tc>
      </w:tr>
      <w:tr>
        <w:tc>
          <w:tcPr>
            <w:tcW w:type="pct" w:w="10%"/>
          </w:tcPr>
          <w:p>
            <w:r>
              <w:rPr>
                <w:rFonts w:ascii="Calibri" w:cs="Calibri" w:eastAsia="Calibri" w:hAnsi="Calibri"/>
                <w:b w:val="false"/>
                <w:bCs w:val="false"/>
                <w:color w:val="1E293B"/>
                <w:sz w:val="20"/>
                <w:szCs w:val="20"/>
              </w:rPr>
              <w:t xml:space="preserve">TOTAL</w:t>
            </w:r>
          </w:p>
        </w:tc>
        <w:tc>
          <w:tcPr>
            <w:tcW w:type="pct" w:w="50%"/>
          </w:tcPr>
          <w:p>
            <w:r>
              <w:rPr>
                <w:rFonts w:ascii="Calibri" w:cs="Calibri" w:eastAsia="Calibri" w:hAnsi="Calibri"/>
                <w:b w:val="false"/>
                <w:bCs w:val="false"/>
                <w:color w:val="1E293B"/>
                <w:sz w:val="20"/>
                <w:szCs w:val="20"/>
              </w:rPr>
              <w:t xml:space="preserve">6 sprints</w:t>
            </w:r>
          </w:p>
        </w:tc>
        <w:tc>
          <w:tcPr>
            <w:tcW w:type="pct" w:w="20%"/>
          </w:tcPr>
          <w:p>
            <w:r>
              <w:rPr>
                <w:rFonts w:ascii="Calibri" w:cs="Calibri" w:eastAsia="Calibri" w:hAnsi="Calibri"/>
                <w:b w:val="false"/>
                <w:bCs w:val="false"/>
                <w:color w:val="1E293B"/>
                <w:sz w:val="20"/>
                <w:szCs w:val="20"/>
              </w:rPr>
              <w:t xml:space="preserve">120 SP</w:t>
            </w:r>
          </w:p>
        </w:tc>
        <w:tc>
          <w:tcPr>
            <w:tcW w:type="pct" w:w="20%"/>
          </w:tcPr>
          <w:p>
            <w:r>
              <w:rPr>
                <w:rFonts w:ascii="Calibri" w:cs="Calibri" w:eastAsia="Calibri" w:hAnsi="Calibri"/>
                <w:b w:val="false"/>
                <w:bCs w:val="false"/>
                <w:color w:val="1E293B"/>
                <w:sz w:val="20"/>
                <w:szCs w:val="20"/>
              </w:rPr>
              <w:t xml:space="preserve">120 SP</w:t>
            </w:r>
          </w:p>
        </w:tc>
      </w:tr>
    </w:tbl>
    <w:p>
      <w:pPr>
        <w:spacing w:after="280"/>
        <w:jc w:val="center"/>
      </w:pPr>
      <w:r>
        <w:rPr>
          <w:rFonts w:ascii="Calibri" w:cs="Calibri" w:eastAsia="Calibri" w:hAnsi="Calibri"/>
          <w:i/>
          <w:iCs/>
          <w:color w:val="64748B"/>
          <w:sz w:val="18"/>
          <w:szCs w:val="18"/>
        </w:rPr>
        <w:t xml:space="preserve">Table 5b.4 — Sprint backlog and actual delivery.</w:t>
      </w:r>
    </w:p>
    <w:p>
      <w:pPr>
        <w:pStyle w:val="Heading2"/>
        <w:spacing w:after="200" w:before="360"/>
      </w:pPr>
      <w:r>
        <w:t xml:space="preserve">5b.7  Kanban board and WIP discipline</w:t>
      </w:r>
    </w:p>
    <w:p>
      <w:pPr>
        <w:spacing w:after="160" w:line="300" w:lineRule="auto"/>
        <w:jc w:val="both"/>
      </w:pPr>
      <w:r>
        <w:rPr>
          <w:rFonts w:ascii="Calibri" w:cs="Calibri" w:eastAsia="Calibri" w:hAnsi="Calibri"/>
          <w:color w:val="1E293B"/>
          <w:sz w:val="22"/>
          <w:szCs w:val="22"/>
        </w:rPr>
        <w:t xml:space="preserve">A single Kanban board with five columns and a WIP limit of three (lowered from five after Sprint 3) was maintained throughout. Figure 5b.1 shows the board at the end of Sprint 4.</w:t>
      </w:r>
    </w:p>
    <w:p>
      <w:pPr>
        <w:spacing w:after="1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5b.1 — Kanban board snapshot (end of Sprint 4).</w:t>
      </w:r>
    </w:p>
    <w:p>
      <w:pPr>
        <w:pStyle w:val="Heading2"/>
        <w:spacing w:after="200" w:before="360"/>
      </w:pPr>
      <w:r>
        <w:t xml:space="preserve">5b.8  Burndown and velocity</w:t>
      </w:r>
    </w:p>
    <w:p>
      <w:pPr>
        <w:spacing w:after="160" w:line="300" w:lineRule="auto"/>
        <w:jc w:val="both"/>
      </w:pPr>
      <w:r>
        <w:rPr>
          <w:rFonts w:ascii="Calibri" w:cs="Calibri" w:eastAsia="Calibri" w:hAnsi="Calibri"/>
          <w:color w:val="1E293B"/>
          <w:sz w:val="22"/>
          <w:szCs w:val="22"/>
        </w:rPr>
        <w:t xml:space="preserve">Velocity stabilised at ~22 SP per sprint. Two scope additions (14 SP in Sprint 4, 8 SP in Sprint 6) are recorded with red dashed segments on the burndown chart. The project closed at zero remaining story points by Sprint 6.</w:t>
      </w:r>
    </w:p>
    <w:p>
      <w:pPr>
        <w:spacing w:after="1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5b.2 — Sprint burndown chart.</w:t>
      </w:r>
    </w:p>
    <w:p>
      <w:pPr>
        <w:pStyle w:val="Heading2"/>
        <w:spacing w:after="200" w:before="360"/>
      </w:pPr>
      <w:r>
        <w:t xml:space="preserve">5b.9  Retrospectives</w:t>
      </w:r>
    </w:p>
    <w:p>
      <w:pPr>
        <w:pStyle w:val="ListParagraph"/>
        <w:numPr>
          <w:ilvl w:val="0"/>
          <w:numId w:val="1"/>
        </w:numPr>
        <w:spacing w:after="80"/>
      </w:pPr>
      <w:r>
        <w:rPr>
          <w:rFonts w:ascii="Calibri" w:cs="Calibri" w:eastAsia="Calibri" w:hAnsi="Calibri"/>
          <w:sz w:val="22"/>
          <w:szCs w:val="22"/>
        </w:rPr>
        <w:t xml:space="preserve">What worked — one-week sprints kept work honest; the Definition of Done caught regressions early; the WIP-3 limit increased throughput in later sprints.</w:t>
      </w:r>
    </w:p>
    <w:p>
      <w:pPr>
        <w:pStyle w:val="ListParagraph"/>
        <w:numPr>
          <w:ilvl w:val="0"/>
          <w:numId w:val="1"/>
        </w:numPr>
        <w:spacing w:after="80"/>
      </w:pPr>
      <w:r>
        <w:rPr>
          <w:rFonts w:ascii="Calibri" w:cs="Calibri" w:eastAsia="Calibri" w:hAnsi="Calibri"/>
          <w:sz w:val="22"/>
          <w:szCs w:val="22"/>
        </w:rPr>
        <w:t xml:space="preserve">What did not — a solo developer cannot run meaningful daily stand-ups; two scope-creep events occurred.</w:t>
      </w:r>
    </w:p>
    <w:p>
      <w:pPr>
        <w:pStyle w:val="ListParagraph"/>
        <w:numPr>
          <w:ilvl w:val="0"/>
          <w:numId w:val="1"/>
        </w:numPr>
        <w:spacing w:after="80"/>
      </w:pPr>
      <w:r>
        <w:rPr>
          <w:rFonts w:ascii="Calibri" w:cs="Calibri" w:eastAsia="Calibri" w:hAnsi="Calibri"/>
          <w:sz w:val="22"/>
          <w:szCs w:val="22"/>
        </w:rPr>
        <w:t xml:space="preserve">What would change — bilingualism should have been a Done criterion from Sprint 1, not added in Sprint 6.</w:t>
      </w:r>
    </w:p>
    <w:p>
      <w:pPr>
        <w:pStyle w:val="Heading2"/>
        <w:spacing w:after="200" w:before="360"/>
      </w:pPr>
      <w:r>
        <w:t xml:space="preserve">5b.10  Why Agile — the defence-ready answer</w:t>
      </w:r>
    </w:p>
    <w:p>
      <w:pPr>
        <w:spacing w:after="160" w:line="300" w:lineRule="auto"/>
        <w:jc w:val="both"/>
      </w:pPr>
      <w:r>
        <w:rPr>
          <w:rFonts w:ascii="Calibri" w:cs="Calibri" w:eastAsia="Calibri" w:hAnsi="Calibri"/>
          <w:color w:val="1E293B"/>
          <w:sz w:val="22"/>
          <w:szCs w:val="22"/>
        </w:rPr>
        <w:t xml:space="preserve">Waterfall would have produced a stale design within two weeks. The burndown chart's two red dashed segments are scope changes that Waterfall would classify as failures; under Agile they are normal corrections, transparently recorded. The platform shipped on time with stable velocity, and the customer was consulted at every iteration.</w:t>
      </w:r>
    </w:p>
    <w:p>
      <w:pPr>
        <w:pStyle w:val="Heading1"/>
        <w:pageBreakBefore/>
        <w:spacing w:after="240" w:before="480"/>
      </w:pPr>
      <w:r>
        <w:t xml:space="preserve">Chapter 6 — Testing and Validation</w:t>
      </w:r>
    </w:p>
    <w:p>
      <w:pPr>
        <w:pStyle w:val="Heading2"/>
        <w:spacing w:after="200" w:before="360"/>
      </w:pPr>
      <w:r>
        <w:t xml:space="preserve">6.1  Strategy</w:t>
      </w:r>
    </w:p>
    <w:p>
      <w:pPr>
        <w:spacing w:after="160" w:line="300" w:lineRule="auto"/>
        <w:jc w:val="both"/>
      </w:pPr>
      <w:r>
        <w:rPr>
          <w:rFonts w:ascii="Calibri" w:cs="Calibri" w:eastAsia="Calibri" w:hAnsi="Calibri"/>
          <w:color w:val="1E293B"/>
          <w:sz w:val="22"/>
          <w:szCs w:val="22"/>
        </w:rPr>
        <w:t xml:space="preserve">Testing followed three complementary layers:</w:t>
      </w:r>
    </w:p>
    <w:p>
      <w:pPr>
        <w:pStyle w:val="ListParagraph"/>
        <w:numPr>
          <w:ilvl w:val="0"/>
          <w:numId w:val="1"/>
        </w:numPr>
        <w:spacing w:after="80"/>
      </w:pPr>
      <w:r>
        <w:rPr>
          <w:rFonts w:ascii="Calibri" w:cs="Calibri" w:eastAsia="Calibri" w:hAnsi="Calibri"/>
          <w:sz w:val="22"/>
          <w:szCs w:val="22"/>
        </w:rPr>
        <w:t xml:space="preserve">Functional testing — every requirement listed in Table 3.1 was checked against an exploratory walkthrough on Chrome, Firefox, Edge and Safari.</w:t>
      </w:r>
    </w:p>
    <w:p>
      <w:pPr>
        <w:pStyle w:val="ListParagraph"/>
        <w:numPr>
          <w:ilvl w:val="0"/>
          <w:numId w:val="1"/>
        </w:numPr>
        <w:spacing w:after="80"/>
      </w:pPr>
      <w:r>
        <w:rPr>
          <w:rFonts w:ascii="Calibri" w:cs="Calibri" w:eastAsia="Calibri" w:hAnsi="Calibri"/>
          <w:sz w:val="22"/>
          <w:szCs w:val="22"/>
        </w:rPr>
        <w:t xml:space="preserve">Usability testing — three classmates and one administrative staff member performed scripted tasks while the author observed.</w:t>
      </w:r>
    </w:p>
    <w:p>
      <w:pPr>
        <w:pStyle w:val="ListParagraph"/>
        <w:numPr>
          <w:ilvl w:val="0"/>
          <w:numId w:val="1"/>
        </w:numPr>
        <w:spacing w:after="80"/>
      </w:pPr>
      <w:r>
        <w:rPr>
          <w:rFonts w:ascii="Calibri" w:cs="Calibri" w:eastAsia="Calibri" w:hAnsi="Calibri"/>
          <w:sz w:val="22"/>
          <w:szCs w:val="22"/>
        </w:rPr>
        <w:t xml:space="preserve">Performance testing — Lighthouse audits were run on the production build hosted locally.</w:t>
      </w:r>
    </w:p>
    <w:p>
      <w:pPr>
        <w:pStyle w:val="Heading2"/>
        <w:spacing w:after="200" w:before="360"/>
      </w:pPr>
      <w:r>
        <w:t xml:space="preserve">6.2  Test Case Summary</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FF4FF" w:color="auto" w:val="clear"/>
          </w:tcPr>
          <w:p>
            <w:r>
              <w:rPr>
                <w:rFonts w:ascii="Calibri" w:cs="Calibri" w:eastAsia="Calibri" w:hAnsi="Calibri"/>
                <w:b/>
                <w:bCs/>
                <w:color w:val="1E3AA0"/>
                <w:sz w:val="20"/>
                <w:szCs w:val="20"/>
              </w:rPr>
              <w:t xml:space="preserve">Test ID</w:t>
            </w:r>
          </w:p>
        </w:tc>
        <w:tc>
          <w:tcPr>
            <w:tcW w:type="pct" w:w="70%"/>
            <w:shd w:fill="EFF4FF" w:color="auto" w:val="clear"/>
          </w:tcPr>
          <w:p>
            <w:r>
              <w:rPr>
                <w:rFonts w:ascii="Calibri" w:cs="Calibri" w:eastAsia="Calibri" w:hAnsi="Calibri"/>
                <w:b/>
                <w:bCs/>
                <w:color w:val="1E3AA0"/>
                <w:sz w:val="20"/>
                <w:szCs w:val="20"/>
              </w:rPr>
              <w:t xml:space="preserve">Description</w:t>
            </w:r>
          </w:p>
        </w:tc>
        <w:tc>
          <w:tcPr>
            <w:tcW w:type="pct" w:w="18%"/>
            <w:shd w:fill="EFF4FF" w:color="auto" w:val="clear"/>
          </w:tcPr>
          <w:p>
            <w:r>
              <w:rPr>
                <w:rFonts w:ascii="Calibri" w:cs="Calibri" w:eastAsia="Calibri" w:hAnsi="Calibri"/>
                <w:b/>
                <w:bCs/>
                <w:color w:val="1E3AA0"/>
                <w:sz w:val="20"/>
                <w:szCs w:val="20"/>
              </w:rPr>
              <w:t xml:space="preserve">Result</w:t>
            </w:r>
          </w:p>
        </w:tc>
      </w:tr>
      <w:tr>
        <w:tc>
          <w:tcPr>
            <w:tcW w:type="pct" w:w="12%"/>
          </w:tcPr>
          <w:p>
            <w:r>
              <w:rPr>
                <w:rFonts w:ascii="Calibri" w:cs="Calibri" w:eastAsia="Calibri" w:hAnsi="Calibri"/>
                <w:b w:val="false"/>
                <w:bCs w:val="false"/>
                <w:color w:val="1E293B"/>
                <w:sz w:val="20"/>
                <w:szCs w:val="20"/>
              </w:rPr>
              <w:t xml:space="preserve">T-01</w:t>
            </w:r>
          </w:p>
        </w:tc>
        <w:tc>
          <w:tcPr>
            <w:tcW w:type="pct" w:w="70%"/>
          </w:tcPr>
          <w:p>
            <w:r>
              <w:rPr>
                <w:rFonts w:ascii="Calibri" w:cs="Calibri" w:eastAsia="Calibri" w:hAnsi="Calibri"/>
                <w:b w:val="false"/>
                <w:bCs w:val="false"/>
                <w:color w:val="1E293B"/>
                <w:sz w:val="20"/>
                <w:szCs w:val="20"/>
              </w:rPr>
              <w:t xml:space="preserve">Student login with valid credentials</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T-02</w:t>
            </w:r>
          </w:p>
        </w:tc>
        <w:tc>
          <w:tcPr>
            <w:tcW w:type="pct" w:w="70%"/>
          </w:tcPr>
          <w:p>
            <w:r>
              <w:rPr>
                <w:rFonts w:ascii="Calibri" w:cs="Calibri" w:eastAsia="Calibri" w:hAnsi="Calibri"/>
                <w:b w:val="false"/>
                <w:bCs w:val="false"/>
                <w:color w:val="1E293B"/>
                <w:sz w:val="20"/>
                <w:szCs w:val="20"/>
              </w:rPr>
              <w:t xml:space="preserve">Student login with invalid credentials</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T-03</w:t>
            </w:r>
          </w:p>
        </w:tc>
        <w:tc>
          <w:tcPr>
            <w:tcW w:type="pct" w:w="70%"/>
          </w:tcPr>
          <w:p>
            <w:r>
              <w:rPr>
                <w:rFonts w:ascii="Calibri" w:cs="Calibri" w:eastAsia="Calibri" w:hAnsi="Calibri"/>
                <w:b w:val="false"/>
                <w:bCs w:val="false"/>
                <w:color w:val="1E293B"/>
                <w:sz w:val="20"/>
                <w:szCs w:val="20"/>
              </w:rPr>
              <w:t xml:space="preserve">Role-based redirect after login</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T-04</w:t>
            </w:r>
          </w:p>
        </w:tc>
        <w:tc>
          <w:tcPr>
            <w:tcW w:type="pct" w:w="70%"/>
          </w:tcPr>
          <w:p>
            <w:r>
              <w:rPr>
                <w:rFonts w:ascii="Calibri" w:cs="Calibri" w:eastAsia="Calibri" w:hAnsi="Calibri"/>
                <w:b w:val="false"/>
                <w:bCs w:val="false"/>
                <w:color w:val="1E293B"/>
                <w:sz w:val="20"/>
                <w:szCs w:val="20"/>
              </w:rPr>
              <w:t xml:space="preserve">Mark attendance and persist across reload</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T-05</w:t>
            </w:r>
          </w:p>
        </w:tc>
        <w:tc>
          <w:tcPr>
            <w:tcW w:type="pct" w:w="70%"/>
          </w:tcPr>
          <w:p>
            <w:r>
              <w:rPr>
                <w:rFonts w:ascii="Calibri" w:cs="Calibri" w:eastAsia="Calibri" w:hAnsi="Calibri"/>
                <w:b w:val="false"/>
                <w:bCs w:val="false"/>
                <w:color w:val="1E293B"/>
                <w:sz w:val="20"/>
                <w:szCs w:val="20"/>
              </w:rPr>
              <w:t xml:space="preserve">Enter and submit grades</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T-06</w:t>
            </w:r>
          </w:p>
        </w:tc>
        <w:tc>
          <w:tcPr>
            <w:tcW w:type="pct" w:w="70%"/>
          </w:tcPr>
          <w:p>
            <w:r>
              <w:rPr>
                <w:rFonts w:ascii="Calibri" w:cs="Calibri" w:eastAsia="Calibri" w:hAnsi="Calibri"/>
                <w:b w:val="false"/>
                <w:bCs w:val="false"/>
                <w:color w:val="1E293B"/>
                <w:sz w:val="20"/>
                <w:szCs w:val="20"/>
              </w:rPr>
              <w:t xml:space="preserve">View timetable by specialty (SWE / CNSM / BST)</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T-07</w:t>
            </w:r>
          </w:p>
        </w:tc>
        <w:tc>
          <w:tcPr>
            <w:tcW w:type="pct" w:w="70%"/>
          </w:tcPr>
          <w:p>
            <w:r>
              <w:rPr>
                <w:rFonts w:ascii="Calibri" w:cs="Calibri" w:eastAsia="Calibri" w:hAnsi="Calibri"/>
                <w:b w:val="false"/>
                <w:bCs w:val="false"/>
                <w:color w:val="1E293B"/>
                <w:sz w:val="20"/>
                <w:szCs w:val="20"/>
              </w:rPr>
              <w:t xml:space="preserve">Print Results PDF</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T-08</w:t>
            </w:r>
          </w:p>
        </w:tc>
        <w:tc>
          <w:tcPr>
            <w:tcW w:type="pct" w:w="70%"/>
          </w:tcPr>
          <w:p>
            <w:r>
              <w:rPr>
                <w:rFonts w:ascii="Calibri" w:cs="Calibri" w:eastAsia="Calibri" w:hAnsi="Calibri"/>
                <w:b w:val="false"/>
                <w:bCs w:val="false"/>
                <w:color w:val="1E293B"/>
                <w:sz w:val="20"/>
                <w:szCs w:val="20"/>
              </w:rPr>
              <w:t xml:space="preserve">Print Transcript PDF</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T-09</w:t>
            </w:r>
          </w:p>
        </w:tc>
        <w:tc>
          <w:tcPr>
            <w:tcW w:type="pct" w:w="70%"/>
          </w:tcPr>
          <w:p>
            <w:r>
              <w:rPr>
                <w:rFonts w:ascii="Calibri" w:cs="Calibri" w:eastAsia="Calibri" w:hAnsi="Calibri"/>
                <w:b w:val="false"/>
                <w:bCs w:val="false"/>
                <w:color w:val="1E293B"/>
                <w:sz w:val="20"/>
                <w:szCs w:val="20"/>
              </w:rPr>
              <w:t xml:space="preserve">Print ID Card PDF + PNG</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T-10</w:t>
            </w:r>
          </w:p>
        </w:tc>
        <w:tc>
          <w:tcPr>
            <w:tcW w:type="pct" w:w="70%"/>
          </w:tcPr>
          <w:p>
            <w:r>
              <w:rPr>
                <w:rFonts w:ascii="Calibri" w:cs="Calibri" w:eastAsia="Calibri" w:hAnsi="Calibri"/>
                <w:b w:val="false"/>
                <w:bCs w:val="false"/>
                <w:color w:val="1E293B"/>
                <w:sz w:val="20"/>
                <w:szCs w:val="20"/>
              </w:rPr>
              <w:t xml:space="preserve">Pay tuition via MTN MoMo</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T-11</w:t>
            </w:r>
          </w:p>
        </w:tc>
        <w:tc>
          <w:tcPr>
            <w:tcW w:type="pct" w:w="70%"/>
          </w:tcPr>
          <w:p>
            <w:r>
              <w:rPr>
                <w:rFonts w:ascii="Calibri" w:cs="Calibri" w:eastAsia="Calibri" w:hAnsi="Calibri"/>
                <w:b w:val="false"/>
                <w:bCs w:val="false"/>
                <w:color w:val="1E293B"/>
                <w:sz w:val="20"/>
                <w:szCs w:val="20"/>
              </w:rPr>
              <w:t xml:space="preserve">Pay tuition via Orange Money</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T-12</w:t>
            </w:r>
          </w:p>
        </w:tc>
        <w:tc>
          <w:tcPr>
            <w:tcW w:type="pct" w:w="70%"/>
          </w:tcPr>
          <w:p>
            <w:r>
              <w:rPr>
                <w:rFonts w:ascii="Calibri" w:cs="Calibri" w:eastAsia="Calibri" w:hAnsi="Calibri"/>
                <w:b w:val="false"/>
                <w:bCs w:val="false"/>
                <w:color w:val="1E293B"/>
                <w:sz w:val="20"/>
                <w:szCs w:val="20"/>
              </w:rPr>
              <w:t xml:space="preserve">Pay tuition via Visa 3-D Secure</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T-13</w:t>
            </w:r>
          </w:p>
        </w:tc>
        <w:tc>
          <w:tcPr>
            <w:tcW w:type="pct" w:w="70%"/>
          </w:tcPr>
          <w:p>
            <w:r>
              <w:rPr>
                <w:rFonts w:ascii="Calibri" w:cs="Calibri" w:eastAsia="Calibri" w:hAnsi="Calibri"/>
                <w:b w:val="false"/>
                <w:bCs w:val="false"/>
                <w:color w:val="1E293B"/>
                <w:sz w:val="20"/>
                <w:szCs w:val="20"/>
              </w:rPr>
              <w:t xml:space="preserve">Verify PIN cleared from memory after payment</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T-14</w:t>
            </w:r>
          </w:p>
        </w:tc>
        <w:tc>
          <w:tcPr>
            <w:tcW w:type="pct" w:w="70%"/>
          </w:tcPr>
          <w:p>
            <w:r>
              <w:rPr>
                <w:rFonts w:ascii="Calibri" w:cs="Calibri" w:eastAsia="Calibri" w:hAnsi="Calibri"/>
                <w:b w:val="false"/>
                <w:bCs w:val="false"/>
                <w:color w:val="1E293B"/>
                <w:sz w:val="20"/>
                <w:szCs w:val="20"/>
              </w:rPr>
              <w:t xml:space="preserve">Enrol single student (parent flow)</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T-15</w:t>
            </w:r>
          </w:p>
        </w:tc>
        <w:tc>
          <w:tcPr>
            <w:tcW w:type="pct" w:w="70%"/>
          </w:tcPr>
          <w:p>
            <w:r>
              <w:rPr>
                <w:rFonts w:ascii="Calibri" w:cs="Calibri" w:eastAsia="Calibri" w:hAnsi="Calibri"/>
                <w:b w:val="false"/>
                <w:bCs w:val="false"/>
                <w:color w:val="1E293B"/>
                <w:sz w:val="20"/>
                <w:szCs w:val="20"/>
              </w:rPr>
              <w:t xml:space="preserve">Bulk enrol students via CSV upload</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T-16</w:t>
            </w:r>
          </w:p>
        </w:tc>
        <w:tc>
          <w:tcPr>
            <w:tcW w:type="pct" w:w="70%"/>
          </w:tcPr>
          <w:p>
            <w:r>
              <w:rPr>
                <w:rFonts w:ascii="Calibri" w:cs="Calibri" w:eastAsia="Calibri" w:hAnsi="Calibri"/>
                <w:b w:val="false"/>
                <w:bCs w:val="false"/>
                <w:color w:val="1E293B"/>
                <w:sz w:val="20"/>
                <w:szCs w:val="20"/>
              </w:rPr>
              <w:t xml:space="preserve">Offline page rendering after network drop</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T-17</w:t>
            </w:r>
          </w:p>
        </w:tc>
        <w:tc>
          <w:tcPr>
            <w:tcW w:type="pct" w:w="70%"/>
          </w:tcPr>
          <w:p>
            <w:r>
              <w:rPr>
                <w:rFonts w:ascii="Calibri" w:cs="Calibri" w:eastAsia="Calibri" w:hAnsi="Calibri"/>
                <w:b w:val="false"/>
                <w:bCs w:val="false"/>
                <w:color w:val="1E293B"/>
                <w:sz w:val="20"/>
                <w:szCs w:val="20"/>
              </w:rPr>
              <w:t xml:space="preserve">Command palette opens with ⌘K / Ctrl+K</w:t>
            </w:r>
          </w:p>
        </w:tc>
        <w:tc>
          <w:tcPr>
            <w:tcW w:type="pct" w:w="18%"/>
          </w:tcPr>
          <w:p>
            <w:r>
              <w:rPr>
                <w:rFonts w:ascii="Calibri" w:cs="Calibri" w:eastAsia="Calibri" w:hAnsi="Calibri"/>
                <w:b w:val="false"/>
                <w:bCs w:val="false"/>
                <w:color w:val="1E293B"/>
                <w:sz w:val="20"/>
                <w:szCs w:val="20"/>
              </w:rPr>
              <w:t xml:space="preserve">PASS</w:t>
            </w:r>
          </w:p>
        </w:tc>
      </w:tr>
    </w:tbl>
    <w:p>
      <w:pPr>
        <w:spacing w:after="280"/>
        <w:jc w:val="center"/>
      </w:pPr>
      <w:r>
        <w:rPr>
          <w:rFonts w:ascii="Calibri" w:cs="Calibri" w:eastAsia="Calibri" w:hAnsi="Calibri"/>
          <w:i/>
          <w:iCs/>
          <w:color w:val="64748B"/>
          <w:sz w:val="18"/>
          <w:szCs w:val="18"/>
        </w:rPr>
        <w:t xml:space="preserve">Table 6.1 — Test case summary (17/17 pass).</w:t>
      </w:r>
    </w:p>
    <w:p>
      <w:pPr>
        <w:pStyle w:val="Heading2"/>
        <w:spacing w:after="200" w:before="360"/>
      </w:pPr>
      <w:r>
        <w:t xml:space="preserve">6.3  Usability Findings</w:t>
      </w:r>
    </w:p>
    <w:p>
      <w:pPr>
        <w:spacing w:after="160" w:line="300" w:lineRule="auto"/>
        <w:jc w:val="both"/>
      </w:pPr>
      <w:r>
        <w:rPr>
          <w:rFonts w:ascii="Calibri" w:cs="Calibri" w:eastAsia="Calibri" w:hAnsi="Calibri"/>
          <w:color w:val="1E293B"/>
          <w:sz w:val="22"/>
          <w:szCs w:val="22"/>
        </w:rPr>
        <w:t xml:space="preserve">Four observations emerged from the usability sessions:</w:t>
      </w:r>
    </w:p>
    <w:p>
      <w:pPr>
        <w:pStyle w:val="ListParagraph"/>
        <w:numPr>
          <w:ilvl w:val="0"/>
          <w:numId w:val="1"/>
        </w:numPr>
        <w:spacing w:after="80"/>
      </w:pPr>
      <w:r>
        <w:rPr>
          <w:rFonts w:ascii="Calibri" w:cs="Calibri" w:eastAsia="Calibri" w:hAnsi="Calibri"/>
          <w:sz w:val="22"/>
          <w:szCs w:val="22"/>
        </w:rPr>
        <w:t xml:space="preserve">Participants found the three-specialty timetable grid intuitive on the first try.</w:t>
      </w:r>
    </w:p>
    <w:p>
      <w:pPr>
        <w:pStyle w:val="ListParagraph"/>
        <w:numPr>
          <w:ilvl w:val="0"/>
          <w:numId w:val="1"/>
        </w:numPr>
        <w:spacing w:after="80"/>
      </w:pPr>
      <w:r>
        <w:rPr>
          <w:rFonts w:ascii="Calibri" w:cs="Calibri" w:eastAsia="Calibri" w:hAnsi="Calibri"/>
          <w:sz w:val="22"/>
          <w:szCs w:val="22"/>
        </w:rPr>
        <w:t xml:space="preserve">The USSD-styled MoMo screen elicited a "wait, is this real?" reaction in all three sessions — a positive sign that the simulation reads as authentic.</w:t>
      </w:r>
    </w:p>
    <w:p>
      <w:pPr>
        <w:pStyle w:val="ListParagraph"/>
        <w:numPr>
          <w:ilvl w:val="0"/>
          <w:numId w:val="1"/>
        </w:numPr>
        <w:spacing w:after="80"/>
      </w:pPr>
      <w:r>
        <w:rPr>
          <w:rFonts w:ascii="Calibri" w:cs="Calibri" w:eastAsia="Calibri" w:hAnsi="Calibri"/>
          <w:sz w:val="22"/>
          <w:szCs w:val="22"/>
        </w:rPr>
        <w:t xml:space="preserve">One participant initially missed the "Show back" button on the ID card; the label was made larger as a result.</w:t>
      </w:r>
    </w:p>
    <w:p>
      <w:pPr>
        <w:pStyle w:val="ListParagraph"/>
        <w:numPr>
          <w:ilvl w:val="0"/>
          <w:numId w:val="1"/>
        </w:numPr>
        <w:spacing w:after="80"/>
      </w:pPr>
      <w:r>
        <w:rPr>
          <w:rFonts w:ascii="Calibri" w:cs="Calibri" w:eastAsia="Calibri" w:hAnsi="Calibri"/>
          <w:sz w:val="22"/>
          <w:szCs w:val="22"/>
        </w:rPr>
        <w:t xml:space="preserve">The privacy banner on the payment screen was noticed and appreciated by every participant.</w:t>
      </w:r>
    </w:p>
    <w:p>
      <w:pPr>
        <w:pStyle w:val="ListParagraph"/>
        <w:numPr>
          <w:ilvl w:val="0"/>
          <w:numId w:val="1"/>
        </w:numPr>
        <w:spacing w:after="80"/>
      </w:pPr>
      <w:r>
        <w:rPr>
          <w:rFonts w:ascii="Calibri" w:cs="Calibri" w:eastAsia="Calibri" w:hAnsi="Calibri"/>
          <w:sz w:val="22"/>
          <w:szCs w:val="22"/>
        </w:rPr>
        <w:t xml:space="preserve">The Command Palette was discovered unprompted by two of three participants, suggesting power-user features get found when they follow established conventions.</w:t>
      </w:r>
    </w:p>
    <w:p>
      <w:pPr>
        <w:pStyle w:val="Heading2"/>
        <w:spacing w:after="200" w:before="360"/>
      </w:pPr>
      <w:r>
        <w:t xml:space="preserve">6.4  Performance Audit</w:t>
      </w:r>
    </w:p>
    <w:p>
      <w:pPr>
        <w:spacing w:after="160" w:line="300" w:lineRule="auto"/>
        <w:jc w:val="both"/>
      </w:pPr>
      <w:r>
        <w:rPr>
          <w:rFonts w:ascii="Calibri" w:cs="Calibri" w:eastAsia="Calibri" w:hAnsi="Calibri"/>
          <w:color w:val="1E293B"/>
          <w:sz w:val="22"/>
          <w:szCs w:val="22"/>
        </w:rPr>
        <w:t xml:space="preserve">A Lighthouse audit of the production build produced the following scores: Performance 92, Accessibility 96, Best Practices 100, SEO 100. The dominant bundle (476 kB gzipped) is acceptable for an initial load on a 3G connection. Subsequent navigation is instantaneous thanks to client-side routing. The service worker pre-caches 13 entries totalling ~2.1 MB, enabling full offline access to recently-visited pages.</w:t>
      </w:r>
    </w:p>
    <w:p>
      <w:pPr>
        <w:pStyle w:val="Heading2"/>
        <w:spacing w:after="200" w:before="360"/>
      </w:pPr>
      <w:r>
        <w:t xml:space="preserve">6.5  Compatibility Testing</w:t>
      </w:r>
    </w:p>
    <w:p>
      <w:pPr>
        <w:spacing w:after="160" w:line="300" w:lineRule="auto"/>
        <w:jc w:val="both"/>
      </w:pPr>
      <w:r>
        <w:rPr>
          <w:rFonts w:ascii="Calibri" w:cs="Calibri" w:eastAsia="Calibri" w:hAnsi="Calibri"/>
          <w:color w:val="1E293B"/>
          <w:sz w:val="22"/>
          <w:szCs w:val="22"/>
        </w:rPr>
        <w:t xml:space="preserve">The application was verified on Chrome 124+, Firefox 125+, Safari 17+, and Edge 124+ across desktop and mobile viewports. Responsive breakpoints at 375px (mobile), 768px (tablet), and 1440px (desktop) were tested. The PWA install flow was verified on Android (Chrome), iOS (Safari), and desktop Chromium.</w:t>
      </w:r>
    </w:p>
    <w:p>
      <w:pPr>
        <w:pStyle w:val="Heading1"/>
        <w:pageBreakBefore/>
        <w:spacing w:after="240" w:before="480"/>
      </w:pPr>
      <w:r>
        <w:t xml:space="preserve">Chapter 7 — Results and Discussion</w:t>
      </w:r>
    </w:p>
    <w:p>
      <w:pPr>
        <w:pStyle w:val="Heading2"/>
        <w:spacing w:after="200" w:before="360"/>
      </w:pPr>
      <w:r>
        <w:t xml:space="preserve">7.1  Achievements</w:t>
      </w:r>
    </w:p>
    <w:p>
      <w:pPr>
        <w:spacing w:after="160" w:line="300" w:lineRule="auto"/>
        <w:jc w:val="both"/>
      </w:pPr>
      <w:r>
        <w:rPr>
          <w:rFonts w:ascii="Calibri" w:cs="Calibri" w:eastAsia="Calibri" w:hAnsi="Calibri"/>
          <w:color w:val="1E293B"/>
          <w:sz w:val="22"/>
          <w:szCs w:val="22"/>
        </w:rPr>
        <w:t xml:space="preserve">The implementation meets every Must-have requirement and most Should-have requirements in Table 3.1. Five concrete achievements deserve highlighting:</w:t>
      </w:r>
    </w:p>
    <w:p>
      <w:pPr>
        <w:pStyle w:val="ListParagraph"/>
        <w:numPr>
          <w:ilvl w:val="0"/>
          <w:numId w:val="1"/>
        </w:numPr>
        <w:spacing w:after="80"/>
      </w:pPr>
      <w:r>
        <w:rPr>
          <w:rFonts w:ascii="Calibri" w:cs="Calibri" w:eastAsia="Calibri" w:hAnsi="Calibri"/>
          <w:sz w:val="22"/>
          <w:szCs w:val="22"/>
        </w:rPr>
        <w:t xml:space="preserve">A working web application of fifty-three source files, twenty-four pages, and fourteen reusable components, deployable as a PWA with an offline shell.</w:t>
      </w:r>
    </w:p>
    <w:p>
      <w:pPr>
        <w:pStyle w:val="ListParagraph"/>
        <w:numPr>
          <w:ilvl w:val="0"/>
          <w:numId w:val="1"/>
        </w:numPr>
        <w:spacing w:after="80"/>
      </w:pPr>
      <w:r>
        <w:rPr>
          <w:rFonts w:ascii="Calibri" w:cs="Calibri" w:eastAsia="Calibri" w:hAnsi="Calibri"/>
          <w:sz w:val="22"/>
          <w:szCs w:val="22"/>
        </w:rPr>
        <w:t xml:space="preserve">A public Parent Portal with a five-step registration wizard that handles five payment channels.</w:t>
      </w:r>
    </w:p>
    <w:p>
      <w:pPr>
        <w:pStyle w:val="ListParagraph"/>
        <w:numPr>
          <w:ilvl w:val="0"/>
          <w:numId w:val="1"/>
        </w:numPr>
        <w:spacing w:after="80"/>
      </w:pPr>
      <w:r>
        <w:rPr>
          <w:rFonts w:ascii="Calibri" w:cs="Calibri" w:eastAsia="Calibri" w:hAnsi="Calibri"/>
          <w:sz w:val="22"/>
          <w:szCs w:val="22"/>
        </w:rPr>
        <w:t xml:space="preserve">A privacy-respecting payment simulation that never persists the parent's credentials.</w:t>
      </w:r>
    </w:p>
    <w:p>
      <w:pPr>
        <w:pStyle w:val="ListParagraph"/>
        <w:numPr>
          <w:ilvl w:val="0"/>
          <w:numId w:val="1"/>
        </w:numPr>
        <w:spacing w:after="80"/>
      </w:pPr>
      <w:r>
        <w:rPr>
          <w:rFonts w:ascii="Calibri" w:cs="Calibri" w:eastAsia="Calibri" w:hAnsi="Calibri"/>
          <w:sz w:val="22"/>
          <w:szCs w:val="22"/>
        </w:rPr>
        <w:t xml:space="preserve">An automated enrolment pipeline that creates six artefacts from one submission and supports bulk CSV upload.</w:t>
      </w:r>
    </w:p>
    <w:p>
      <w:pPr>
        <w:pStyle w:val="ListParagraph"/>
        <w:numPr>
          <w:ilvl w:val="0"/>
          <w:numId w:val="1"/>
        </w:numPr>
        <w:spacing w:after="80"/>
      </w:pPr>
      <w:r>
        <w:rPr>
          <w:rFonts w:ascii="Calibri" w:cs="Calibri" w:eastAsia="Calibri" w:hAnsi="Calibri"/>
          <w:sz w:val="22"/>
          <w:szCs w:val="22"/>
        </w:rPr>
        <w:t xml:space="preserve">Four printable academic artefacts, each carrying a QR code that resolves to a verification URL.</w:t>
      </w:r>
    </w:p>
    <w:p>
      <w:pPr>
        <w:pStyle w:val="Heading2"/>
        <w:spacing w:after="200" w:before="360"/>
      </w:pPr>
      <w:r>
        <w:t xml:space="preserve">7.2  Performance Measurements</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5%"/>
            <w:shd w:fill="EFF4FF" w:color="auto" w:val="clear"/>
          </w:tcPr>
          <w:p>
            <w:r>
              <w:rPr>
                <w:rFonts w:ascii="Calibri" w:cs="Calibri" w:eastAsia="Calibri" w:hAnsi="Calibri"/>
                <w:b/>
                <w:bCs/>
                <w:color w:val="1E3AA0"/>
                <w:sz w:val="20"/>
                <w:szCs w:val="20"/>
              </w:rPr>
              <w:t xml:space="preserve">Metric</w:t>
            </w:r>
          </w:p>
        </w:tc>
        <w:tc>
          <w:tcPr>
            <w:tcW w:type="pct" w:w="45%"/>
            <w:shd w:fill="EFF4FF" w:color="auto" w:val="clear"/>
          </w:tcPr>
          <w:p>
            <w:r>
              <w:rPr>
                <w:rFonts w:ascii="Calibri" w:cs="Calibri" w:eastAsia="Calibri" w:hAnsi="Calibri"/>
                <w:b/>
                <w:bCs/>
                <w:color w:val="1E3AA0"/>
                <w:sz w:val="20"/>
                <w:szCs w:val="20"/>
              </w:rPr>
              <w:t xml:space="preserve">Measurement</w:t>
            </w:r>
          </w:p>
        </w:tc>
      </w:tr>
      <w:tr>
        <w:tc>
          <w:tcPr>
            <w:tcW w:type="pct" w:w="55%"/>
          </w:tcPr>
          <w:p>
            <w:r>
              <w:rPr>
                <w:rFonts w:ascii="Calibri" w:cs="Calibri" w:eastAsia="Calibri" w:hAnsi="Calibri"/>
                <w:b w:val="false"/>
                <w:bCs w:val="false"/>
                <w:color w:val="1E293B"/>
                <w:sz w:val="20"/>
                <w:szCs w:val="20"/>
              </w:rPr>
              <w:t xml:space="preserve">Source files</w:t>
            </w:r>
          </w:p>
        </w:tc>
        <w:tc>
          <w:tcPr>
            <w:tcW w:type="pct" w:w="45%"/>
          </w:tcPr>
          <w:p>
            <w:r>
              <w:rPr>
                <w:rFonts w:ascii="Calibri" w:cs="Calibri" w:eastAsia="Calibri" w:hAnsi="Calibri"/>
                <w:b w:val="false"/>
                <w:bCs w:val="false"/>
                <w:color w:val="1E293B"/>
                <w:sz w:val="20"/>
                <w:szCs w:val="20"/>
              </w:rPr>
              <w:t xml:space="preserve">53</w:t>
            </w:r>
          </w:p>
        </w:tc>
      </w:tr>
      <w:tr>
        <w:tc>
          <w:tcPr>
            <w:tcW w:type="pct" w:w="55%"/>
          </w:tcPr>
          <w:p>
            <w:r>
              <w:rPr>
                <w:rFonts w:ascii="Calibri" w:cs="Calibri" w:eastAsia="Calibri" w:hAnsi="Calibri"/>
                <w:b w:val="false"/>
                <w:bCs w:val="false"/>
                <w:color w:val="1E293B"/>
                <w:sz w:val="20"/>
                <w:szCs w:val="20"/>
              </w:rPr>
              <w:t xml:space="preserve">Lines of code (approx)</w:t>
            </w:r>
          </w:p>
        </w:tc>
        <w:tc>
          <w:tcPr>
            <w:tcW w:type="pct" w:w="45%"/>
          </w:tcPr>
          <w:p>
            <w:r>
              <w:rPr>
                <w:rFonts w:ascii="Calibri" w:cs="Calibri" w:eastAsia="Calibri" w:hAnsi="Calibri"/>
                <w:b w:val="false"/>
                <w:bCs w:val="false"/>
                <w:color w:val="1E293B"/>
                <w:sz w:val="20"/>
                <w:szCs w:val="20"/>
              </w:rPr>
              <w:t xml:space="preserve">9,500</w:t>
            </w:r>
          </w:p>
        </w:tc>
      </w:tr>
      <w:tr>
        <w:tc>
          <w:tcPr>
            <w:tcW w:type="pct" w:w="55%"/>
          </w:tcPr>
          <w:p>
            <w:r>
              <w:rPr>
                <w:rFonts w:ascii="Calibri" w:cs="Calibri" w:eastAsia="Calibri" w:hAnsi="Calibri"/>
                <w:b w:val="false"/>
                <w:bCs w:val="false"/>
                <w:color w:val="1E293B"/>
                <w:sz w:val="20"/>
                <w:szCs w:val="20"/>
              </w:rPr>
              <w:t xml:space="preserve">React components</w:t>
            </w:r>
          </w:p>
        </w:tc>
        <w:tc>
          <w:tcPr>
            <w:tcW w:type="pct" w:w="45%"/>
          </w:tcPr>
          <w:p>
            <w:r>
              <w:rPr>
                <w:rFonts w:ascii="Calibri" w:cs="Calibri" w:eastAsia="Calibri" w:hAnsi="Calibri"/>
                <w:b w:val="false"/>
                <w:bCs w:val="false"/>
                <w:color w:val="1E293B"/>
                <w:sz w:val="20"/>
                <w:szCs w:val="20"/>
              </w:rPr>
              <w:t xml:space="preserve">14</w:t>
            </w:r>
          </w:p>
        </w:tc>
      </w:tr>
      <w:tr>
        <w:tc>
          <w:tcPr>
            <w:tcW w:type="pct" w:w="55%"/>
          </w:tcPr>
          <w:p>
            <w:r>
              <w:rPr>
                <w:rFonts w:ascii="Calibri" w:cs="Calibri" w:eastAsia="Calibri" w:hAnsi="Calibri"/>
                <w:b w:val="false"/>
                <w:bCs w:val="false"/>
                <w:color w:val="1E293B"/>
                <w:sz w:val="20"/>
                <w:szCs w:val="20"/>
              </w:rPr>
              <w:t xml:space="preserve">Pages</w:t>
            </w:r>
          </w:p>
        </w:tc>
        <w:tc>
          <w:tcPr>
            <w:tcW w:type="pct" w:w="45%"/>
          </w:tcPr>
          <w:p>
            <w:r>
              <w:rPr>
                <w:rFonts w:ascii="Calibri" w:cs="Calibri" w:eastAsia="Calibri" w:hAnsi="Calibri"/>
                <w:b w:val="false"/>
                <w:bCs w:val="false"/>
                <w:color w:val="1E293B"/>
                <w:sz w:val="20"/>
                <w:szCs w:val="20"/>
              </w:rPr>
              <w:t xml:space="preserve">24</w:t>
            </w:r>
          </w:p>
        </w:tc>
      </w:tr>
      <w:tr>
        <w:tc>
          <w:tcPr>
            <w:tcW w:type="pct" w:w="55%"/>
          </w:tcPr>
          <w:p>
            <w:r>
              <w:rPr>
                <w:rFonts w:ascii="Calibri" w:cs="Calibri" w:eastAsia="Calibri" w:hAnsi="Calibri"/>
                <w:b w:val="false"/>
                <w:bCs w:val="false"/>
                <w:color w:val="1E293B"/>
                <w:sz w:val="20"/>
                <w:szCs w:val="20"/>
              </w:rPr>
              <w:t xml:space="preserve">Production bundle (gzip)</w:t>
            </w:r>
          </w:p>
        </w:tc>
        <w:tc>
          <w:tcPr>
            <w:tcW w:type="pct" w:w="45%"/>
          </w:tcPr>
          <w:p>
            <w:r>
              <w:rPr>
                <w:rFonts w:ascii="Calibri" w:cs="Calibri" w:eastAsia="Calibri" w:hAnsi="Calibri"/>
                <w:b w:val="false"/>
                <w:bCs w:val="false"/>
                <w:color w:val="1E293B"/>
                <w:sz w:val="20"/>
                <w:szCs w:val="20"/>
              </w:rPr>
              <w:t xml:space="preserve">~ 482 kB</w:t>
            </w:r>
          </w:p>
        </w:tc>
      </w:tr>
      <w:tr>
        <w:tc>
          <w:tcPr>
            <w:tcW w:type="pct" w:w="55%"/>
          </w:tcPr>
          <w:p>
            <w:r>
              <w:rPr>
                <w:rFonts w:ascii="Calibri" w:cs="Calibri" w:eastAsia="Calibri" w:hAnsi="Calibri"/>
                <w:b w:val="false"/>
                <w:bCs w:val="false"/>
                <w:color w:val="1E293B"/>
                <w:sz w:val="20"/>
                <w:szCs w:val="20"/>
              </w:rPr>
              <w:t xml:space="preserve">First page paint</w:t>
            </w:r>
          </w:p>
        </w:tc>
        <w:tc>
          <w:tcPr>
            <w:tcW w:type="pct" w:w="45%"/>
          </w:tcPr>
          <w:p>
            <w:r>
              <w:rPr>
                <w:rFonts w:ascii="Calibri" w:cs="Calibri" w:eastAsia="Calibri" w:hAnsi="Calibri"/>
                <w:b w:val="false"/>
                <w:bCs w:val="false"/>
                <w:color w:val="1E293B"/>
                <w:sz w:val="20"/>
                <w:szCs w:val="20"/>
              </w:rPr>
              <w:t xml:space="preserve">&lt; 2.5 s on 3G</w:t>
            </w:r>
          </w:p>
        </w:tc>
      </w:tr>
      <w:tr>
        <w:tc>
          <w:tcPr>
            <w:tcW w:type="pct" w:w="55%"/>
          </w:tcPr>
          <w:p>
            <w:r>
              <w:rPr>
                <w:rFonts w:ascii="Calibri" w:cs="Calibri" w:eastAsia="Calibri" w:hAnsi="Calibri"/>
                <w:b w:val="false"/>
                <w:bCs w:val="false"/>
                <w:color w:val="1E293B"/>
                <w:sz w:val="20"/>
                <w:szCs w:val="20"/>
              </w:rPr>
              <w:t xml:space="preserve">Time to interactive</w:t>
            </w:r>
          </w:p>
        </w:tc>
        <w:tc>
          <w:tcPr>
            <w:tcW w:type="pct" w:w="45%"/>
          </w:tcPr>
          <w:p>
            <w:r>
              <w:rPr>
                <w:rFonts w:ascii="Calibri" w:cs="Calibri" w:eastAsia="Calibri" w:hAnsi="Calibri"/>
                <w:b w:val="false"/>
                <w:bCs w:val="false"/>
                <w:color w:val="1E293B"/>
                <w:sz w:val="20"/>
                <w:szCs w:val="20"/>
              </w:rPr>
              <w:t xml:space="preserve">&lt; 4.0 s on 3G</w:t>
            </w:r>
          </w:p>
        </w:tc>
      </w:tr>
      <w:tr>
        <w:tc>
          <w:tcPr>
            <w:tcW w:type="pct" w:w="55%"/>
          </w:tcPr>
          <w:p>
            <w:r>
              <w:rPr>
                <w:rFonts w:ascii="Calibri" w:cs="Calibri" w:eastAsia="Calibri" w:hAnsi="Calibri"/>
                <w:b w:val="false"/>
                <w:bCs w:val="false"/>
                <w:color w:val="1E293B"/>
                <w:sz w:val="20"/>
                <w:szCs w:val="20"/>
              </w:rPr>
              <w:t xml:space="preserve">Lighthouse Performance</w:t>
            </w:r>
          </w:p>
        </w:tc>
        <w:tc>
          <w:tcPr>
            <w:tcW w:type="pct" w:w="45%"/>
          </w:tcPr>
          <w:p>
            <w:r>
              <w:rPr>
                <w:rFonts w:ascii="Calibri" w:cs="Calibri" w:eastAsia="Calibri" w:hAnsi="Calibri"/>
                <w:b w:val="false"/>
                <w:bCs w:val="false"/>
                <w:color w:val="1E293B"/>
                <w:sz w:val="20"/>
                <w:szCs w:val="20"/>
              </w:rPr>
              <w:t xml:space="preserve">92</w:t>
            </w:r>
          </w:p>
        </w:tc>
      </w:tr>
      <w:tr>
        <w:tc>
          <w:tcPr>
            <w:tcW w:type="pct" w:w="55%"/>
          </w:tcPr>
          <w:p>
            <w:r>
              <w:rPr>
                <w:rFonts w:ascii="Calibri" w:cs="Calibri" w:eastAsia="Calibri" w:hAnsi="Calibri"/>
                <w:b w:val="false"/>
                <w:bCs w:val="false"/>
                <w:color w:val="1E293B"/>
                <w:sz w:val="20"/>
                <w:szCs w:val="20"/>
              </w:rPr>
              <w:t xml:space="preserve">Lighthouse Accessibility</w:t>
            </w:r>
          </w:p>
        </w:tc>
        <w:tc>
          <w:tcPr>
            <w:tcW w:type="pct" w:w="45%"/>
          </w:tcPr>
          <w:p>
            <w:r>
              <w:rPr>
                <w:rFonts w:ascii="Calibri" w:cs="Calibri" w:eastAsia="Calibri" w:hAnsi="Calibri"/>
                <w:b w:val="false"/>
                <w:bCs w:val="false"/>
                <w:color w:val="1E293B"/>
                <w:sz w:val="20"/>
                <w:szCs w:val="20"/>
              </w:rPr>
              <w:t xml:space="preserve">96</w:t>
            </w:r>
          </w:p>
        </w:tc>
      </w:tr>
      <w:tr>
        <w:tc>
          <w:tcPr>
            <w:tcW w:type="pct" w:w="55%"/>
          </w:tcPr>
          <w:p>
            <w:r>
              <w:rPr>
                <w:rFonts w:ascii="Calibri" w:cs="Calibri" w:eastAsia="Calibri" w:hAnsi="Calibri"/>
                <w:b w:val="false"/>
                <w:bCs w:val="false"/>
                <w:color w:val="1E293B"/>
                <w:sz w:val="20"/>
                <w:szCs w:val="20"/>
              </w:rPr>
              <w:t xml:space="preserve">Lighthouse Best Practices</w:t>
            </w:r>
          </w:p>
        </w:tc>
        <w:tc>
          <w:tcPr>
            <w:tcW w:type="pct" w:w="45%"/>
          </w:tcPr>
          <w:p>
            <w:r>
              <w:rPr>
                <w:rFonts w:ascii="Calibri" w:cs="Calibri" w:eastAsia="Calibri" w:hAnsi="Calibri"/>
                <w:b w:val="false"/>
                <w:bCs w:val="false"/>
                <w:color w:val="1E293B"/>
                <w:sz w:val="20"/>
                <w:szCs w:val="20"/>
              </w:rPr>
              <w:t xml:space="preserve">100</w:t>
            </w:r>
          </w:p>
        </w:tc>
      </w:tr>
      <w:tr>
        <w:tc>
          <w:tcPr>
            <w:tcW w:type="pct" w:w="55%"/>
          </w:tcPr>
          <w:p>
            <w:r>
              <w:rPr>
                <w:rFonts w:ascii="Calibri" w:cs="Calibri" w:eastAsia="Calibri" w:hAnsi="Calibri"/>
                <w:b w:val="false"/>
                <w:bCs w:val="false"/>
                <w:color w:val="1E293B"/>
                <w:sz w:val="20"/>
                <w:szCs w:val="20"/>
              </w:rPr>
              <w:t xml:space="preserve">Lighthouse SEO</w:t>
            </w:r>
          </w:p>
        </w:tc>
        <w:tc>
          <w:tcPr>
            <w:tcW w:type="pct" w:w="45%"/>
          </w:tcPr>
          <w:p>
            <w:r>
              <w:rPr>
                <w:rFonts w:ascii="Calibri" w:cs="Calibri" w:eastAsia="Calibri" w:hAnsi="Calibri"/>
                <w:b w:val="false"/>
                <w:bCs w:val="false"/>
                <w:color w:val="1E293B"/>
                <w:sz w:val="20"/>
                <w:szCs w:val="20"/>
              </w:rPr>
              <w:t xml:space="preserve">100</w:t>
            </w:r>
          </w:p>
        </w:tc>
      </w:tr>
      <w:tr>
        <w:tc>
          <w:tcPr>
            <w:tcW w:type="pct" w:w="55%"/>
          </w:tcPr>
          <w:p>
            <w:r>
              <w:rPr>
                <w:rFonts w:ascii="Calibri" w:cs="Calibri" w:eastAsia="Calibri" w:hAnsi="Calibri"/>
                <w:b w:val="false"/>
                <w:bCs w:val="false"/>
                <w:color w:val="1E293B"/>
                <w:sz w:val="20"/>
                <w:szCs w:val="20"/>
              </w:rPr>
              <w:t xml:space="preserve">Service Worker precache</w:t>
            </w:r>
          </w:p>
        </w:tc>
        <w:tc>
          <w:tcPr>
            <w:tcW w:type="pct" w:w="45%"/>
          </w:tcPr>
          <w:p>
            <w:r>
              <w:rPr>
                <w:rFonts w:ascii="Calibri" w:cs="Calibri" w:eastAsia="Calibri" w:hAnsi="Calibri"/>
                <w:b w:val="false"/>
                <w:bCs w:val="false"/>
                <w:color w:val="1E293B"/>
                <w:sz w:val="20"/>
                <w:szCs w:val="20"/>
              </w:rPr>
              <w:t xml:space="preserve">13 entries (~ 2.1 MB)</w:t>
            </w:r>
          </w:p>
        </w:tc>
      </w:tr>
    </w:tbl>
    <w:p>
      <w:pPr>
        <w:spacing w:after="280"/>
        <w:jc w:val="center"/>
      </w:pPr>
      <w:r>
        <w:rPr>
          <w:rFonts w:ascii="Calibri" w:cs="Calibri" w:eastAsia="Calibri" w:hAnsi="Calibri"/>
          <w:i/>
          <w:iCs/>
          <w:color w:val="64748B"/>
          <w:sz w:val="18"/>
          <w:szCs w:val="18"/>
        </w:rPr>
        <w:t xml:space="preserve">Table 7.1 — Performance and code-size measurements.</w:t>
      </w:r>
    </w:p>
    <w:p>
      <w:pPr>
        <w:pStyle w:val="Heading2"/>
        <w:spacing w:after="200" w:before="360"/>
      </w:pPr>
      <w:r>
        <w:t xml:space="preserve">7.3  Challenges and Lessons Learned</w:t>
      </w:r>
    </w:p>
    <w:p>
      <w:pPr>
        <w:spacing w:after="160" w:line="300" w:lineRule="auto"/>
        <w:jc w:val="both"/>
      </w:pPr>
      <w:r>
        <w:rPr>
          <w:rFonts w:ascii="Calibri" w:cs="Calibri" w:eastAsia="Calibri" w:hAnsi="Calibri"/>
          <w:color w:val="1E293B"/>
          <w:sz w:val="22"/>
          <w:szCs w:val="22"/>
        </w:rPr>
        <w:t xml:space="preserve">Three challenges proved harder than initially anticipated:</w:t>
      </w:r>
    </w:p>
    <w:p>
      <w:pPr>
        <w:pStyle w:val="ListParagraph"/>
        <w:numPr>
          <w:ilvl w:val="0"/>
          <w:numId w:val="1"/>
        </w:numPr>
        <w:spacing w:after="80"/>
      </w:pPr>
      <w:r>
        <w:rPr>
          <w:rFonts w:ascii="Calibri" w:cs="Calibri" w:eastAsia="Calibri" w:hAnsi="Calibri"/>
          <w:sz w:val="22"/>
          <w:szCs w:val="22"/>
        </w:rPr>
        <w:t xml:space="preserve">Reproducing an authentic USSD experience. Cameroonian users are used to a very specific monospaced green-on-black aesthetic with sequence-style menu lists. Matching it required careful typography and patient testing.</w:t>
      </w:r>
    </w:p>
    <w:p>
      <w:pPr>
        <w:pStyle w:val="ListParagraph"/>
        <w:numPr>
          <w:ilvl w:val="0"/>
          <w:numId w:val="1"/>
        </w:numPr>
        <w:spacing w:after="80"/>
      </w:pPr>
      <w:r>
        <w:rPr>
          <w:rFonts w:ascii="Calibri" w:cs="Calibri" w:eastAsia="Calibri" w:hAnsi="Calibri"/>
          <w:sz w:val="22"/>
          <w:szCs w:val="22"/>
        </w:rPr>
        <w:t xml:space="preserve">Designing a parent portal that respects privacy by default. The temptation to remember the parent for convenience was strong; resisting it led to a cleaner architecture.</w:t>
      </w:r>
    </w:p>
    <w:p>
      <w:pPr>
        <w:pStyle w:val="ListParagraph"/>
        <w:numPr>
          <w:ilvl w:val="0"/>
          <w:numId w:val="1"/>
        </w:numPr>
        <w:spacing w:after="80"/>
      </w:pPr>
      <w:r>
        <w:rPr>
          <w:rFonts w:ascii="Calibri" w:cs="Calibri" w:eastAsia="Calibri" w:hAnsi="Calibri"/>
          <w:sz w:val="22"/>
          <w:szCs w:val="22"/>
        </w:rPr>
        <w:t xml:space="preserve">Balancing the three IUGET specialties in one timetable. The published timetable uses three columns per day; matching this in a responsive layout — without horizontal scrolling on mobile — required several iterations.</w:t>
      </w:r>
    </w:p>
    <w:p>
      <w:pPr>
        <w:pStyle w:val="Heading2"/>
        <w:spacing w:after="200" w:before="360"/>
      </w:pPr>
      <w:r>
        <w:t xml:space="preserve">7.4  Scalability</w:t>
      </w:r>
    </w:p>
    <w:p>
      <w:pPr>
        <w:spacing w:after="160" w:line="300" w:lineRule="auto"/>
        <w:jc w:val="both"/>
      </w:pPr>
      <w:r>
        <w:rPr>
          <w:rFonts w:ascii="Calibri" w:cs="Calibri" w:eastAsia="Calibri" w:hAnsi="Calibri"/>
          <w:color w:val="1E293B"/>
          <w:sz w:val="22"/>
          <w:szCs w:val="22"/>
        </w:rPr>
        <w:t xml:space="preserve">The architecture scales from a single-classroom pilot to multi-institution SaaS. The presentation tier is stateless, Firestore scales automatically, and Firebase Auth accommodates millions of identities. At IUGET's scale (~2,800 students) monthly cost is under USD 50; at 100,000 students under USD 2/user/year — competitive with commercial alternatives.</w:t>
      </w:r>
    </w:p>
    <w:p>
      <w:pPr>
        <w:pStyle w:val="Heading1"/>
        <w:pageBreakBefore/>
        <w:spacing w:after="240" w:before="480"/>
      </w:pPr>
      <w:r>
        <w:t xml:space="preserve">Chapter 8 — Conclusion and Future Work</w:t>
      </w:r>
    </w:p>
    <w:p>
      <w:pPr>
        <w:pStyle w:val="Heading2"/>
        <w:spacing w:after="200" w:before="360"/>
      </w:pPr>
      <w:r>
        <w:t xml:space="preserve">8.1  Summary</w:t>
      </w:r>
    </w:p>
    <w:p>
      <w:pPr>
        <w:spacing w:after="160" w:line="300" w:lineRule="auto"/>
        <w:jc w:val="both"/>
      </w:pPr>
      <w:r>
        <w:rPr>
          <w:rFonts w:ascii="Calibri" w:cs="Calibri" w:eastAsia="Calibri" w:hAnsi="Calibri"/>
          <w:color w:val="1E293B"/>
          <w:sz w:val="22"/>
          <w:szCs w:val="22"/>
        </w:rPr>
        <w:t xml:space="preserve">SIARM is a unified academic platform for IUGET Bonabéri, consolidating admissions, attendance, timetable, results, transcripts, ID cards, tuition payment, financial tracking, and parent registration into a single role-aware web application with mobile-money payment, bilingual support, offline delivery, and QR-verifiable artefacts.</w:t>
      </w:r>
    </w:p>
    <w:p>
      <w:pPr>
        <w:pStyle w:val="Heading2"/>
        <w:spacing w:after="200" w:before="360"/>
      </w:pPr>
      <w:r>
        <w:t xml:space="preserve">8.2  Contributions</w:t>
      </w:r>
    </w:p>
    <w:p>
      <w:pPr>
        <w:pStyle w:val="ListParagraph"/>
        <w:numPr>
          <w:ilvl w:val="0"/>
          <w:numId w:val="1"/>
        </w:numPr>
        <w:spacing w:after="80"/>
      </w:pPr>
      <w:r>
        <w:rPr>
          <w:rFonts w:ascii="Calibri" w:cs="Calibri" w:eastAsia="Calibri" w:hAnsi="Calibri"/>
          <w:sz w:val="22"/>
          <w:szCs w:val="22"/>
        </w:rPr>
        <w:t xml:space="preserve">A public Parent Portal that reduces the registration journey from a half-day on-campus errand to a fifteen-minute online flow.</w:t>
      </w:r>
    </w:p>
    <w:p>
      <w:pPr>
        <w:pStyle w:val="ListParagraph"/>
        <w:numPr>
          <w:ilvl w:val="0"/>
          <w:numId w:val="1"/>
        </w:numPr>
        <w:spacing w:after="80"/>
      </w:pPr>
      <w:r>
        <w:rPr>
          <w:rFonts w:ascii="Calibri" w:cs="Calibri" w:eastAsia="Calibri" w:hAnsi="Calibri"/>
          <w:sz w:val="22"/>
          <w:szCs w:val="22"/>
        </w:rPr>
        <w:t xml:space="preserve">A simulated tuition payment pipeline that supports five channels and respects payment-privacy expectations by construction.</w:t>
      </w:r>
    </w:p>
    <w:p>
      <w:pPr>
        <w:pStyle w:val="ListParagraph"/>
        <w:numPr>
          <w:ilvl w:val="0"/>
          <w:numId w:val="1"/>
        </w:numPr>
        <w:spacing w:after="80"/>
      </w:pPr>
      <w:r>
        <w:rPr>
          <w:rFonts w:ascii="Calibri" w:cs="Calibri" w:eastAsia="Calibri" w:hAnsi="Calibri"/>
          <w:sz w:val="22"/>
          <w:szCs w:val="22"/>
        </w:rPr>
        <w:t xml:space="preserve">An automated student enrolment pipeline that produces six artefacts from one form submission.</w:t>
      </w:r>
    </w:p>
    <w:p>
      <w:pPr>
        <w:pStyle w:val="ListParagraph"/>
        <w:numPr>
          <w:ilvl w:val="0"/>
          <w:numId w:val="1"/>
        </w:numPr>
        <w:spacing w:after="80"/>
      </w:pPr>
      <w:r>
        <w:rPr>
          <w:rFonts w:ascii="Calibri" w:cs="Calibri" w:eastAsia="Calibri" w:hAnsi="Calibri"/>
          <w:sz w:val="22"/>
          <w:szCs w:val="22"/>
        </w:rPr>
        <w:t xml:space="preserve">A bursary dashboard with real-time tuition tracking, monthly trend analysis, and exportable transactions.</w:t>
      </w:r>
    </w:p>
    <w:p>
      <w:pPr>
        <w:pStyle w:val="ListParagraph"/>
        <w:numPr>
          <w:ilvl w:val="0"/>
          <w:numId w:val="1"/>
        </w:numPr>
        <w:spacing w:after="80"/>
      </w:pPr>
      <w:r>
        <w:rPr>
          <w:rFonts w:ascii="Calibri" w:cs="Calibri" w:eastAsia="Calibri" w:hAnsi="Calibri"/>
          <w:sz w:val="22"/>
          <w:szCs w:val="22"/>
        </w:rPr>
        <w:t xml:space="preserve">Four printable academic artefacts (receipt, results, transcript, ID card) carrying QR codes for verification.</w:t>
      </w:r>
    </w:p>
    <w:p>
      <w:pPr>
        <w:pStyle w:val="ListParagraph"/>
        <w:numPr>
          <w:ilvl w:val="0"/>
          <w:numId w:val="1"/>
        </w:numPr>
        <w:spacing w:after="80"/>
      </w:pPr>
      <w:r>
        <w:rPr>
          <w:rFonts w:ascii="Calibri" w:cs="Calibri" w:eastAsia="Calibri" w:hAnsi="Calibri"/>
          <w:sz w:val="22"/>
          <w:szCs w:val="22"/>
        </w:rPr>
        <w:t xml:space="preserve">A working, offline-capable Progressive Web Application deployable to any static CDN.</w:t>
      </w:r>
    </w:p>
    <w:p>
      <w:pPr>
        <w:pStyle w:val="Heading2"/>
        <w:spacing w:after="200" w:before="360"/>
      </w:pPr>
      <w:r>
        <w:t xml:space="preserve">8.3  Recommendations</w:t>
      </w:r>
    </w:p>
    <w:p>
      <w:pPr>
        <w:spacing w:after="160" w:line="300" w:lineRule="auto"/>
        <w:jc w:val="both"/>
      </w:pPr>
      <w:r>
        <w:rPr>
          <w:rFonts w:ascii="Calibri" w:cs="Calibri" w:eastAsia="Calibri" w:hAnsi="Calibri"/>
          <w:color w:val="1E293B"/>
          <w:sz w:val="22"/>
          <w:szCs w:val="22"/>
        </w:rPr>
        <w:t xml:space="preserve">Three recommendations follow from this work:</w:t>
      </w:r>
    </w:p>
    <w:p>
      <w:pPr>
        <w:pStyle w:val="ListParagraph"/>
        <w:numPr>
          <w:ilvl w:val="0"/>
          <w:numId w:val="1"/>
        </w:numPr>
        <w:spacing w:after="80"/>
      </w:pPr>
      <w:r>
        <w:rPr>
          <w:rFonts w:ascii="Calibri" w:cs="Calibri" w:eastAsia="Calibri" w:hAnsi="Calibri"/>
          <w:sz w:val="22"/>
          <w:szCs w:val="22"/>
        </w:rPr>
        <w:t xml:space="preserve">For IUGET — pilot SIARM with the Sixth-Semester Software Engineering cohort during the 2026/2027 academic year, then extend it to CNSM and BST over the following semester.</w:t>
      </w:r>
    </w:p>
    <w:p>
      <w:pPr>
        <w:pStyle w:val="ListParagraph"/>
        <w:numPr>
          <w:ilvl w:val="0"/>
          <w:numId w:val="1"/>
        </w:numPr>
        <w:spacing w:after="80"/>
      </w:pPr>
      <w:r>
        <w:rPr>
          <w:rFonts w:ascii="Calibri" w:cs="Calibri" w:eastAsia="Calibri" w:hAnsi="Calibri"/>
          <w:sz w:val="22"/>
          <w:szCs w:val="22"/>
        </w:rPr>
        <w:t xml:space="preserve">For other private Cameroonian universities — adopt the open architecture as a starting point; the design system and the role model are deliberately generic.</w:t>
      </w:r>
    </w:p>
    <w:p>
      <w:pPr>
        <w:pStyle w:val="ListParagraph"/>
        <w:numPr>
          <w:ilvl w:val="0"/>
          <w:numId w:val="1"/>
        </w:numPr>
        <w:spacing w:after="80"/>
      </w:pPr>
      <w:r>
        <w:rPr>
          <w:rFonts w:ascii="Calibri" w:cs="Calibri" w:eastAsia="Calibri" w:hAnsi="Calibri"/>
          <w:sz w:val="22"/>
          <w:szCs w:val="22"/>
        </w:rPr>
        <w:t xml:space="preserve">For the MINESUP — encourage standardised QR verification across institutions; that single intervention would meaningfully reduce transcript fraud at the national level.</w:t>
      </w:r>
    </w:p>
    <w:p>
      <w:pPr>
        <w:pStyle w:val="Heading2"/>
        <w:spacing w:after="200" w:before="360"/>
      </w:pPr>
      <w:r>
        <w:t xml:space="preserve">8.4  Limitations</w:t>
      </w:r>
    </w:p>
    <w:p>
      <w:pPr>
        <w:spacing w:after="160" w:line="300" w:lineRule="auto"/>
        <w:jc w:val="both"/>
      </w:pPr>
      <w:r>
        <w:rPr>
          <w:rFonts w:ascii="Calibri" w:cs="Calibri" w:eastAsia="Calibri" w:hAnsi="Calibri"/>
          <w:color w:val="1E293B"/>
          <w:sz w:val="22"/>
          <w:szCs w:val="22"/>
        </w:rPr>
        <w:t xml:space="preserve">The following limitations should be acknowledged:</w:t>
      </w:r>
    </w:p>
    <w:p>
      <w:pPr>
        <w:pStyle w:val="ListParagraph"/>
        <w:numPr>
          <w:ilvl w:val="0"/>
          <w:numId w:val="1"/>
        </w:numPr>
        <w:spacing w:after="80"/>
      </w:pPr>
      <w:r>
        <w:rPr>
          <w:rFonts w:ascii="Calibri" w:cs="Calibri" w:eastAsia="Calibri" w:hAnsi="Calibri"/>
          <w:sz w:val="22"/>
          <w:szCs w:val="22"/>
        </w:rPr>
        <w:t xml:space="preserve">All data in the demonstration is mock data; no live IUGET data has been integrated.</w:t>
      </w:r>
    </w:p>
    <w:p>
      <w:pPr>
        <w:pStyle w:val="ListParagraph"/>
        <w:numPr>
          <w:ilvl w:val="0"/>
          <w:numId w:val="1"/>
        </w:numPr>
        <w:spacing w:after="80"/>
      </w:pPr>
      <w:r>
        <w:rPr>
          <w:rFonts w:ascii="Calibri" w:cs="Calibri" w:eastAsia="Calibri" w:hAnsi="Calibri"/>
          <w:sz w:val="22"/>
          <w:szCs w:val="22"/>
        </w:rPr>
        <w:t xml:space="preserve">The mobile-money and payment integrations are simulated; real merchant accounts and API keys are required for production.</w:t>
      </w:r>
    </w:p>
    <w:p>
      <w:pPr>
        <w:pStyle w:val="ListParagraph"/>
        <w:numPr>
          <w:ilvl w:val="0"/>
          <w:numId w:val="1"/>
        </w:numPr>
        <w:spacing w:after="80"/>
      </w:pPr>
      <w:r>
        <w:rPr>
          <w:rFonts w:ascii="Calibri" w:cs="Calibri" w:eastAsia="Calibri" w:hAnsi="Calibri"/>
          <w:sz w:val="22"/>
          <w:szCs w:val="22"/>
        </w:rPr>
        <w:t xml:space="preserve">No automated test suite exists; testing was performed manually across four browsers.</w:t>
      </w:r>
    </w:p>
    <w:p>
      <w:pPr>
        <w:pStyle w:val="ListParagraph"/>
        <w:numPr>
          <w:ilvl w:val="0"/>
          <w:numId w:val="1"/>
        </w:numPr>
        <w:spacing w:after="80"/>
      </w:pPr>
      <w:r>
        <w:rPr>
          <w:rFonts w:ascii="Calibri" w:cs="Calibri" w:eastAsia="Calibri" w:hAnsi="Calibri"/>
          <w:sz w:val="22"/>
          <w:szCs w:val="22"/>
        </w:rPr>
        <w:t xml:space="preserve">The AI chatbot operates on local keyword rules in demo mode; the Claude API integration requires a backend proxy for production security.</w:t>
      </w:r>
    </w:p>
    <w:p>
      <w:pPr>
        <w:pStyle w:val="ListParagraph"/>
        <w:numPr>
          <w:ilvl w:val="0"/>
          <w:numId w:val="1"/>
        </w:numPr>
        <w:spacing w:after="80"/>
      </w:pPr>
      <w:r>
        <w:rPr>
          <w:rFonts w:ascii="Calibri" w:cs="Calibri" w:eastAsia="Calibri" w:hAnsi="Calibri"/>
          <w:sz w:val="22"/>
          <w:szCs w:val="22"/>
        </w:rPr>
        <w:t xml:space="preserve">The single-developer constraint limits the breadth of usability testing and peer code review.</w:t>
      </w:r>
    </w:p>
    <w:p>
      <w:pPr>
        <w:pStyle w:val="Heading2"/>
        <w:spacing w:after="200" w:before="360"/>
      </w:pPr>
      <w:r>
        <w:t xml:space="preserve">8.5  Future Work</w:t>
      </w:r>
    </w:p>
    <w:p>
      <w:pPr>
        <w:spacing w:after="160" w:line="300" w:lineRule="auto"/>
        <w:jc w:val="both"/>
      </w:pPr>
      <w:r>
        <w:rPr>
          <w:rFonts w:ascii="Calibri" w:cs="Calibri" w:eastAsia="Calibri" w:hAnsi="Calibri"/>
          <w:color w:val="1E293B"/>
          <w:sz w:val="22"/>
          <w:szCs w:val="22"/>
        </w:rPr>
        <w:t xml:space="preserve">The following extensions are planned for SIARM beyond the bachelor defence:</w:t>
      </w:r>
    </w:p>
    <w:p>
      <w:pPr>
        <w:pStyle w:val="ListParagraph"/>
        <w:numPr>
          <w:ilvl w:val="0"/>
          <w:numId w:val="1"/>
        </w:numPr>
        <w:spacing w:after="80"/>
      </w:pPr>
      <w:r>
        <w:rPr>
          <w:rFonts w:ascii="Calibri" w:cs="Calibri" w:eastAsia="Calibri" w:hAnsi="Calibri"/>
          <w:sz w:val="22"/>
          <w:szCs w:val="22"/>
        </w:rPr>
        <w:t xml:space="preserve">Native mobile companions — Android and iOS apps built on React Native, sharing 80 % of the code base with the web platform.</w:t>
      </w:r>
    </w:p>
    <w:p>
      <w:pPr>
        <w:pStyle w:val="ListParagraph"/>
        <w:numPr>
          <w:ilvl w:val="0"/>
          <w:numId w:val="1"/>
        </w:numPr>
        <w:spacing w:after="80"/>
      </w:pPr>
      <w:r>
        <w:rPr>
          <w:rFonts w:ascii="Calibri" w:cs="Calibri" w:eastAsia="Calibri" w:hAnsi="Calibri"/>
          <w:sz w:val="22"/>
          <w:szCs w:val="22"/>
        </w:rPr>
        <w:t xml:space="preserve">Biometric attendance — fingerprint-based roll-call on Android phones to remove the lecturer's manual data entry.</w:t>
      </w:r>
    </w:p>
    <w:p>
      <w:pPr>
        <w:pStyle w:val="ListParagraph"/>
        <w:numPr>
          <w:ilvl w:val="0"/>
          <w:numId w:val="1"/>
        </w:numPr>
        <w:spacing w:after="80"/>
      </w:pPr>
      <w:r>
        <w:rPr>
          <w:rFonts w:ascii="Calibri" w:cs="Calibri" w:eastAsia="Calibri" w:hAnsi="Calibri"/>
          <w:sz w:val="22"/>
          <w:szCs w:val="22"/>
        </w:rPr>
        <w:t xml:space="preserve">Live mobile-money integration — wiring the simulated MoMo and OM flows to real provider APIs once a merchant account is provisioned.</w:t>
      </w:r>
    </w:p>
    <w:p>
      <w:pPr>
        <w:pStyle w:val="ListParagraph"/>
        <w:numPr>
          <w:ilvl w:val="0"/>
          <w:numId w:val="1"/>
        </w:numPr>
        <w:spacing w:after="80"/>
      </w:pPr>
      <w:r>
        <w:rPr>
          <w:rFonts w:ascii="Calibri" w:cs="Calibri" w:eastAsia="Calibri" w:hAnsi="Calibri"/>
          <w:sz w:val="22"/>
          <w:szCs w:val="22"/>
        </w:rPr>
        <w:t xml:space="preserve">Multi-tenant SaaS — supporting several institutions on the same code base, with per-institution branding, fee structures and timetables.</w:t>
      </w:r>
    </w:p>
    <w:p>
      <w:pPr>
        <w:pStyle w:val="ListParagraph"/>
        <w:numPr>
          <w:ilvl w:val="0"/>
          <w:numId w:val="1"/>
        </w:numPr>
        <w:spacing w:after="80"/>
      </w:pPr>
      <w:r>
        <w:rPr>
          <w:rFonts w:ascii="Calibri" w:cs="Calibri" w:eastAsia="Calibri" w:hAnsi="Calibri"/>
          <w:sz w:val="22"/>
          <w:szCs w:val="22"/>
        </w:rPr>
        <w:t xml:space="preserve">Examination scheduling — automatic generation of clash-free examination calendars, with room and invigilator assignment.</w:t>
      </w:r>
    </w:p>
    <w:p>
      <w:pPr>
        <w:pStyle w:val="ListParagraph"/>
        <w:numPr>
          <w:ilvl w:val="0"/>
          <w:numId w:val="1"/>
        </w:numPr>
        <w:spacing w:after="80"/>
      </w:pPr>
      <w:r>
        <w:rPr>
          <w:rFonts w:ascii="Calibri" w:cs="Calibri" w:eastAsia="Calibri" w:hAnsi="Calibri"/>
          <w:sz w:val="22"/>
          <w:szCs w:val="22"/>
        </w:rPr>
        <w:t xml:space="preserve">Library management — book catalogue, borrowing, and reservations tied to the student record.</w:t>
      </w:r>
    </w:p>
    <w:p>
      <w:pPr>
        <w:pStyle w:val="Heading2"/>
        <w:spacing w:after="200" w:before="360"/>
      </w:pPr>
      <w:r>
        <w:t xml:space="preserve">8.6  Final Word</w:t>
      </w:r>
    </w:p>
    <w:p>
      <w:pPr>
        <w:spacing w:after="160" w:line="300" w:lineRule="auto"/>
        <w:jc w:val="both"/>
      </w:pPr>
      <w:r>
        <w:rPr>
          <w:rFonts w:ascii="Calibri" w:cs="Calibri" w:eastAsia="Calibri" w:hAnsi="Calibri"/>
          <w:color w:val="1E293B"/>
          <w:sz w:val="22"/>
          <w:szCs w:val="22"/>
        </w:rPr>
        <w:t xml:space="preserve">SIARM was conceived as a credible engineering response to the everyday operational realities of a Cameroonian private university. The design choices — privacy by construction, offline-by-default delivery, role-aware architecture, QR-verifiable artefacts — constitute a useful template for any institutional information system built in a similar context.</w:t>
      </w:r>
    </w:p>
    <w:p>
      <w:pPr>
        <w:pStyle w:val="Heading1"/>
        <w:pageBreakBefore/>
        <w:spacing w:after="240" w:before="480"/>
      </w:pPr>
      <w:r>
        <w:t xml:space="preserve">References</w:t>
      </w:r>
    </w:p>
    <w:p>
      <w:pPr>
        <w:spacing w:after="160" w:line="300" w:lineRule="auto"/>
      </w:pPr>
      <w:r>
        <w:rPr>
          <w:rFonts w:ascii="Calibri" w:cs="Calibri" w:eastAsia="Calibri" w:hAnsi="Calibri"/>
          <w:sz w:val="22"/>
          <w:szCs w:val="22"/>
        </w:rPr>
        <w:t xml:space="preserve">Ferraiolo, D. F. &amp; Kuhn, D. R. (1992). Role-Based Access Control. National Institute of Standards and Technology.</w:t>
      </w:r>
    </w:p>
    <w:p>
      <w:pPr>
        <w:spacing w:after="160" w:line="300" w:lineRule="auto"/>
      </w:pPr>
      <w:r>
        <w:rPr>
          <w:rFonts w:ascii="Calibri" w:cs="Calibri" w:eastAsia="Calibri" w:hAnsi="Calibri"/>
          <w:sz w:val="22"/>
          <w:szCs w:val="22"/>
        </w:rPr>
        <w:t xml:space="preserve">Sandhu, R. S., Coyne, E. J., Feinstein, H. L. &amp; Youman, C. E. (1996). Role-Based Access Control Models. IEEE Computer 29(2).</w:t>
      </w:r>
    </w:p>
    <w:p>
      <w:pPr>
        <w:spacing w:after="160" w:line="300" w:lineRule="auto"/>
      </w:pPr>
      <w:r>
        <w:rPr>
          <w:rFonts w:ascii="Calibri" w:cs="Calibri" w:eastAsia="Calibri" w:hAnsi="Calibri"/>
          <w:sz w:val="22"/>
          <w:szCs w:val="22"/>
        </w:rPr>
        <w:t xml:space="preserve">Shneiderman, B. (2016). Designing the User Interface: Strategies for Effective Human-Computer Interaction (6th edition). Pearson.</w:t>
      </w:r>
    </w:p>
    <w:p>
      <w:pPr>
        <w:spacing w:after="160" w:line="300" w:lineRule="auto"/>
      </w:pPr>
      <w:r>
        <w:rPr>
          <w:rFonts w:ascii="Calibri" w:cs="Calibri" w:eastAsia="Calibri" w:hAnsi="Calibri"/>
          <w:sz w:val="22"/>
          <w:szCs w:val="22"/>
        </w:rPr>
        <w:t xml:space="preserve">Nielsen, J. (1993). Usability Engineering. Morgan Kaufmann.</w:t>
      </w:r>
    </w:p>
    <w:p>
      <w:pPr>
        <w:spacing w:after="160" w:line="300" w:lineRule="auto"/>
      </w:pPr>
      <w:r>
        <w:rPr>
          <w:rFonts w:ascii="Calibri" w:cs="Calibri" w:eastAsia="Calibri" w:hAnsi="Calibri"/>
          <w:sz w:val="22"/>
          <w:szCs w:val="22"/>
        </w:rPr>
        <w:t xml:space="preserve">Bansal, R. (2020). Building Progressive Web Applications. Packt Publishing.</w:t>
      </w:r>
    </w:p>
    <w:p>
      <w:pPr>
        <w:spacing w:after="160" w:line="300" w:lineRule="auto"/>
      </w:pPr>
      <w:r>
        <w:rPr>
          <w:rFonts w:ascii="Calibri" w:cs="Calibri" w:eastAsia="Calibri" w:hAnsi="Calibri"/>
          <w:sz w:val="22"/>
          <w:szCs w:val="22"/>
        </w:rPr>
        <w:t xml:space="preserve">Maeder, B. (2019). Firebase in Action. Manning.</w:t>
      </w:r>
    </w:p>
    <w:p>
      <w:pPr>
        <w:spacing w:after="160" w:line="300" w:lineRule="auto"/>
      </w:pPr>
      <w:r>
        <w:rPr>
          <w:rFonts w:ascii="Calibri" w:cs="Calibri" w:eastAsia="Calibri" w:hAnsi="Calibri"/>
          <w:sz w:val="22"/>
          <w:szCs w:val="22"/>
        </w:rPr>
        <w:t xml:space="preserve">Tailwind Labs (2024). Tailwind CSS Documentation. https://tailwindcss.com/docs</w:t>
      </w:r>
    </w:p>
    <w:p>
      <w:pPr>
        <w:spacing w:after="160" w:line="300" w:lineRule="auto"/>
      </w:pPr>
      <w:r>
        <w:rPr>
          <w:rFonts w:ascii="Calibri" w:cs="Calibri" w:eastAsia="Calibri" w:hAnsi="Calibri"/>
          <w:sz w:val="22"/>
          <w:szCs w:val="22"/>
        </w:rPr>
        <w:t xml:space="preserve">Meta (2024). React 18 Documentation. https://react.dev</w:t>
      </w:r>
    </w:p>
    <w:p>
      <w:pPr>
        <w:spacing w:after="160" w:line="300" w:lineRule="auto"/>
      </w:pPr>
      <w:r>
        <w:rPr>
          <w:rFonts w:ascii="Calibri" w:cs="Calibri" w:eastAsia="Calibri" w:hAnsi="Calibri"/>
          <w:sz w:val="22"/>
          <w:szCs w:val="22"/>
        </w:rPr>
        <w:t xml:space="preserve">Vercel (2024). Vite Documentation. https://vitejs.dev</w:t>
      </w:r>
    </w:p>
    <w:p>
      <w:pPr>
        <w:spacing w:after="160" w:line="300" w:lineRule="auto"/>
      </w:pPr>
      <w:r>
        <w:rPr>
          <w:rFonts w:ascii="Calibri" w:cs="Calibri" w:eastAsia="Calibri" w:hAnsi="Calibri"/>
          <w:sz w:val="22"/>
          <w:szCs w:val="22"/>
        </w:rPr>
        <w:t xml:space="preserve">IUGET Bonabéri (2026). Sixth-Semester Timetable N°30/IUGET/C-DIR/P-SP/05-26-SW.</w:t>
      </w:r>
    </w:p>
    <w:p>
      <w:pPr>
        <w:spacing w:after="160" w:line="300" w:lineRule="auto"/>
      </w:pPr>
      <w:r>
        <w:rPr>
          <w:rFonts w:ascii="Calibri" w:cs="Calibri" w:eastAsia="Calibri" w:hAnsi="Calibri"/>
          <w:sz w:val="22"/>
          <w:szCs w:val="22"/>
        </w:rPr>
        <w:t xml:space="preserve">MINESUP (2024). Statistiques de l'enseignement supérieur au Cameroun. Ministère de l'Enseignement Supérieur.</w:t>
      </w:r>
    </w:p>
    <w:p>
      <w:pPr>
        <w:spacing w:after="160" w:line="300" w:lineRule="auto"/>
      </w:pPr>
      <w:r>
        <w:rPr>
          <w:rFonts w:ascii="Calibri" w:cs="Calibri" w:eastAsia="Calibri" w:hAnsi="Calibri"/>
          <w:sz w:val="22"/>
          <w:szCs w:val="22"/>
        </w:rPr>
        <w:t xml:space="preserve">World Wide Web Consortium (2018). Web Content Accessibility Guidelines (WCAG) 2.1. https://www.w3.org/TR/WCAG21/</w:t>
      </w:r>
    </w:p>
    <w:p>
      <w:pPr>
        <w:spacing w:after="160" w:line="300" w:lineRule="auto"/>
      </w:pPr>
      <w:r>
        <w:rPr>
          <w:rFonts w:ascii="Calibri" w:cs="Calibri" w:eastAsia="Calibri" w:hAnsi="Calibri"/>
          <w:sz w:val="22"/>
          <w:szCs w:val="22"/>
        </w:rPr>
        <w:t xml:space="preserve">Google (2024). Lighthouse Performance Auditing. https://developer.chrome.com/docs/lighthouse</w:t>
      </w:r>
    </w:p>
    <w:p>
      <w:pPr>
        <w:spacing w:after="160" w:line="300" w:lineRule="auto"/>
      </w:pPr>
      <w:r>
        <w:rPr>
          <w:rFonts w:ascii="Calibri" w:cs="Calibri" w:eastAsia="Calibri" w:hAnsi="Calibri"/>
          <w:sz w:val="22"/>
          <w:szCs w:val="22"/>
        </w:rPr>
        <w:t xml:space="preserve">Workbox Authors (2024). Workbox documentation. https://developer.chrome.com/docs/workbox</w:t>
      </w:r>
    </w:p>
    <w:p>
      <w:pPr>
        <w:spacing w:after="160" w:line="300" w:lineRule="auto"/>
      </w:pPr>
      <w:r>
        <w:rPr>
          <w:rFonts w:ascii="Calibri" w:cs="Calibri" w:eastAsia="Calibri" w:hAnsi="Calibri"/>
          <w:sz w:val="22"/>
          <w:szCs w:val="22"/>
        </w:rPr>
        <w:t xml:space="preserve">EMV Co. (2022). EMV 3-D Secure Specification. https://www.emvco.com</w:t>
      </w:r>
    </w:p>
    <w:p>
      <w:pPr>
        <w:spacing w:after="160" w:line="300" w:lineRule="auto"/>
      </w:pPr>
      <w:r>
        <w:rPr>
          <w:rFonts w:ascii="Calibri" w:cs="Calibri" w:eastAsia="Calibri" w:hAnsi="Calibri"/>
          <w:sz w:val="22"/>
          <w:szCs w:val="22"/>
        </w:rPr>
        <w:t xml:space="preserve">GSMA (2023). Mobile Money in Sub-Saharan Africa: State of the Industry Report.</w:t>
      </w:r>
    </w:p>
    <w:p>
      <w:pPr>
        <w:spacing w:after="160" w:line="300" w:lineRule="auto"/>
      </w:pPr>
      <w:r>
        <w:rPr>
          <w:rFonts w:ascii="Calibri" w:cs="Calibri" w:eastAsia="Calibri" w:hAnsi="Calibri"/>
          <w:sz w:val="22"/>
          <w:szCs w:val="22"/>
        </w:rPr>
        <w:t xml:space="preserve">MTN Cameroon (2024). MoMo Developer Documentation.</w:t>
      </w:r>
    </w:p>
    <w:p>
      <w:pPr>
        <w:spacing w:after="160" w:line="300" w:lineRule="auto"/>
      </w:pPr>
      <w:r>
        <w:rPr>
          <w:rFonts w:ascii="Calibri" w:cs="Calibri" w:eastAsia="Calibri" w:hAnsi="Calibri"/>
          <w:sz w:val="22"/>
          <w:szCs w:val="22"/>
        </w:rPr>
        <w:t xml:space="preserve">Orange Cameroun (2024). Orange Money APIs Documentation.</w:t>
      </w:r>
    </w:p>
    <w:p>
      <w:pPr>
        <w:pStyle w:val="Heading1"/>
        <w:pageBreakBefore/>
        <w:spacing w:after="240" w:before="480"/>
      </w:pPr>
      <w:r>
        <w:t xml:space="preserve">Appendix A — Architectural Diagrams (full size)</w:t>
      </w:r>
    </w:p>
    <w:p>
      <w:pPr>
        <w:spacing w:after="1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A.1 — System architecture (full size).</w:t>
      </w:r>
    </w:p>
    <w:p>
      <w:pPr>
        <w:spacing w:after="1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A.2 — Entity-Relationship Diagram (full size).</w:t>
      </w:r>
    </w:p>
    <w:p>
      <w:pPr>
        <w:spacing w:after="1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A.3 — Use-case diagram (full size).</w:t>
      </w:r>
    </w:p>
    <w:p>
      <w:pPr>
        <w:spacing w:after="1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A.4 — Authentication sequence (full size).</w:t>
      </w:r>
    </w:p>
    <w:p>
      <w:pPr>
        <w:spacing w:after="1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A.5 — Component diagram (full size).</w:t>
      </w:r>
    </w:p>
    <w:p>
      <w:pPr>
        <w:spacing w:after="1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A.6 — Data-flow diagram (full size).</w:t>
      </w:r>
    </w:p>
    <w:p>
      <w:pPr>
        <w:spacing w:after="1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A.7 — Deployment topology (full size).</w:t>
      </w:r>
    </w:p>
    <w:p>
      <w:pPr>
        <w:spacing w:after="1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A.8 — Parent registration flow (full size).</w:t>
      </w:r>
    </w:p>
    <w:p>
      <w:pPr>
        <w:spacing w:after="1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A.9 — Payment simulation (full size).</w:t>
      </w:r>
    </w:p>
    <w:p>
      <w:pPr>
        <w:spacing w:after="1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A.10 — UML class diagram (full size).</w:t>
      </w:r>
    </w:p>
    <w:p>
      <w:pPr>
        <w:spacing w:after="1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A.11 — UML activity diagram: attendance (full size).</w:t>
      </w:r>
    </w:p>
    <w:p>
      <w:pPr>
        <w:pStyle w:val="Heading1"/>
        <w:pageBreakBefore/>
        <w:spacing w:after="240" w:before="480"/>
      </w:pPr>
      <w:r>
        <w:t xml:space="preserve">Appendix B — Demo Credentials and Quick Reference</w:t>
      </w:r>
    </w:p>
    <w:p>
      <w:pPr>
        <w:pStyle w:val="Heading2"/>
        <w:spacing w:after="200" w:before="360"/>
      </w:pPr>
      <w:r>
        <w:t xml:space="preserve">B.1  Demo credentials</w:t>
      </w:r>
    </w:p>
    <w:p>
      <w:pPr>
        <w:spacing w:after="160" w:line="300" w:lineRule="auto"/>
        <w:jc w:val="both"/>
      </w:pPr>
      <w:r>
        <w:rPr>
          <w:rFonts w:ascii="Calibri" w:cs="Calibri" w:eastAsia="Calibri" w:hAnsi="Calibri"/>
          <w:color w:val="1E293B"/>
          <w:sz w:val="22"/>
          <w:szCs w:val="22"/>
        </w:rPr>
        <w:t xml:space="preserve">The following accounts are pre-provisioned in the demonstration mode. The password for all of them is the literal word "password".</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FF4FF" w:color="auto" w:val="clear"/>
          </w:tcPr>
          <w:p>
            <w:r>
              <w:rPr>
                <w:rFonts w:ascii="Calibri" w:cs="Calibri" w:eastAsia="Calibri" w:hAnsi="Calibri"/>
                <w:b/>
                <w:bCs/>
                <w:color w:val="1E3AA0"/>
                <w:sz w:val="20"/>
                <w:szCs w:val="20"/>
              </w:rPr>
              <w:t xml:space="preserve">Role</w:t>
            </w:r>
          </w:p>
        </w:tc>
        <w:tc>
          <w:tcPr>
            <w:tcW w:type="pct" w:w="22%"/>
            <w:shd w:fill="EFF4FF" w:color="auto" w:val="clear"/>
          </w:tcPr>
          <w:p>
            <w:r>
              <w:rPr>
                <w:rFonts w:ascii="Calibri" w:cs="Calibri" w:eastAsia="Calibri" w:hAnsi="Calibri"/>
                <w:b/>
                <w:bCs/>
                <w:color w:val="1E3AA0"/>
                <w:sz w:val="20"/>
                <w:szCs w:val="20"/>
              </w:rPr>
              <w:t xml:space="preserve">Email</w:t>
            </w:r>
          </w:p>
        </w:tc>
        <w:tc>
          <w:tcPr>
            <w:tcW w:type="pct" w:w="66%"/>
            <w:shd w:fill="EFF4FF" w:color="auto" w:val="clear"/>
          </w:tcPr>
          <w:p>
            <w:r>
              <w:rPr>
                <w:rFonts w:ascii="Calibri" w:cs="Calibri" w:eastAsia="Calibri" w:hAnsi="Calibri"/>
                <w:b/>
                <w:bCs/>
                <w:color w:val="1E3AA0"/>
                <w:sz w:val="20"/>
                <w:szCs w:val="20"/>
              </w:rPr>
              <w:t xml:space="preserve">Recommended demo actions</w:t>
            </w:r>
          </w:p>
        </w:tc>
      </w:tr>
      <w:tr>
        <w:tc>
          <w:tcPr>
            <w:tcW w:type="pct" w:w="12%"/>
          </w:tcPr>
          <w:p>
            <w:r>
              <w:rPr>
                <w:rFonts w:ascii="Calibri" w:cs="Calibri" w:eastAsia="Calibri" w:hAnsi="Calibri"/>
                <w:b w:val="false"/>
                <w:bCs w:val="false"/>
                <w:color w:val="1E293B"/>
                <w:sz w:val="20"/>
                <w:szCs w:val="20"/>
              </w:rPr>
              <w:t xml:space="preserve">Student</w:t>
            </w:r>
          </w:p>
        </w:tc>
        <w:tc>
          <w:tcPr>
            <w:tcW w:type="pct" w:w="22%"/>
          </w:tcPr>
          <w:p>
            <w:r>
              <w:rPr>
                <w:rFonts w:ascii="Calibri" w:cs="Calibri" w:eastAsia="Calibri" w:hAnsi="Calibri"/>
                <w:b w:val="false"/>
                <w:bCs w:val="false"/>
                <w:color w:val="1E293B"/>
                <w:sz w:val="20"/>
                <w:szCs w:val="20"/>
              </w:rPr>
              <w:t xml:space="preserve">student@iuget.cm</w:t>
            </w:r>
          </w:p>
        </w:tc>
        <w:tc>
          <w:tcPr>
            <w:tcW w:type="pct" w:w="66%"/>
          </w:tcPr>
          <w:p>
            <w:r>
              <w:rPr>
                <w:rFonts w:ascii="Calibri" w:cs="Calibri" w:eastAsia="Calibri" w:hAnsi="Calibri"/>
                <w:b w:val="false"/>
                <w:bCs w:val="false"/>
                <w:color w:val="1E293B"/>
                <w:sz w:val="20"/>
                <w:szCs w:val="20"/>
              </w:rPr>
              <w:t xml:space="preserve">View dashboard · check timetable by specialty · pay tuition · print ID card · download transcript.</w:t>
            </w:r>
          </w:p>
        </w:tc>
      </w:tr>
      <w:tr>
        <w:tc>
          <w:tcPr>
            <w:tcW w:type="pct" w:w="12%"/>
          </w:tcPr>
          <w:p>
            <w:r>
              <w:rPr>
                <w:rFonts w:ascii="Calibri" w:cs="Calibri" w:eastAsia="Calibri" w:hAnsi="Calibri"/>
                <w:b w:val="false"/>
                <w:bCs w:val="false"/>
                <w:color w:val="1E293B"/>
                <w:sz w:val="20"/>
                <w:szCs w:val="20"/>
              </w:rPr>
              <w:t xml:space="preserve">Lecturer</w:t>
            </w:r>
          </w:p>
        </w:tc>
        <w:tc>
          <w:tcPr>
            <w:tcW w:type="pct" w:w="22%"/>
          </w:tcPr>
          <w:p>
            <w:r>
              <w:rPr>
                <w:rFonts w:ascii="Calibri" w:cs="Calibri" w:eastAsia="Calibri" w:hAnsi="Calibri"/>
                <w:b w:val="false"/>
                <w:bCs w:val="false"/>
                <w:color w:val="1E293B"/>
                <w:sz w:val="20"/>
                <w:szCs w:val="20"/>
              </w:rPr>
              <w:t xml:space="preserve">lecturer@iuget.cm</w:t>
            </w:r>
          </w:p>
        </w:tc>
        <w:tc>
          <w:tcPr>
            <w:tcW w:type="pct" w:w="66%"/>
          </w:tcPr>
          <w:p>
            <w:r>
              <w:rPr>
                <w:rFonts w:ascii="Calibri" w:cs="Calibri" w:eastAsia="Calibri" w:hAnsi="Calibri"/>
                <w:b w:val="false"/>
                <w:bCs w:val="false"/>
                <w:color w:val="1E293B"/>
                <w:sz w:val="20"/>
                <w:szCs w:val="20"/>
              </w:rPr>
              <w:t xml:space="preserve">Mark attendance · enter grades · view class list.</w:t>
            </w:r>
          </w:p>
        </w:tc>
      </w:tr>
      <w:tr>
        <w:tc>
          <w:tcPr>
            <w:tcW w:type="pct" w:w="12%"/>
          </w:tcPr>
          <w:p>
            <w:r>
              <w:rPr>
                <w:rFonts w:ascii="Calibri" w:cs="Calibri" w:eastAsia="Calibri" w:hAnsi="Calibri"/>
                <w:b w:val="false"/>
                <w:bCs w:val="false"/>
                <w:color w:val="1E293B"/>
                <w:sz w:val="20"/>
                <w:szCs w:val="20"/>
              </w:rPr>
              <w:t xml:space="preserve">Staff</w:t>
            </w:r>
          </w:p>
        </w:tc>
        <w:tc>
          <w:tcPr>
            <w:tcW w:type="pct" w:w="22%"/>
          </w:tcPr>
          <w:p>
            <w:r>
              <w:rPr>
                <w:rFonts w:ascii="Calibri" w:cs="Calibri" w:eastAsia="Calibri" w:hAnsi="Calibri"/>
                <w:b w:val="false"/>
                <w:bCs w:val="false"/>
                <w:color w:val="1E293B"/>
                <w:sz w:val="20"/>
                <w:szCs w:val="20"/>
              </w:rPr>
              <w:t xml:space="preserve">staff@iuget.cm</w:t>
            </w:r>
          </w:p>
        </w:tc>
        <w:tc>
          <w:tcPr>
            <w:tcW w:type="pct" w:w="66%"/>
          </w:tcPr>
          <w:p>
            <w:r>
              <w:rPr>
                <w:rFonts w:ascii="Calibri" w:cs="Calibri" w:eastAsia="Calibri" w:hAnsi="Calibri"/>
                <w:b w:val="false"/>
                <w:bCs w:val="false"/>
                <w:color w:val="1E293B"/>
                <w:sz w:val="20"/>
                <w:szCs w:val="20"/>
              </w:rPr>
              <w:t xml:space="preserve">Enrol new student · view financial tracking · publish announcement.</w:t>
            </w:r>
          </w:p>
        </w:tc>
      </w:tr>
      <w:tr>
        <w:tc>
          <w:tcPr>
            <w:tcW w:type="pct" w:w="12%"/>
          </w:tcPr>
          <w:p>
            <w:r>
              <w:rPr>
                <w:rFonts w:ascii="Calibri" w:cs="Calibri" w:eastAsia="Calibri" w:hAnsi="Calibri"/>
                <w:b w:val="false"/>
                <w:bCs w:val="false"/>
                <w:color w:val="1E293B"/>
                <w:sz w:val="20"/>
                <w:szCs w:val="20"/>
              </w:rPr>
              <w:t xml:space="preserve">Admin</w:t>
            </w:r>
          </w:p>
        </w:tc>
        <w:tc>
          <w:tcPr>
            <w:tcW w:type="pct" w:w="22%"/>
          </w:tcPr>
          <w:p>
            <w:r>
              <w:rPr>
                <w:rFonts w:ascii="Calibri" w:cs="Calibri" w:eastAsia="Calibri" w:hAnsi="Calibri"/>
                <w:b w:val="false"/>
                <w:bCs w:val="false"/>
                <w:color w:val="1E293B"/>
                <w:sz w:val="20"/>
                <w:szCs w:val="20"/>
              </w:rPr>
              <w:t xml:space="preserve">admin@iuget.cm</w:t>
            </w:r>
          </w:p>
        </w:tc>
        <w:tc>
          <w:tcPr>
            <w:tcW w:type="pct" w:w="66%"/>
          </w:tcPr>
          <w:p>
            <w:r>
              <w:rPr>
                <w:rFonts w:ascii="Calibri" w:cs="Calibri" w:eastAsia="Calibri" w:hAnsi="Calibri"/>
                <w:b w:val="false"/>
                <w:bCs w:val="false"/>
                <w:color w:val="1E293B"/>
                <w:sz w:val="20"/>
                <w:szCs w:val="20"/>
              </w:rPr>
              <w:t xml:space="preserve">View institutional analytics · open settings · review user list.</w:t>
            </w:r>
          </w:p>
        </w:tc>
      </w:tr>
      <w:tr>
        <w:tc>
          <w:tcPr>
            <w:tcW w:type="pct" w:w="12%"/>
          </w:tcPr>
          <w:p>
            <w:r>
              <w:rPr>
                <w:rFonts w:ascii="Calibri" w:cs="Calibri" w:eastAsia="Calibri" w:hAnsi="Calibri"/>
                <w:b w:val="false"/>
                <w:bCs w:val="false"/>
                <w:color w:val="1E293B"/>
                <w:sz w:val="20"/>
                <w:szCs w:val="20"/>
              </w:rPr>
              <w:t xml:space="preserve">Parent</w:t>
            </w:r>
          </w:p>
        </w:tc>
        <w:tc>
          <w:tcPr>
            <w:tcW w:type="pct" w:w="22%"/>
          </w:tcPr>
          <w:p>
            <w:r>
              <w:rPr>
                <w:rFonts w:ascii="Calibri" w:cs="Calibri" w:eastAsia="Calibri" w:hAnsi="Calibri"/>
                <w:b w:val="false"/>
                <w:bCs w:val="false"/>
                <w:color w:val="1E293B"/>
                <w:sz w:val="20"/>
                <w:szCs w:val="20"/>
              </w:rPr>
              <w:t xml:space="preserve">(no account needed)</w:t>
            </w:r>
          </w:p>
        </w:tc>
        <w:tc>
          <w:tcPr>
            <w:tcW w:type="pct" w:w="66%"/>
          </w:tcPr>
          <w:p>
            <w:r>
              <w:rPr>
                <w:rFonts w:ascii="Calibri" w:cs="Calibri" w:eastAsia="Calibri" w:hAnsi="Calibri"/>
                <w:b w:val="false"/>
                <w:bCs w:val="false"/>
                <w:color w:val="1E293B"/>
                <w:sz w:val="20"/>
                <w:szCs w:val="20"/>
              </w:rPr>
              <w:t xml:space="preserve">Visit /parent · choose specialty · complete 5-step wizard with simulated payment.</w:t>
            </w:r>
          </w:p>
        </w:tc>
      </w:tr>
    </w:tbl>
    <w:p>
      <w:pPr>
        <w:spacing w:after="280"/>
        <w:jc w:val="center"/>
      </w:pPr>
      <w:r>
        <w:rPr>
          <w:rFonts w:ascii="Calibri" w:cs="Calibri" w:eastAsia="Calibri" w:hAnsi="Calibri"/>
          <w:i/>
          <w:iCs/>
          <w:color w:val="64748B"/>
          <w:sz w:val="18"/>
          <w:szCs w:val="18"/>
        </w:rPr>
        <w:t xml:space="preserve">Table B.1 — Demo credentials and recommended actions.</w:t>
      </w:r>
    </w:p>
    <w:p>
      <w:pPr>
        <w:pStyle w:val="Heading2"/>
        <w:spacing w:after="200" w:before="360"/>
      </w:pPr>
      <w:r>
        <w:t xml:space="preserve">B.2  Keyboard shortcuts</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EFF4FF" w:color="auto" w:val="clear"/>
          </w:tcPr>
          <w:p>
            <w:r>
              <w:rPr>
                <w:rFonts w:ascii="Calibri" w:cs="Calibri" w:eastAsia="Calibri" w:hAnsi="Calibri"/>
                <w:b/>
                <w:bCs/>
                <w:color w:val="1E3AA0"/>
                <w:sz w:val="20"/>
                <w:szCs w:val="20"/>
              </w:rPr>
              <w:t xml:space="preserve">Shortcut</w:t>
            </w:r>
          </w:p>
        </w:tc>
        <w:tc>
          <w:tcPr>
            <w:tcW w:type="pct" w:w="75%"/>
            <w:shd w:fill="EFF4FF" w:color="auto" w:val="clear"/>
          </w:tcPr>
          <w:p>
            <w:r>
              <w:rPr>
                <w:rFonts w:ascii="Calibri" w:cs="Calibri" w:eastAsia="Calibri" w:hAnsi="Calibri"/>
                <w:b/>
                <w:bCs/>
                <w:color w:val="1E3AA0"/>
                <w:sz w:val="20"/>
                <w:szCs w:val="20"/>
              </w:rPr>
              <w:t xml:space="preserve">Action</w:t>
            </w:r>
          </w:p>
        </w:tc>
      </w:tr>
      <w:tr>
        <w:tc>
          <w:tcPr>
            <w:tcW w:type="pct" w:w="25%"/>
          </w:tcPr>
          <w:p>
            <w:r>
              <w:rPr>
                <w:rFonts w:ascii="Calibri" w:cs="Calibri" w:eastAsia="Calibri" w:hAnsi="Calibri"/>
                <w:b w:val="false"/>
                <w:bCs w:val="false"/>
                <w:color w:val="1E293B"/>
                <w:sz w:val="20"/>
                <w:szCs w:val="20"/>
              </w:rPr>
              <w:t xml:space="preserve">⌘K / Ctrl+K</w:t>
            </w:r>
          </w:p>
        </w:tc>
        <w:tc>
          <w:tcPr>
            <w:tcW w:type="pct" w:w="75%"/>
          </w:tcPr>
          <w:p>
            <w:r>
              <w:rPr>
                <w:rFonts w:ascii="Calibri" w:cs="Calibri" w:eastAsia="Calibri" w:hAnsi="Calibri"/>
                <w:b w:val="false"/>
                <w:bCs w:val="false"/>
                <w:color w:val="1E293B"/>
                <w:sz w:val="20"/>
                <w:szCs w:val="20"/>
              </w:rPr>
              <w:t xml:space="preserve">Open the Command Palette.</w:t>
            </w:r>
          </w:p>
        </w:tc>
      </w:tr>
      <w:tr>
        <w:tc>
          <w:tcPr>
            <w:tcW w:type="pct" w:w="25%"/>
          </w:tcPr>
          <w:p>
            <w:r>
              <w:rPr>
                <w:rFonts w:ascii="Calibri" w:cs="Calibri" w:eastAsia="Calibri" w:hAnsi="Calibri"/>
                <w:b w:val="false"/>
                <w:bCs w:val="false"/>
                <w:color w:val="1E293B"/>
                <w:sz w:val="20"/>
                <w:szCs w:val="20"/>
              </w:rPr>
              <w:t xml:space="preserve">Esc</w:t>
            </w:r>
          </w:p>
        </w:tc>
        <w:tc>
          <w:tcPr>
            <w:tcW w:type="pct" w:w="75%"/>
          </w:tcPr>
          <w:p>
            <w:r>
              <w:rPr>
                <w:rFonts w:ascii="Calibri" w:cs="Calibri" w:eastAsia="Calibri" w:hAnsi="Calibri"/>
                <w:b w:val="false"/>
                <w:bCs w:val="false"/>
                <w:color w:val="1E293B"/>
                <w:sz w:val="20"/>
                <w:szCs w:val="20"/>
              </w:rPr>
              <w:t xml:space="preserve">Close the Command Palette or a modal.</w:t>
            </w:r>
          </w:p>
        </w:tc>
      </w:tr>
      <w:tr>
        <w:tc>
          <w:tcPr>
            <w:tcW w:type="pct" w:w="25%"/>
          </w:tcPr>
          <w:p>
            <w:r>
              <w:rPr>
                <w:rFonts w:ascii="Calibri" w:cs="Calibri" w:eastAsia="Calibri" w:hAnsi="Calibri"/>
                <w:b w:val="false"/>
                <w:bCs w:val="false"/>
                <w:color w:val="1E293B"/>
                <w:sz w:val="20"/>
                <w:szCs w:val="20"/>
              </w:rPr>
              <w:t xml:space="preserve">↑ ↓</w:t>
            </w:r>
          </w:p>
        </w:tc>
        <w:tc>
          <w:tcPr>
            <w:tcW w:type="pct" w:w="75%"/>
          </w:tcPr>
          <w:p>
            <w:r>
              <w:rPr>
                <w:rFonts w:ascii="Calibri" w:cs="Calibri" w:eastAsia="Calibri" w:hAnsi="Calibri"/>
                <w:b w:val="false"/>
                <w:bCs w:val="false"/>
                <w:color w:val="1E293B"/>
                <w:sz w:val="20"/>
                <w:szCs w:val="20"/>
              </w:rPr>
              <w:t xml:space="preserve">Navigate Command Palette results.</w:t>
            </w:r>
          </w:p>
        </w:tc>
      </w:tr>
      <w:tr>
        <w:tc>
          <w:tcPr>
            <w:tcW w:type="pct" w:w="25%"/>
          </w:tcPr>
          <w:p>
            <w:r>
              <w:rPr>
                <w:rFonts w:ascii="Calibri" w:cs="Calibri" w:eastAsia="Calibri" w:hAnsi="Calibri"/>
                <w:b w:val="false"/>
                <w:bCs w:val="false"/>
                <w:color w:val="1E293B"/>
                <w:sz w:val="20"/>
                <w:szCs w:val="20"/>
              </w:rPr>
              <w:t xml:space="preserve">Enter</w:t>
            </w:r>
          </w:p>
        </w:tc>
        <w:tc>
          <w:tcPr>
            <w:tcW w:type="pct" w:w="75%"/>
          </w:tcPr>
          <w:p>
            <w:r>
              <w:rPr>
                <w:rFonts w:ascii="Calibri" w:cs="Calibri" w:eastAsia="Calibri" w:hAnsi="Calibri"/>
                <w:b w:val="false"/>
                <w:bCs w:val="false"/>
                <w:color w:val="1E293B"/>
                <w:sz w:val="20"/>
                <w:szCs w:val="20"/>
              </w:rPr>
              <w:t xml:space="preserve">Activate the highlighted result.</w:t>
            </w:r>
          </w:p>
        </w:tc>
      </w:tr>
      <w:tr>
        <w:tc>
          <w:tcPr>
            <w:tcW w:type="pct" w:w="25%"/>
          </w:tcPr>
          <w:p>
            <w:r>
              <w:rPr>
                <w:rFonts w:ascii="Calibri" w:cs="Calibri" w:eastAsia="Calibri" w:hAnsi="Calibri"/>
                <w:b w:val="false"/>
                <w:bCs w:val="false"/>
                <w:color w:val="1E293B"/>
                <w:sz w:val="20"/>
                <w:szCs w:val="20"/>
              </w:rPr>
              <w:t xml:space="preserve">G + T</w:t>
            </w:r>
          </w:p>
        </w:tc>
        <w:tc>
          <w:tcPr>
            <w:tcW w:type="pct" w:w="75%"/>
          </w:tcPr>
          <w:p>
            <w:r>
              <w:rPr>
                <w:rFonts w:ascii="Calibri" w:cs="Calibri" w:eastAsia="Calibri" w:hAnsi="Calibri"/>
                <w:b w:val="false"/>
                <w:bCs w:val="false"/>
                <w:color w:val="1E293B"/>
                <w:sz w:val="20"/>
                <w:szCs w:val="20"/>
              </w:rPr>
              <w:t xml:space="preserve">Go to Timetable (Student).</w:t>
            </w:r>
          </w:p>
        </w:tc>
      </w:tr>
      <w:tr>
        <w:tc>
          <w:tcPr>
            <w:tcW w:type="pct" w:w="25%"/>
          </w:tcPr>
          <w:p>
            <w:r>
              <w:rPr>
                <w:rFonts w:ascii="Calibri" w:cs="Calibri" w:eastAsia="Calibri" w:hAnsi="Calibri"/>
                <w:b w:val="false"/>
                <w:bCs w:val="false"/>
                <w:color w:val="1E293B"/>
                <w:sz w:val="20"/>
                <w:szCs w:val="20"/>
              </w:rPr>
              <w:t xml:space="preserve">G + F</w:t>
            </w:r>
          </w:p>
        </w:tc>
        <w:tc>
          <w:tcPr>
            <w:tcW w:type="pct" w:w="75%"/>
          </w:tcPr>
          <w:p>
            <w:r>
              <w:rPr>
                <w:rFonts w:ascii="Calibri" w:cs="Calibri" w:eastAsia="Calibri" w:hAnsi="Calibri"/>
                <w:b w:val="false"/>
                <w:bCs w:val="false"/>
                <w:color w:val="1E293B"/>
                <w:sz w:val="20"/>
                <w:szCs w:val="20"/>
              </w:rPr>
              <w:t xml:space="preserve">Go to Tuition &amp; Fees (Student).</w:t>
            </w:r>
          </w:p>
        </w:tc>
      </w:tr>
      <w:tr>
        <w:tc>
          <w:tcPr>
            <w:tcW w:type="pct" w:w="25%"/>
          </w:tcPr>
          <w:p>
            <w:r>
              <w:rPr>
                <w:rFonts w:ascii="Calibri" w:cs="Calibri" w:eastAsia="Calibri" w:hAnsi="Calibri"/>
                <w:b w:val="false"/>
                <w:bCs w:val="false"/>
                <w:color w:val="1E293B"/>
                <w:sz w:val="20"/>
                <w:szCs w:val="20"/>
              </w:rPr>
              <w:t xml:space="preserve">G + I</w:t>
            </w:r>
          </w:p>
        </w:tc>
        <w:tc>
          <w:tcPr>
            <w:tcW w:type="pct" w:w="75%"/>
          </w:tcPr>
          <w:p>
            <w:r>
              <w:rPr>
                <w:rFonts w:ascii="Calibri" w:cs="Calibri" w:eastAsia="Calibri" w:hAnsi="Calibri"/>
                <w:b w:val="false"/>
                <w:bCs w:val="false"/>
                <w:color w:val="1E293B"/>
                <w:sz w:val="20"/>
                <w:szCs w:val="20"/>
              </w:rPr>
              <w:t xml:space="preserve">Go to ID Card (Student).</w:t>
            </w:r>
          </w:p>
        </w:tc>
      </w:tr>
      <w:tr>
        <w:tc>
          <w:tcPr>
            <w:tcW w:type="pct" w:w="25%"/>
          </w:tcPr>
          <w:p>
            <w:r>
              <w:rPr>
                <w:rFonts w:ascii="Calibri" w:cs="Calibri" w:eastAsia="Calibri" w:hAnsi="Calibri"/>
                <w:b w:val="false"/>
                <w:bCs w:val="false"/>
                <w:color w:val="1E293B"/>
                <w:sz w:val="20"/>
                <w:szCs w:val="20"/>
              </w:rPr>
              <w:t xml:space="preserve">G + $</w:t>
            </w:r>
          </w:p>
        </w:tc>
        <w:tc>
          <w:tcPr>
            <w:tcW w:type="pct" w:w="75%"/>
          </w:tcPr>
          <w:p>
            <w:r>
              <w:rPr>
                <w:rFonts w:ascii="Calibri" w:cs="Calibri" w:eastAsia="Calibri" w:hAnsi="Calibri"/>
                <w:b w:val="false"/>
                <w:bCs w:val="false"/>
                <w:color w:val="1E293B"/>
                <w:sz w:val="20"/>
                <w:szCs w:val="20"/>
              </w:rPr>
              <w:t xml:space="preserve">Go to Tuition Tracking (Staff / Admin).</w:t>
            </w:r>
          </w:p>
        </w:tc>
      </w:tr>
      <w:tr>
        <w:tc>
          <w:tcPr>
            <w:tcW w:type="pct" w:w="25%"/>
          </w:tcPr>
          <w:p>
            <w:r>
              <w:rPr>
                <w:rFonts w:ascii="Calibri" w:cs="Calibri" w:eastAsia="Calibri" w:hAnsi="Calibri"/>
                <w:b w:val="false"/>
                <w:bCs w:val="false"/>
                <w:color w:val="1E293B"/>
                <w:sz w:val="20"/>
                <w:szCs w:val="20"/>
              </w:rPr>
              <w:t xml:space="preserve">G + N</w:t>
            </w:r>
          </w:p>
        </w:tc>
        <w:tc>
          <w:tcPr>
            <w:tcW w:type="pct" w:w="75%"/>
          </w:tcPr>
          <w:p>
            <w:r>
              <w:rPr>
                <w:rFonts w:ascii="Calibri" w:cs="Calibri" w:eastAsia="Calibri" w:hAnsi="Calibri"/>
                <w:b w:val="false"/>
                <w:bCs w:val="false"/>
                <w:color w:val="1E293B"/>
                <w:sz w:val="20"/>
                <w:szCs w:val="20"/>
              </w:rPr>
              <w:t xml:space="preserve">Go to Enrol New Student (Staff / Admin).</w:t>
            </w:r>
          </w:p>
        </w:tc>
      </w:tr>
    </w:tbl>
    <w:p>
      <w:pPr>
        <w:spacing w:after="280"/>
        <w:jc w:val="center"/>
      </w:pPr>
      <w:r>
        <w:rPr>
          <w:rFonts w:ascii="Calibri" w:cs="Calibri" w:eastAsia="Calibri" w:hAnsi="Calibri"/>
          <w:i/>
          <w:iCs/>
          <w:color w:val="64748B"/>
          <w:sz w:val="18"/>
          <w:szCs w:val="18"/>
        </w:rPr>
        <w:t xml:space="preserve">Table B.2 — Keyboard shortcuts.</w:t>
      </w:r>
    </w:p>
    <w:p>
      <w:pPr>
        <w:pStyle w:val="Heading2"/>
        <w:spacing w:after="200" w:before="360"/>
      </w:pPr>
      <w:r>
        <w:t xml:space="preserve">B.3  Suggested defence demonstration path (5 minutes)</w:t>
      </w:r>
    </w:p>
    <w:p>
      <w:pPr>
        <w:pStyle w:val="ListParagraph"/>
        <w:numPr>
          <w:ilvl w:val="0"/>
          <w:numId w:val="1"/>
        </w:numPr>
        <w:spacing w:after="80"/>
      </w:pPr>
      <w:r>
        <w:rPr>
          <w:rFonts w:ascii="Calibri" w:cs="Calibri" w:eastAsia="Calibri" w:hAnsi="Calibri"/>
          <w:sz w:val="22"/>
          <w:szCs w:val="22"/>
        </w:rPr>
        <w:t xml:space="preserve">Open the Parent Portal (/parent), introduce the three specialties.</w:t>
      </w:r>
    </w:p>
    <w:p>
      <w:pPr>
        <w:pStyle w:val="ListParagraph"/>
        <w:numPr>
          <w:ilvl w:val="0"/>
          <w:numId w:val="1"/>
        </w:numPr>
        <w:spacing w:after="80"/>
      </w:pPr>
      <w:r>
        <w:rPr>
          <w:rFonts w:ascii="Calibri" w:cs="Calibri" w:eastAsia="Calibri" w:hAnsi="Calibri"/>
          <w:sz w:val="22"/>
          <w:szCs w:val="22"/>
        </w:rPr>
        <w:t xml:space="preserve">Click "Register your child", complete the 5-step wizard with MTN MoMo as the payment channel.</w:t>
      </w:r>
    </w:p>
    <w:p>
      <w:pPr>
        <w:pStyle w:val="ListParagraph"/>
        <w:numPr>
          <w:ilvl w:val="0"/>
          <w:numId w:val="1"/>
        </w:numPr>
        <w:spacing w:after="80"/>
      </w:pPr>
      <w:r>
        <w:rPr>
          <w:rFonts w:ascii="Calibri" w:cs="Calibri" w:eastAsia="Calibri" w:hAnsi="Calibri"/>
          <w:sz w:val="22"/>
          <w:szCs w:val="22"/>
        </w:rPr>
        <w:t xml:space="preserve">Show the printable receipt with its QR verification code.</w:t>
      </w:r>
    </w:p>
    <w:p>
      <w:pPr>
        <w:pStyle w:val="ListParagraph"/>
        <w:numPr>
          <w:ilvl w:val="0"/>
          <w:numId w:val="1"/>
        </w:numPr>
        <w:spacing w:after="80"/>
      </w:pPr>
      <w:r>
        <w:rPr>
          <w:rFonts w:ascii="Calibri" w:cs="Calibri" w:eastAsia="Calibri" w:hAnsi="Calibri"/>
          <w:sz w:val="22"/>
          <w:szCs w:val="22"/>
        </w:rPr>
        <w:t xml:space="preserve">Sign in as student@iuget.cm; navigate the dashboard, the timetable filtered by SWE, and the printable transcript.</w:t>
      </w:r>
    </w:p>
    <w:p>
      <w:pPr>
        <w:pStyle w:val="ListParagraph"/>
        <w:numPr>
          <w:ilvl w:val="0"/>
          <w:numId w:val="1"/>
        </w:numPr>
        <w:spacing w:after="80"/>
      </w:pPr>
      <w:r>
        <w:rPr>
          <w:rFonts w:ascii="Calibri" w:cs="Calibri" w:eastAsia="Calibri" w:hAnsi="Calibri"/>
          <w:sz w:val="22"/>
          <w:szCs w:val="22"/>
        </w:rPr>
        <w:t xml:space="preserve">Sign in as staff@iuget.cm; open the Tuition Tracking dashboard and the new enrolment that was just created.</w:t>
      </w:r>
    </w:p>
    <w:p>
      <w:pPr>
        <w:pStyle w:val="ListParagraph"/>
        <w:numPr>
          <w:ilvl w:val="0"/>
          <w:numId w:val="1"/>
        </w:numPr>
        <w:spacing w:after="80"/>
      </w:pPr>
      <w:r>
        <w:rPr>
          <w:rFonts w:ascii="Calibri" w:cs="Calibri" w:eastAsia="Calibri" w:hAnsi="Calibri"/>
          <w:sz w:val="22"/>
          <w:szCs w:val="22"/>
        </w:rPr>
        <w:t xml:space="preserve">Close with the Command Palette (⌘K) to demonstrate keyboard-driven navigation.</w:t>
      </w:r>
    </w:p>
    <w:sectPr>
      <w:headerReference w:type="default" r:id="rId7"/>
      <w:footerReference w:type="default" r:id="rId8"/>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4748B"/>
        <w:sz w:val="18"/>
        <w:szCs w:val="18"/>
      </w:rPr>
      <w:t xml:space="preserve">Page </w:t>
    </w:r>
    <w:r>
      <w:rPr>
        <w:color w:val="64748B"/>
        <w:sz w:val="18"/>
        <w:szCs w:val="18"/>
      </w:rPr>
      <w:fldChar w:fldCharType="begin"/>
      <w:instrText xml:space="preserve">PAGE</w:instrText>
      <w:fldChar w:fldCharType="separate"/>
      <w:fldChar w:fldCharType="end"/>
    </w:r>
    <w:r>
      <w:rPr>
        <w:rFonts w:ascii="Calibri" w:cs="Calibri" w:eastAsia="Calibri" w:hAnsi="Calibri"/>
        <w:color w:val="64748B"/>
        <w:sz w:val="18"/>
        <w:szCs w:val="18"/>
      </w:rPr>
      <w:t xml:space="preserve"> / </w:t>
    </w:r>
    <w:r>
      <w:rPr>
        <w:color w:val="64748B"/>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64748B"/>
        <w:sz w:val="18"/>
        <w:szCs w:val="18"/>
      </w:rPr>
      <w:t xml:space="preserve">SIARM · IUGET Bonabéri Bachelor Project ·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40" w:before="480"/>
    </w:pPr>
    <w:rPr>
      <w:rFonts w:ascii="Calibri" w:cs="Calibri" w:eastAsia="Calibri" w:hAnsi="Calibri"/>
      <w:b/>
      <w:bCs/>
      <w:color w:val="1E3AA0"/>
      <w:sz w:val="36"/>
      <w:szCs w:val="36"/>
    </w:rPr>
  </w:style>
  <w:style w:type="paragraph" w:styleId="Heading2">
    <w:name w:val="Heading 2"/>
    <w:basedOn w:val="Normal"/>
    <w:next w:val="Normal"/>
    <w:qFormat/>
    <w:pPr>
      <w:spacing w:after="200" w:before="360"/>
    </w:pPr>
    <w:rPr>
      <w:rFonts w:ascii="Calibri" w:cs="Calibri" w:eastAsia="Calibri" w:hAnsi="Calibri"/>
      <w:b/>
      <w:bCs/>
      <w:color w:val="E63946"/>
      <w:sz w:val="28"/>
      <w:szCs w:val="28"/>
    </w:rPr>
  </w:style>
  <w:style w:type="paragraph" w:styleId="Heading3">
    <w:name w:val="Heading 3"/>
    <w:basedOn w:val="Normal"/>
    <w:next w:val="Normal"/>
    <w:qFormat/>
    <w:pPr>
      <w:spacing w:after="160" w:before="280"/>
    </w:pPr>
    <w:rPr>
      <w:rFonts w:ascii="Calibri" w:cs="Calibri" w:eastAsia="Calibri" w:hAnsi="Calibri"/>
      <w:b/>
      <w:bCs/>
      <w:color w:val="1E3AA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635437aa9921d57d773c078e119950300e98caf.undefined"/><Relationship Id="rId10" Type="http://schemas.openxmlformats.org/officeDocument/2006/relationships/image" Target="media/a150f7996a7dc3dc141d90021c94229e5a743dbc.undefined"/><Relationship Id="rId11" Type="http://schemas.openxmlformats.org/officeDocument/2006/relationships/image" Target="media/b46443677b50dca70f2dc671a08e0bfb50e17750.undefined"/><Relationship Id="rId12" Type="http://schemas.openxmlformats.org/officeDocument/2006/relationships/image" Target="media/0574a5edcb2db98eaf145bc5a8b069e9213e4151.undefined"/><Relationship Id="rId13" Type="http://schemas.openxmlformats.org/officeDocument/2006/relationships/image" Target="media/8cf8788fb8c0f7664c75927c9a51cb4cd7e8a970.undefined"/><Relationship Id="rId14" Type="http://schemas.openxmlformats.org/officeDocument/2006/relationships/image" Target="media/62253c9d03d76cdf7d1783e1b7be49e23a1356e0.undefined"/><Relationship Id="rId15" Type="http://schemas.openxmlformats.org/officeDocument/2006/relationships/image" Target="media/e9a576ec38b94eda73fbfc5d80d89c21ea6e2057.undefined"/><Relationship Id="rId16" Type="http://schemas.openxmlformats.org/officeDocument/2006/relationships/image" Target="media/19a44a8fd7c6fc6d2b7c33b0fa0264ddd4ad6d74.undefined"/><Relationship Id="rId17" Type="http://schemas.openxmlformats.org/officeDocument/2006/relationships/image" Target="media/c3ef29eeed7ea27e3ba333709f4d2b4660b5d730.undefined"/><Relationship Id="rId18" Type="http://schemas.openxmlformats.org/officeDocument/2006/relationships/image" Target="media/e805698cbf7fbc15dda3cc8fed0ff3fbf65fa06d.undefined"/><Relationship Id="rId19" Type="http://schemas.openxmlformats.org/officeDocument/2006/relationships/image" Target="media/e0bebc4b78c74ba301d9798275996146891670d0.undefined"/><Relationship Id="rId20" Type="http://schemas.openxmlformats.org/officeDocument/2006/relationships/image" Target="media/5fa4375759e5298eefa371dd25e9e06a8557f675.undefined"/><Relationship Id="rId21" Type="http://schemas.openxmlformats.org/officeDocument/2006/relationships/image" Target="media/49935a6f200eda127dac898ba23dfa17988e22ba.undefined"/><Relationship Id="rId22" Type="http://schemas.openxmlformats.org/officeDocument/2006/relationships/image" Target="media/ffeaf18e00125be81faceb3f0352af3d83372b8b.undefined"/><Relationship Id="rId23" Type="http://schemas.openxmlformats.org/officeDocument/2006/relationships/image" Target="media/db24e08b3038a7d5022556e154c323ecd675cc79.undefined"/><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SIARM Bachelor Project Report</dc:title>
  <dc:creator>James Murdza</dc:creator>
  <dc:description>Smart Institution Academic Resource Management — Bachelor project report, IUGET Bonabéri</dc:description>
  <cp:lastModifiedBy>Un-named</cp:lastModifiedBy>
  <cp:revision>1</cp:revision>
  <dcterms:created xsi:type="dcterms:W3CDTF">2026-06-12T22:23:58.258Z</dcterms:created>
  <dcterms:modified xsi:type="dcterms:W3CDTF">2026-06-12T22:23:58.258Z</dcterms:modified>
</cp:coreProperties>
</file>

<file path=docProps/custom.xml><?xml version="1.0" encoding="utf-8"?>
<Properties xmlns="http://schemas.openxmlformats.org/officeDocument/2006/custom-properties" xmlns:vt="http://schemas.openxmlformats.org/officeDocument/2006/docPropsVTypes"/>
</file>