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rFonts w:ascii="Lato" w:cs="Lato" w:eastAsia="Lato" w:hAnsi="Lato"/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spacing w:after="0" w:line="240" w:lineRule="auto"/>
        <w:ind w:left="3" w:hanging="5"/>
        <w:jc w:val="center"/>
        <w:rPr>
          <w:rFonts w:ascii="Lato" w:cs="Lato" w:eastAsia="Lato" w:hAnsi="Lato"/>
          <w:b w:val="1"/>
          <w:color w:val="003f6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3" w:hanging="5"/>
        <w:jc w:val="center"/>
        <w:rPr>
          <w:rFonts w:ascii="Lato" w:cs="Lato" w:eastAsia="Lato" w:hAnsi="Lato"/>
          <w:b w:val="1"/>
          <w:color w:val="003f6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5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 UC – Escuela de 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web y móvil de alimentación natural personalizada para perros con IA - NutriHuella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 de septiembre de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Dueños de perros interesados en mejorar la nutrición de sus mascotas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 Guía del Proyecto de 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Gerentes del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Gonzalo Troncoso, Leandro Valenzuela 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Alexander Orell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El propósito del proyecto es desarrollar una solución tecnológica que apoye a los dueños de perros en la alimentación natural de sus mascotas. Actualmente, la mayoría alimenta a sus perros con pellet, mientras que la dieta natural enfrenta barreras como falta de información confiable, costos altos y desconocimiento de porciones seguras. NutriHuella busca resolver estas dificultades mediante un asistente con inteligencia artificial que entregue planes nutricionales personalizados, recetas seguras y alertas, fomentando una comunidad digital de apoyo.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56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Descripción del proyecto y entregables</w:t>
      </w:r>
    </w:p>
    <w:tbl>
      <w:tblPr>
        <w:tblStyle w:val="Table3"/>
        <w:tblW w:w="89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53"/>
        <w:tblGridChange w:id="0">
          <w:tblGrid>
            <w:gridCol w:w="8953"/>
          </w:tblGrid>
        </w:tblGridChange>
      </w:tblGrid>
      <w:tr>
        <w:trPr>
          <w:cantSplit w:val="0"/>
          <w:trHeight w:val="10357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NutriHuella es una solución web y móvil que permite a los dueños de perros gestionar la alimentación natural de sus mascotas mediante fichas clínicas digitales, un asistente de nutrición con IA, alertas y un recetario colaborativo.</w:t>
            </w:r>
          </w:p>
          <w:p w:rsidR="00000000" w:rsidDel="00000000" w:rsidP="00000000" w:rsidRDefault="00000000" w:rsidRPr="00000000" w14:paraId="0000001C">
            <w:pPr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El sistema se compone de:</w:t>
            </w:r>
          </w:p>
          <w:p w:rsidR="00000000" w:rsidDel="00000000" w:rsidP="00000000" w:rsidRDefault="00000000" w:rsidRPr="00000000" w14:paraId="0000001D">
            <w:pPr>
              <w:ind w:left="-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Aplicación web</w:t>
            </w:r>
            <w:r w:rsidDel="00000000" w:rsidR="00000000" w:rsidRPr="00000000">
              <w:rPr>
                <w:rtl w:val="0"/>
              </w:rPr>
              <w:t xml:space="preserve"> (React/Next.js) para administración, reportería y métricas.</w:t>
            </w:r>
          </w:p>
          <w:p w:rsidR="00000000" w:rsidDel="00000000" w:rsidP="00000000" w:rsidRDefault="00000000" w:rsidRPr="00000000" w14:paraId="0000001E">
            <w:pPr>
              <w:ind w:left="-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 móvil</w:t>
            </w:r>
            <w:r w:rsidDel="00000000" w:rsidR="00000000" w:rsidRPr="00000000">
              <w:rPr>
                <w:rtl w:val="0"/>
              </w:rPr>
              <w:t xml:space="preserve"> (React Native/Flutter) para registro de mascotas, planes alimenticios y recordatorios.</w:t>
            </w:r>
          </w:p>
          <w:p w:rsidR="00000000" w:rsidDel="00000000" w:rsidP="00000000" w:rsidRDefault="00000000" w:rsidRPr="00000000" w14:paraId="0000001F">
            <w:pPr>
              <w:ind w:left="-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 (Node.js + NestJS, Prisma, PostgreSQL) con autenticación JWT y login Google/Apple.</w:t>
            </w:r>
          </w:p>
          <w:p w:rsidR="00000000" w:rsidDel="00000000" w:rsidP="00000000" w:rsidRDefault="00000000" w:rsidRPr="00000000" w14:paraId="00000020">
            <w:pPr>
              <w:ind w:left="-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REST/GraphQL</w:t>
            </w:r>
            <w:r w:rsidDel="00000000" w:rsidR="00000000" w:rsidRPr="00000000">
              <w:rPr>
                <w:rtl w:val="0"/>
              </w:rPr>
              <w:t xml:space="preserve"> como núcleo de integración entre web, móvil y servicios externos (calendarios, WhatsApp, email).</w:t>
            </w:r>
          </w:p>
          <w:p w:rsidR="00000000" w:rsidDel="00000000" w:rsidP="00000000" w:rsidRDefault="00000000" w:rsidRPr="00000000" w14:paraId="00000021">
            <w:pPr>
              <w:ind w:left="-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Entregables principales: </w:t>
            </w:r>
          </w:p>
          <w:p w:rsidR="00000000" w:rsidDel="00000000" w:rsidP="00000000" w:rsidRDefault="00000000" w:rsidRPr="00000000" w14:paraId="00000023">
            <w:pPr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- Aplicaciones web y móvil funcionales</w:t>
            </w:r>
          </w:p>
          <w:p w:rsidR="00000000" w:rsidDel="00000000" w:rsidP="00000000" w:rsidRDefault="00000000" w:rsidRPr="00000000" w14:paraId="00000024">
            <w:pPr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- Backend centralizado </w:t>
            </w:r>
          </w:p>
          <w:p w:rsidR="00000000" w:rsidDel="00000000" w:rsidP="00000000" w:rsidRDefault="00000000" w:rsidRPr="00000000" w14:paraId="00000025">
            <w:pPr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- Base de datos relacional</w:t>
            </w:r>
          </w:p>
          <w:p w:rsidR="00000000" w:rsidDel="00000000" w:rsidP="00000000" w:rsidRDefault="00000000" w:rsidRPr="00000000" w14:paraId="00000026">
            <w:pPr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- Módulo de reportería</w:t>
            </w:r>
          </w:p>
          <w:p w:rsidR="00000000" w:rsidDel="00000000" w:rsidP="00000000" w:rsidRDefault="00000000" w:rsidRPr="00000000" w14:paraId="00000027">
            <w:pPr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- Integraciones externas y documentación técnica (manual de usuario, instalación y pruebas).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bookmarkStart w:colFirst="0" w:colLast="0" w:name="_heading=h.ir6omt183i2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u2xnwir3ottz" w:id="5"/>
      <w:bookmarkEnd w:id="5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Objetivos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85"/>
        <w:gridCol w:w="3385"/>
        <w:tblGridChange w:id="0">
          <w:tblGrid>
            <w:gridCol w:w="5485"/>
            <w:gridCol w:w="3385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Implementar ficha clínica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Registro de +20 mascotas en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Generar planes nutricionales con 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80% de precisión en pruebas piloto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Crear agenda de recordatorios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Alertas enviadas correctamente en 90% de casos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Desarrollar comunidad colaborativa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20+ recetas compartidas en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Integrar login Google/Apple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Inicio de sesión exitoso en 95% de pruebas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Implementar reportería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Reportes visibles en módulo 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Finalizar dentro del cronograma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Cumplimiento de la Carta Gantt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1 (01–05 sep): Inicio y planificación.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Acta de constitución aprobada y firmada. Documento de requerimientos inicial completo. Backlog priorizado y validado con profesor guía.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2 (08–19 sep): Autenticación + Ficha clínica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Registro e inicio de sesión funcionales (JWT + Google/Apple Sign-In). Ficha clínica permite crear y visualizar al menos 1 mascota. Pruebas unitarias básicas superadas (80%) en estos módulos.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3 (22 sep–03 oct): Módulo Despensa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CRUD de ingredientes funcional (crear, editar, eliminar, listar). Generación de alertas de caducidad en pruebas internas. Validación con al menos 5 usuarios de prueba.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4 (06–17 oct): IA Nutricional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Plan nutricional diario y semanal generado automáticamente. Validación de restricciones (ingredientes prohibidos). 80% de precisión en comparación con dietas BARF básicas predefinidas.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5 (20–31 oct): Comunidad y Recetas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Publicación, valoración y comentarios de recetas funcionando. Búsqueda y visualización de recetas operativa. Al menos 10 recetas creadas en pruebas piloto.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Sprint 6 (03–08 nov): Integraciones, Reportes y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Exportación de datos a calendario, WhatsApp o email probada. Reportes de peso, recetas y recordatorios funcionales. Manual de usuario y documentación técnica entregados. Defensa interna (demo completa) antes del 21 de noviembre.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Recursos Humanos, 2 alumnos desarrolladores (20h/semana, 3 meses, $6.000/hora)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$2.880.000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Infraestructura: Hosting en la nube (AWS/GCP/Heroku, plan básico 3 meses)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$70.000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Infraestructura: Base de datos PostgreSQL en la nube (3 meses)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$57.000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Infraestructura: Dominio web (.cl o .com, anual)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$15.000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Herramientas y APIs: OpenAI API (IA nutricional, pruebas limitadas 3 meses)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$57.000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Herramientas y APIs: Integraciones externas (Google, Apple, WhatsApp) – uso gratuito/sandbox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TOTAL: Costo total estimado del proyecto (3 meses)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$3.080.000 CLP (~3.200 USD)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Cumplimiento de los requerimientos funcionales y no funcionales priorizados en el Product Backlog.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Cumplimiento de 100% de los requerimientos de prioridad Alta y Media definidos en el Product Backlog.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Buenas prácticas de codificación (NestJS, Prisma, DTOs).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Al menos 90% de los commits revisados cumplen las guías de estilo definidas (linting, formateo automático con Prettier/ESLint).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Pruebas unitarias y funcionales.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80% de pruebas unitarias y funcionales superadas antes de la entrega final.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Validación con usuarios encuestados y profesor guía.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Aprobación del profesor guía en la revisión de sprint y entrega final.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xl2bkyyil928" w:id="6"/>
      <w:bookmarkEnd w:id="6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ind w:left="0" w:hanging="2"/>
              <w:rPr/>
            </w:pPr>
            <w:sdt>
              <w:sdtPr>
                <w:id w:val="1549033047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Falta de validación científica completa en nutrición → mitigación: reglas BARF básicas y disclaimers.</w:t>
                  <w:br w:type="textWrapping"/>
                  <w:t xml:space="preserve">- Dependencia de APIs externas (IA, Google, Apple, WhatsApp).</w:t>
                  <w:br w:type="textWrapping"/>
                  <w:t xml:space="preserve">- Limitación de tiempo académico (3 meses).</w:t>
                  <w:br w:type="textWrapping"/>
                  <w:t xml:space="preserve">- Resistencia de usuarios no familiarizados con alimentación natural.</w:t>
                </w:r>
              </w:sdtContent>
            </w:sdt>
          </w:p>
        </w:tc>
      </w:tr>
    </w:tbl>
    <w:p w:rsidR="00000000" w:rsidDel="00000000" w:rsidP="00000000" w:rsidRDefault="00000000" w:rsidRPr="00000000" w14:paraId="0000006F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dy6vkm" w:id="7"/>
      <w:bookmarkEnd w:id="7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Acta de constitución aprobada 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05 septiembre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Entrega documentación inicial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05 septiembre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Desarrollo módulo core (IA + ficha clínica)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15 octubre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Avance comunidad y recetas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31 octubre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Integraciones externas y reportería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15 noviembre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Entrega final y defensa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21 noviembre 2025</w:t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Proyecto académico – no contempla inversión económica directa. Se usarán recursos personales (equipo, software libre) y servicios gratuitos con posibilidad de suscripción futura.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Lista de Interesados (stakeholders)</w:t>
      </w:r>
    </w:p>
    <w:tbl>
      <w:tblPr>
        <w:tblStyle w:val="Table8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Gonzalo Troncoso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Alumno – 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Escuela de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Leandro Valenuela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Alumno – 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Escuela de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Alexander Orell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Alumno – 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Escuela de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Profesor Guía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Patrocinador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Dueños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Comunidad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Comité evaluador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3f6c"/>
        </w:rPr>
      </w:pPr>
      <w:bookmarkStart w:colFirst="0" w:colLast="0" w:name="_heading=h.2s8eyo1" w:id="9"/>
      <w:bookmarkEnd w:id="9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9C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Gerente de proyecto</w:t>
      </w:r>
    </w:p>
    <w:tbl>
      <w:tblPr>
        <w:tblStyle w:val="Table9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Gonzalo Troncoso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Gerente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Escuela de Informática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spacing w:after="280" w:before="280" w:lineRule="auto"/>
        <w:ind w:left="0" w:firstLine="0"/>
        <w:rPr>
          <w:rFonts w:ascii="Lato" w:cs="Lato" w:eastAsia="Lato" w:hAnsi="Lato"/>
          <w:color w:val="666666"/>
        </w:rPr>
      </w:pPr>
      <w:bookmarkStart w:colFirst="0" w:colLast="0" w:name="_heading=h.17dp8vu" w:id="10"/>
      <w:bookmarkEnd w:id="10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280" w:before="280" w:lineRule="auto"/>
        <w:ind w:left="0" w:firstLine="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Organización de actividades de cada integrante del equipo.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Gerente de proyecto es responsable de administrar el presupuesto definido, registrar los gastos reales y proponer ajustes en caso de variaciones. Puede autorizar variaciones menores de hasta un 5% del presupuesto estimado.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Definición de arquitectura, stack tecnológico y modelo de datos.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Coordinación con profesor guía.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sdt>
              <w:sdtPr>
                <w:id w:val="514662463"/>
                <w:tag w:val="goog_rdk_1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color w:val="000000"/>
                    <w:rtl w:val="0"/>
                  </w:rPr>
                  <w:t xml:space="preserve">Profesor guía → Coordinador académico.</w:t>
                </w:r>
              </w:sdtContent>
            </w:sdt>
          </w:p>
        </w:tc>
      </w:tr>
    </w:tbl>
    <w:p w:rsidR="00000000" w:rsidDel="00000000" w:rsidP="00000000" w:rsidRDefault="00000000" w:rsidRPr="00000000" w14:paraId="000000BB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Personal y recursos preasignados</w:t>
      </w:r>
    </w:p>
    <w:tbl>
      <w:tblPr>
        <w:tblStyle w:val="Table1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Computador personal + entornos virtuales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Alumnos / Duoc 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Acceso a API IA (OpenAI)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Alumno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Acceso a servicios Google/Apple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Alumno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Carta Gantt y Product Backlog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Carta Gantt y Product Backlog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3f6c"/>
        </w:rPr>
      </w:pPr>
      <w:bookmarkStart w:colFirst="0" w:colLast="0" w:name="_heading=h.26in1rg" w:id="11"/>
      <w:bookmarkEnd w:id="11"/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Aprobaciones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003f6c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C">
            <w:pPr>
              <w:pStyle w:val="Heading2"/>
              <w:ind w:left="1" w:hanging="3"/>
              <w:jc w:val="center"/>
              <w:rPr>
                <w:rFonts w:ascii="Lato" w:cs="Lato" w:eastAsia="Lato" w:hAnsi="Lato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color w:val="000000"/>
                <w:sz w:val="28"/>
                <w:szCs w:val="28"/>
                <w:rtl w:val="0"/>
              </w:rPr>
              <w:t xml:space="preserve">Fernando Herrera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003f6c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D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003f6c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E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spacing w:before="2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next w:val="TableNormal1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2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1" w:customStyle="1">
    <w:name w:val="Comment Text1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Heading">
    <w:name w:val="TOC Heading"/>
    <w:basedOn w:val="Heading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OC1">
    <w:name w:val="toc 1"/>
    <w:basedOn w:val="Normal"/>
    <w:next w:val="Normal"/>
    <w:qFormat w:val="1"/>
  </w:style>
  <w:style w:type="paragraph" w:styleId="TOC2">
    <w:name w:val="toc 2"/>
    <w:basedOn w:val="Normal"/>
    <w:next w:val="Normal"/>
    <w:qFormat w:val="1"/>
    <w:pPr>
      <w:ind w:left="220"/>
    </w:pPr>
  </w:style>
  <w:style w:type="paragraph" w:styleId="TO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NoSpacing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2"/>
    <w:tblPr>
      <w:tblStyleRowBandSize w:val="1"/>
      <w:tblStyleColBandSize w:val="1"/>
    </w:tblPr>
  </w:style>
  <w:style w:type="table" w:styleId="a0" w:customStyle="1">
    <w:basedOn w:val="TableNormal2"/>
    <w:tblPr>
      <w:tblStyleRowBandSize w:val="1"/>
      <w:tblStyleColBandSize w:val="1"/>
    </w:tblPr>
  </w:style>
  <w:style w:type="table" w:styleId="a1" w:customStyle="1">
    <w:basedOn w:val="TableNormal2"/>
    <w:tblPr>
      <w:tblStyleRowBandSize w:val="1"/>
      <w:tblStyleColBandSize w:val="1"/>
    </w:tblPr>
  </w:style>
  <w:style w:type="table" w:styleId="a2" w:customStyle="1">
    <w:basedOn w:val="TableNormal2"/>
    <w:tblPr>
      <w:tblStyleRowBandSize w:val="1"/>
      <w:tblStyleColBandSize w:val="1"/>
    </w:tblPr>
  </w:style>
  <w:style w:type="table" w:styleId="a3" w:customStyle="1">
    <w:basedOn w:val="TableNormal2"/>
    <w:tblPr>
      <w:tblStyleRowBandSize w:val="1"/>
      <w:tblStyleColBandSize w:val="1"/>
    </w:tblPr>
  </w:style>
  <w:style w:type="table" w:styleId="a4" w:customStyle="1">
    <w:basedOn w:val="TableNormal2"/>
    <w:tblPr>
      <w:tblStyleRowBandSize w:val="1"/>
      <w:tblStyleColBandSize w:val="1"/>
    </w:tblPr>
  </w:style>
  <w:style w:type="table" w:styleId="a5" w:customStyle="1">
    <w:basedOn w:val="TableNormal2"/>
    <w:tblPr>
      <w:tblStyleRowBandSize w:val="1"/>
      <w:tblStyleColBandSize w:val="1"/>
    </w:tblPr>
  </w:style>
  <w:style w:type="table" w:styleId="a6" w:customStyle="1">
    <w:basedOn w:val="TableNormal2"/>
    <w:tblPr>
      <w:tblStyleRowBandSize w:val="1"/>
      <w:tblStyleColBandSize w:val="1"/>
    </w:tblPr>
  </w:style>
  <w:style w:type="table" w:styleId="a7" w:customStyle="1">
    <w:basedOn w:val="TableNormal2"/>
    <w:tblPr>
      <w:tblStyleRowBandSize w:val="1"/>
      <w:tblStyleColBandSize w:val="1"/>
    </w:tblPr>
  </w:style>
  <w:style w:type="table" w:styleId="a8" w:customStyle="1">
    <w:basedOn w:val="TableNormal2"/>
    <w:tblPr>
      <w:tblStyleRowBandSize w:val="1"/>
      <w:tblStyleColBandSize w:val="1"/>
    </w:tblPr>
  </w:style>
  <w:style w:type="table" w:styleId="a9" w:customStyle="1">
    <w:basedOn w:val="TableNormal2"/>
    <w:tblPr>
      <w:tblStyleRowBandSize w:val="1"/>
      <w:tblStyleColBandSize w:val="1"/>
    </w:tblPr>
  </w:style>
  <w:style w:type="table" w:styleId="aa" w:customStyle="1">
    <w:basedOn w:val="TableNormal2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rY6vACv32L+JkxD6HdLlxjuf2w==">CgMxLjAaHQoBMBIYChYIB0ISEhBBcmlhbCBVbmljb2RlIE1TGhwKATESFwoVCAdCEQoETGF0bxIJTm92YSBNb25vMghoLmdqZGd4czIJaC4zMGowemxsMgloLjFmb2I5dGUyCWguM3pueXNoNzIOaC5pcjZvbXQxODNpMmoyDmgudTJ4bndpcjNvdHR6Mg5oLnhsMmJreXlpbDkyODIJaC4zZHk2dmttMgloLjF0M2g1c2YyCWguMnM4ZXlvMTIJaC4xN2RwOHZ1MgloLjI2aW4xcmc4AHIhMTJacjhWVEwwbHZLcloxNDdPR083dlkzVUhMY2k4T053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0x0101008B50B9AA8278BB4690B2317913548D08</vt:lpwstr>
  </property>
</Properties>
</file>