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11906"/>
      </w:tblGrid>
      <w:tr>
        <w:trPr>
          <w:trHeight w:val="16838" w:hRule="exact"/>
        </w:trPr>
        <w:tc>
          <w:tcPr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>
            <w:pPr>
              <w:spacing w:before="1300"/>
            </w:pPr>
          </w:p>
          <w:p>
            <w:pPr>
              <w:spacing w:after="300"/>
              <w:jc w:val="center"/>
            </w:pPr>
            <w:r>
              <w:drawing>
                <wp:inline distT="0" distB="0" distL="0" distR="0">
                  <wp:extent cx="1905000" cy="1905000"/>
                  <wp:effectExtent t="0" r="0" b="0" l="0"/>
                  <wp:docPr id="2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190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60" w:line="966" w:lineRule="atLeast"/>
              <w:jc w:val="center"/>
            </w:pPr>
            <w:r>
              <w:rPr>
                <w:rFonts w:ascii="Times New Roman" w:eastAsia="SimHei"/>
                <w:b/>
                <w:bCs/>
                <w:color w:val="000000"/>
                <w:spacing w:val="200"/>
                <w:sz w:val="84"/>
                <w:szCs w:val="84"/>
              </w:rPr>
              <w:t xml:space="preserve">北京大学</w:t>
            </w:r>
          </w:p>
          <w:p>
            <w:pPr>
              <w:spacing w:after="500" w:line="414" w:lineRule="atLeast"/>
              <w:jc w:val="center"/>
            </w:pPr>
            <w:r>
              <w:rPr>
                <w:rFonts w:ascii="Times New Roman" w:eastAsia="SimSun"/>
                <w:color w:val="000000"/>
                <w:sz w:val="36"/>
                <w:szCs w:val="36"/>
              </w:rPr>
              <w:t xml:space="preserve">《互联网软件开发技术与实践》课程实验报告</w:t>
            </w:r>
          </w:p>
          <w:p>
            <w:pPr>
              <w:spacing w:after="100" w:line="644" w:lineRule="atLeast"/>
              <w:jc w:val="center"/>
            </w:pPr>
            <w:r>
              <w:rPr>
                <w:rFonts w:ascii="Times New Roman" w:eastAsia="SimHei"/>
                <w:b/>
                <w:bCs/>
                <w:color w:val="000000"/>
                <w:sz w:val="56"/>
                <w:szCs w:val="56"/>
              </w:rPr>
              <w:t xml:space="preserve">CampusClaw</w:t>
            </w:r>
          </w:p>
          <w:p>
            <w:pPr>
              <w:spacing w:after="0" w:line="644" w:lineRule="atLeast"/>
              <w:jc w:val="center"/>
            </w:pPr>
            <w:r>
              <w:rPr>
                <w:rFonts w:ascii="Times New Roman" w:eastAsia="SimHei"/>
                <w:b/>
                <w:bCs/>
                <w:color w:val="000000"/>
                <w:sz w:val="56"/>
                <w:szCs w:val="56"/>
              </w:rPr>
              <w:t xml:space="preserve">个人项目应用平台验收报告</w:t>
            </w:r>
          </w:p>
          <w:p>
            <w:pPr>
              <w:spacing w:before="2100"/>
            </w:pPr>
          </w:p>
          <w:tbl>
            <w:tblPr>
              <w:tblW w:type="pct" w:w="3400"/>
              <w:jc w:val="center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2591"/>
              <w:gridCol w:w="5505"/>
            </w:tblGrid>
            <w:tr>
              <w:trPr>
                <w:cantSplit/>
              </w:trPr>
              <w:tc>
                <w:tcPr>
                  <w:tcW w:type="pct" w:w="160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spacing w:line="345" w:lineRule="atLeast"/>
                    <w:jc w:val="left"/>
                  </w:pPr>
                  <w:r>
                    <w:rPr>
                      <w:rFonts w:ascii="Times New Roman" w:eastAsia="SimHei"/>
                      <w:b/>
                      <w:bCs/>
                      <w:color w:val="000000"/>
                      <w:sz w:val="30"/>
                      <w:szCs w:val="30"/>
                    </w:rPr>
                    <w:t xml:space="preserve">课程名称：</w:t>
                  </w:r>
                </w:p>
              </w:tc>
              <w:tc>
                <w:tcPr>
                  <w:tcW w:type="pct" w:w="3400"/>
                  <w:tcBorders>
                    <w:top w:val="none"/>
                    <w:left w:val="none"/>
                    <w:bottom w:val="single" w:color="000000" w:sz="4"/>
                    <w:right w:val="none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spacing w:line="345" w:lineRule="atLeast"/>
                    <w:jc w:val="left"/>
                  </w:pPr>
                  <w:r>
                    <w:rPr>
                      <w:rFonts w:ascii="Times New Roman" w:eastAsia="SimSun"/>
                      <w:color w:val="000000"/>
                      <w:sz w:val="30"/>
                      <w:szCs w:val="30"/>
                    </w:rPr>
                    <w:t xml:space="preserve">互联网软件开发技术与实践</w:t>
                  </w:r>
                </w:p>
              </w:tc>
            </w:tr>
            <w:tr>
              <w:trPr>
                <w:cantSplit/>
              </w:trPr>
              <w:tc>
                <w:tcPr>
                  <w:tcW w:type="pct" w:w="160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spacing w:line="345" w:lineRule="atLeast"/>
                    <w:jc w:val="left"/>
                  </w:pPr>
                  <w:r>
                    <w:rPr>
                      <w:rFonts w:ascii="Times New Roman" w:eastAsia="SimHei"/>
                      <w:b/>
                      <w:bCs/>
                      <w:color w:val="000000"/>
                      <w:sz w:val="30"/>
                      <w:szCs w:val="30"/>
                    </w:rPr>
                    <w:t xml:space="preserve">项目名称：</w:t>
                  </w:r>
                </w:p>
              </w:tc>
              <w:tc>
                <w:tcPr>
                  <w:tcW w:type="pct" w:w="3400"/>
                  <w:tcBorders>
                    <w:top w:val="none"/>
                    <w:left w:val="none"/>
                    <w:bottom w:val="single" w:color="000000" w:sz="4"/>
                    <w:right w:val="none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spacing w:line="345" w:lineRule="atLeast"/>
                    <w:jc w:val="left"/>
                  </w:pPr>
                  <w:r>
                    <w:rPr>
                      <w:rFonts w:ascii="Times New Roman" w:eastAsia="SimSun"/>
                      <w:color w:val="000000"/>
                      <w:sz w:val="30"/>
                      <w:szCs w:val="30"/>
                    </w:rPr>
                    <w:t xml:space="preserve">CampusClaw 教研智能体平台</w:t>
                  </w:r>
                </w:p>
              </w:tc>
            </w:tr>
            <w:tr>
              <w:trPr>
                <w:cantSplit/>
              </w:trPr>
              <w:tc>
                <w:tcPr>
                  <w:tcW w:type="pct" w:w="160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spacing w:line="345" w:lineRule="atLeast"/>
                    <w:jc w:val="left"/>
                  </w:pPr>
                  <w:r>
                    <w:rPr>
                      <w:rFonts w:ascii="Times New Roman" w:eastAsia="SimHei"/>
                      <w:b/>
                      <w:bCs/>
                      <w:color w:val="000000"/>
                      <w:sz w:val="30"/>
                      <w:szCs w:val="30"/>
                    </w:rPr>
                    <w:t xml:space="preserve">姓名：</w:t>
                  </w:r>
                </w:p>
              </w:tc>
              <w:tc>
                <w:tcPr>
                  <w:tcW w:type="pct" w:w="3400"/>
                  <w:tcBorders>
                    <w:top w:val="none"/>
                    <w:left w:val="none"/>
                    <w:bottom w:val="single" w:color="000000" w:sz="4"/>
                    <w:right w:val="none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spacing w:line="345" w:lineRule="atLeast"/>
                    <w:jc w:val="left"/>
                  </w:pPr>
                  <w:r>
                    <w:rPr>
                      <w:rFonts w:ascii="Times New Roman" w:eastAsia="SimSun"/>
                      <w:color w:val="000000"/>
                      <w:sz w:val="30"/>
                      <w:szCs w:val="30"/>
                    </w:rPr>
                    <w:t xml:space="preserve">唐梓鑫</w:t>
                  </w:r>
                </w:p>
              </w:tc>
            </w:tr>
            <w:tr>
              <w:trPr>
                <w:cantSplit/>
              </w:trPr>
              <w:tc>
                <w:tcPr>
                  <w:tcW w:type="pct" w:w="160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spacing w:line="345" w:lineRule="atLeast"/>
                    <w:jc w:val="left"/>
                  </w:pPr>
                  <w:r>
                    <w:rPr>
                      <w:rFonts w:ascii="Times New Roman" w:eastAsia="SimHei"/>
                      <w:b/>
                      <w:bCs/>
                      <w:color w:val="000000"/>
                      <w:sz w:val="30"/>
                      <w:szCs w:val="30"/>
                    </w:rPr>
                    <w:t xml:space="preserve">学号：</w:t>
                  </w:r>
                </w:p>
              </w:tc>
              <w:tc>
                <w:tcPr>
                  <w:tcW w:type="pct" w:w="3400"/>
                  <w:tcBorders>
                    <w:top w:val="none"/>
                    <w:left w:val="none"/>
                    <w:bottom w:val="single" w:color="000000" w:sz="4"/>
                    <w:right w:val="none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spacing w:line="345" w:lineRule="atLeast"/>
                    <w:jc w:val="left"/>
                  </w:pPr>
                  <w:r>
                    <w:rPr>
                      <w:rFonts w:ascii="Times New Roman" w:eastAsia="SimSun"/>
                      <w:color w:val="000000"/>
                      <w:sz w:val="30"/>
                      <w:szCs w:val="30"/>
                    </w:rPr>
                    <w:t xml:space="preserve">2601210752</w:t>
                  </w:r>
                </w:p>
              </w:tc>
            </w:tr>
            <w:tr>
              <w:trPr>
                <w:cantSplit/>
              </w:trPr>
              <w:tc>
                <w:tcPr>
                  <w:tcW w:type="pct" w:w="160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spacing w:line="345" w:lineRule="atLeast"/>
                    <w:jc w:val="left"/>
                  </w:pPr>
                  <w:r>
                    <w:rPr>
                      <w:rFonts w:ascii="Times New Roman" w:eastAsia="SimHei"/>
                      <w:b/>
                      <w:bCs/>
                      <w:color w:val="000000"/>
                      <w:sz w:val="30"/>
                      <w:szCs w:val="30"/>
                    </w:rPr>
                    <w:t xml:space="preserve">日期：</w:t>
                  </w:r>
                </w:p>
              </w:tc>
              <w:tc>
                <w:tcPr>
                  <w:tcW w:type="pct" w:w="3400"/>
                  <w:tcBorders>
                    <w:top w:val="none"/>
                    <w:left w:val="none"/>
                    <w:bottom w:val="single" w:color="000000" w:sz="4"/>
                    <w:right w:val="none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spacing w:line="345" w:lineRule="atLeast"/>
                    <w:jc w:val="left"/>
                  </w:pPr>
                  <w:r>
                    <w:rPr>
                      <w:rFonts w:ascii="Times New Roman" w:eastAsia="SimSun"/>
                      <w:color w:val="000000"/>
                      <w:sz w:val="30"/>
                      <w:szCs w:val="30"/>
                    </w:rPr>
                    <w:t xml:space="preserve">2026 年 10 月 22 日</w:t>
                  </w:r>
                </w:p>
              </w:tc>
            </w:tr>
          </w:tbl>
          <w:p/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Times New Roman" w:eastAsia="SimHei"/>
          <w:b/>
          <w:bCs/>
          <w:sz w:val="32"/>
          <w:szCs w:val="32"/>
        </w:rPr>
        <w:t xml:space="preserve">目  录</w:t>
      </w:r>
    </w:p>
    <w:sdt>
      <w:sdtPr>
        <w:alias w:val="Table of Contents"/>
      </w:sdtPr>
      <w:sdtContent>
        <w:p>
          <w:pPr>
            <w:pStyle w:val="TOC1"/>
            <w:tabs>
              <w:tab w:val="right" w:pos="8788" w:leader="dot"/>
            </w:tabs>
          </w:pPr>
          <w:r>
            <w:fldChar w:fldCharType="begin" w:dirty="true"/>
          </w:r>
          <w:r>
            <w:instrText xml:space="preserve">TOC \h \o "1-3"</w:instrText>
          </w:r>
          <w:r>
            <w:fldChar w:fldCharType="separate"/>
          </w:r>
          <w:hyperlink w:history="1" w:anchor="_Toc1">
            <w:r>
              <w:t xml:space="preserve">1  项目概述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1  项目概述</w:t>
          </w:r>
          <w:r>
            <w:tab/>
          </w:r>
          <w:r>
            <w:t>1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1.1  项目简介</w:t>
          </w:r>
          <w:r>
            <w:tab/>
          </w:r>
          <w:r>
            <w:t>1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1.2  仓库地址与运行方式</w:t>
          </w:r>
          <w:r>
            <w:tab/>
          </w:r>
          <w:r>
            <w:t>1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1.3  一次提问的总体链路</w:t>
          </w:r>
          <w:r>
            <w:tab/>
          </w:r>
          <w:r>
            <w:t>2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1.4  功能要求对照</w:t>
          </w:r>
          <w:r>
            <w:tab/>
          </w:r>
          <w:r>
            <w:t>3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2  功能实现详解</w:t>
          </w:r>
          <w:r>
            <w:tab/>
          </w:r>
          <w:r>
            <w:t>3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2.1  功能一：内置多个 AI 应用</w:t>
          </w:r>
          <w:r>
            <w:tab/>
          </w:r>
          <w:r>
            <w:t>3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2.1.1  设计与数据模型</w:t>
          </w:r>
          <w:r>
            <w:tab/>
          </w:r>
          <w:r>
            <w:t>3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2.1.2  接口与页面</w:t>
          </w:r>
          <w:r>
            <w:tab/>
          </w:r>
          <w:r>
            <w:t>4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2.1.3  使用步骤演示</w:t>
          </w:r>
          <w:r>
            <w:tab/>
          </w:r>
          <w:r>
            <w:t>5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2.2  功能二：支持提示词模板</w:t>
          </w:r>
          <w:r>
            <w:tab/>
          </w:r>
          <w:r>
            <w:t>5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2.2.1  设计与渲染规则</w:t>
          </w:r>
          <w:r>
            <w:tab/>
          </w:r>
          <w:r>
            <w:t>5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2.2.2  接口与页面</w:t>
          </w:r>
          <w:r>
            <w:tab/>
          </w:r>
          <w:r>
            <w:t>5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2.3  功能三：支持知识库检索</w:t>
          </w:r>
          <w:r>
            <w:tab/>
          </w:r>
          <w:r>
            <w:t>6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2.4  功能四：内置 Skill 技能与上传技能</w:t>
          </w:r>
          <w:r>
            <w:tab/>
          </w:r>
          <w:r>
            <w:t>7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2.4.1  技能模型与内置技能</w:t>
          </w:r>
          <w:r>
            <w:tab/>
          </w:r>
          <w:r>
            <w:t>7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2.4.2  技能上传：课程技能文件格式</w:t>
          </w:r>
          <w:r>
            <w:tab/>
          </w:r>
          <w:r>
            <w:t>7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2.5  功能五：外部工具及 MCP 接入</w:t>
          </w:r>
          <w:r>
            <w:tab/>
          </w:r>
          <w:r>
            <w:t>8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2.5.1  自建 MCP 服务器（mcp-server/）</w:t>
          </w:r>
          <w:r>
            <w:tab/>
          </w:r>
          <w:r>
            <w:t>8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2.5.2  主机侧：登记、连接与发现</w:t>
          </w:r>
          <w:r>
            <w:tab/>
          </w:r>
          <w:r>
            <w:t>8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2.5.3  技能绑定与对话中的调用</w:t>
          </w:r>
          <w:r>
            <w:tab/>
          </w:r>
          <w:r>
            <w:t>9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2.5.4  断开后的行为</w:t>
          </w:r>
          <w:r>
            <w:tab/>
          </w:r>
          <w:r>
            <w:t>10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3  验证内容：五项逐项验证</w:t>
          </w:r>
          <w:r>
            <w:tab/>
          </w:r>
          <w:r>
            <w:t>10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3.1  验证一：每次对话传给 LLM 的具体参数与返回内容；提示词模板是否一并传递</w:t>
          </w:r>
          <w:r>
            <w:tab/>
          </w:r>
          <w:r>
            <w:t>10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3.2  验证二：绑定知识库后，是否把知识库全部内容传给 LLM</w:t>
          </w:r>
          <w:r>
            <w:tab/>
          </w:r>
          <w:r>
            <w:t>13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3.3  验证三：绑定技能后，请求中是否包含该技能的全部内容</w:t>
          </w:r>
          <w:r>
            <w:tab/>
          </w:r>
          <w:r>
            <w:t>14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3.4  验证四：执行具体技能 Skill 时的执行逻辑</w:t>
          </w:r>
          <w:r>
            <w:tab/>
          </w:r>
          <w:r>
            <w:t>14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3.5  验证五：集成 MCP 工具后，每次请求传给 LLM 的具体参数</w:t>
          </w:r>
          <w:r>
            <w:tab/>
          </w:r>
          <w:r>
            <w:t>15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4  测试与质量保障</w:t>
          </w:r>
          <w:r>
            <w:tab/>
          </w:r>
          <w:r>
            <w:t>18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4.1  测试体系</w:t>
          </w:r>
          <w:r>
            <w:tab/>
          </w:r>
          <w:r>
            <w:t>18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4.2  API 文档与试调</w:t>
          </w:r>
          <w:r>
            <w:tab/>
          </w:r>
          <w:r>
            <w:t>19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4.3  运维可观测性</w:t>
          </w:r>
          <w:r>
            <w:tab/>
          </w:r>
          <w:r>
            <w:t>19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5  总结</w:t>
          </w:r>
          <w:r>
            <w:tab/>
          </w:r>
          <w:r>
            <w:t>20</w:t>
          </w:r>
        </w:p>
        <w:p>
          <w:r>
            <w:fldChar w:fldCharType="end"/>
          </w:r>
        </w:p>
      </w:sdtContent>
    </w:sdt>
    <w:p>
      <w:pPr>
        <w:spacing w:before="200"/>
        <w:sectPr>
          <w:headerReference w:type="default" r:id="rId6"/>
          <w:footerReference w:type="default" r:id="rId7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  <w:r>
        <w:rPr>
          <w:rFonts w:ascii="Times New Roman" w:eastAsia="SimSun"/>
          <w:i/>
          <w:iCs/>
          <w:color w:val="888888"/>
          <w:sz w:val="18"/>
          <w:szCs w:val="18"/>
        </w:rPr>
        <w:t xml:space="preserve">注：本目录由域代码生成。编辑后请在目录上点击右键并选择「更新域」以刷新页码。</w:t>
      </w:r>
    </w:p>
    <w:p>
      <w:pPr>
        <w:pStyle w:val="Heading1"/>
        <w:spacing w:after="160" w:before="360" w:line="312"/>
      </w:pPr>
      <w:bookmarkStart w:name="_Toc1" w:id="1"/>
      <w:r>
        <w:rPr>
          <w:rFonts w:ascii="Times New Roman" w:eastAsia="SimHei"/>
          <w:b/>
          <w:bCs/>
          <w:color w:val="0A1628"/>
          <w:sz w:val="32"/>
          <w:szCs w:val="32"/>
        </w:rPr>
        <w:t xml:space="preserve">1  项目概述</w:t>
      </w:r>
      <w:bookmarkEnd w:id="1"/>
    </w:p>
    <w:p>
      <w:pPr>
        <w:pStyle w:val="Heading2"/>
        <w:spacing w:after="120" w:before="260" w:line="312"/>
      </w:pPr>
      <w:bookmarkStart w:name="_Toc2" w:id="2"/>
      <w:r>
        <w:rPr>
          <w:rFonts w:ascii="Times New Roman" w:eastAsia="SimHei"/>
          <w:b/>
          <w:bCs/>
          <w:color w:val="0A1628"/>
          <w:sz w:val="28"/>
          <w:szCs w:val="28"/>
        </w:rPr>
        <w:t xml:space="preserve">1.1  项目简介</w:t>
      </w:r>
      <w:bookmarkEnd w:id="2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CampusClaw 是北京大学《互联网软件开发技术与实践》课程的个人项目，定位为面向中小学的教研智能体平台。教师登录后按班级上传与管理教学材料，本班成员可以围绕材料进行检索与问答；平台在知识库检索之上提供应用层能力：内置多个 AI 应用、提示词模板、内置与可上传的技能（Skill）、以及通过 MCP（Model Context Protocol）接入的外部工具。班级是数据边界，所有业务查询都在服务端按登录会话中的班级过滤，前端隐藏入口不构成隔离手段。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本项目采用规约驱动开发（SDD）：任何功能先在 openspec/changes/ 下编写 change 规约四件套（proposal、design、specs、tasks），再按规约实现并逐条验收。本次验收涉及两个 change：add-ai-app-platform（AI 应用、提示词模板、技能上传、LLM 调用日志）与 add-mcp-tools（自建 MCP 服务与主机侧接入、调用审计）。</w:t>
      </w:r>
    </w:p>
    <w:p>
      <w:pPr>
        <w:pStyle w:val="Heading2"/>
        <w:spacing w:after="120" w:before="260" w:line="312"/>
      </w:pPr>
      <w:bookmarkStart w:name="_Toc3" w:id="3"/>
      <w:r>
        <w:rPr>
          <w:rFonts w:ascii="Times New Roman" w:eastAsia="SimHei"/>
          <w:b/>
          <w:bCs/>
          <w:color w:val="0A1628"/>
          <w:sz w:val="28"/>
          <w:szCs w:val="28"/>
        </w:rPr>
        <w:t xml:space="preserve">1.2  仓库地址与运行方式</w:t>
      </w:r>
      <w:bookmarkEnd w:id="3"/>
    </w:p>
    <w:p>
      <w:pPr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项目 Git 仓库地址：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https://github.com/leaveWhite9088/CampusClaw.git（main 分支）。本地仓库路径为 互联网软件开发技术与实践/CampusClaw，验收时的代码版本对应提交「第6课收尾」及之后各次提交。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标准启动方式为 Docker Compose。执行 cp .env.example .env 并填写 SECRET_KEY 与网关配置后，运行 docker compose up --build 即可一键启动全部五个服务：web（Nginx，对外唯一端口 8088）、app（gunicorn + Flask，不映射宿主端口）、qdrant（向量库，仅内部网络）、mcp-server（自建 MCP 工具服务，仅内部网络）。应用提供 GET /health 健康检查。首次启动自动建表并写入种子数据；执行 docker compose exec app python scripts/seed_demo.py 可一键准备演示数据（登记并连接 MCP 服务器、创建数学解题引导技能与数学工具助手应用）。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预置账号：教师 teacher_a / teach123（班级 A），学生 student_a1 / stu123（班级 A），student_b1 / stu123（班级 B）。嵌入与对话网关在本机以 scripts/dev_stub_gateway.py（OpenAI 兼容的抽取式 stub）扮演，密钥只放在服务端 .env，不入库、不进镜像、不进前端。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953000" cy="3267075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5A6572"/>
          <w:sz w:val="21"/>
          <w:szCs w:val="21"/>
        </w:rPr>
        <w:t xml:space="preserve">图1  系统登录页（http://localhost:8088/login）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953000" cy="3267075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5A6572"/>
          <w:sz w:val="21"/>
          <w:szCs w:val="21"/>
        </w:rPr>
        <w:t xml:space="preserve">图2  登录后首页：本班材料与知识库检索</w:t>
      </w:r>
    </w:p>
    <w:p>
      <w:pPr>
        <w:pStyle w:val="Heading2"/>
        <w:spacing w:after="120" w:before="260" w:line="312"/>
      </w:pPr>
      <w:bookmarkStart w:name="_Toc4" w:id="4"/>
      <w:r>
        <w:rPr>
          <w:rFonts w:ascii="Times New Roman" w:eastAsia="SimHei"/>
          <w:b/>
          <w:bCs/>
          <w:color w:val="0A1628"/>
          <w:sz w:val="28"/>
          <w:szCs w:val="28"/>
        </w:rPr>
        <w:t xml:space="preserve">1.3  一次提问的总体链路</w:t>
      </w:r>
      <w:bookmarkEnd w:id="4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无论从哪个应用发起提问，服务端都按同一条链路编排：取会话所属应用的绑定（提示词模板、技能、材料范围），按适用条件选中技能，先做本班混合检索（SQLite FTS5 关键字 + Qdrant 向量，RRF 融合取前 4 条切片），再按技能工具白名单确定性调用 MCP 工具（若有绑定），最后把「渲染后的模板 + 选中技能的完整指令 + 编号资料切片 + 工具返回数据块 + 用户提问」组装成对话网关请求，以 SSE 流式返回回答与出处。每一次调用对话网关的完整请求参数与返回内容都写入 LLM 调用日志，作为本报告第 3 章逐项验证的取证依据。</w:t>
      </w:r>
    </w:p>
    <w:p>
      <w:pPr>
        <w:pStyle w:val="Heading2"/>
        <w:spacing w:after="120" w:before="260" w:line="312"/>
      </w:pPr>
      <w:bookmarkStart w:name="_Toc5" w:id="5"/>
      <w:r>
        <w:rPr>
          <w:rFonts w:ascii="Times New Roman" w:eastAsia="SimHei"/>
          <w:b/>
          <w:bCs/>
          <w:color w:val="0A1628"/>
          <w:sz w:val="28"/>
          <w:szCs w:val="28"/>
        </w:rPr>
        <w:t xml:space="preserve">1.4  功能要求对照</w:t>
      </w:r>
      <w:bookmarkEnd w:id="5"/>
    </w:p>
    <w:p>
      <w:pPr>
        <w:spacing w:after="4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作业要求的五项功能与系统实现的对应关系如表 1 所示，全部功能均已实现并在 Docker Compose 环境跑通。</w:t>
      </w:r>
    </w:p>
    <w:p>
      <w:pPr>
        <w:keepNext/>
        <w:spacing w:after="60" w:before="120"/>
        <w:jc w:val="center"/>
      </w:pPr>
      <w:r>
        <w:rPr>
          <w:rFonts w:ascii="Times New Roman" w:eastAsia="SimHei"/>
          <w:b/>
          <w:bCs/>
          <w:color w:val="0A1628"/>
          <w:sz w:val="21"/>
          <w:szCs w:val="21"/>
        </w:rPr>
        <w:t xml:space="preserve">表1  作业功能要求与系统实现对照</w:t>
      </w:r>
    </w:p>
    <w:tbl>
      <w:tblPr>
        <w:tblW w:type="pct" w:w="5000"/>
        <w:tblBorders>
          <w:top w:val="single" w:color="1B6B7A" w:sz="4"/>
          <w:left w:val="none"/>
          <w:bottom w:val="single" w:color="1B6B7A" w:sz="4"/>
          <w:right w:val="none"/>
          <w:insideH w:val="single" w:color="C8DDE2" w:sz="1"/>
          <w:insideV w:val="none"/>
        </w:tblBorders>
      </w:tblPr>
      <w:tblGrid>
        <w:gridCol w:w="1933"/>
        <w:gridCol w:w="4394"/>
        <w:gridCol w:w="2461"/>
      </w:tblGrid>
      <w:tr>
        <w:trPr>
          <w:cantSplit/>
          <w:tblHeader/>
        </w:trPr>
        <w:tc>
          <w:tcPr>
            <w:tcW w:type="pct" w:w="11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作业要求</w:t>
            </w:r>
          </w:p>
        </w:tc>
        <w:tc>
          <w:tcPr>
            <w:tcW w:type="pct" w:w="25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系统实现</w:t>
            </w:r>
          </w:p>
        </w:tc>
        <w:tc>
          <w:tcPr>
            <w:tcW w:type="pct" w:w="14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主要入口</w:t>
            </w:r>
          </w:p>
        </w:tc>
      </w:tr>
      <w:tr>
        <w:trPr>
          <w:cantSplit/>
        </w:trPr>
        <w:tc>
          <w:tcPr>
            <w:tcW w:type="pct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内置多个 AI 应用</w:t>
            </w:r>
          </w:p>
        </w:tc>
        <w:tc>
          <w:tcPr>
            <w:tcW w:type="pct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每班预置 3 个内置应用（资料问答、解题引导、作文点评），教师可自建应用并绑定模板/技能/材料范围</w:t>
            </w:r>
          </w:p>
        </w:tc>
        <w:tc>
          <w:tcPr>
            <w:tcW w:type="pct" w:w="1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/apps、/api/apps</w:t>
            </w:r>
          </w:p>
        </w:tc>
      </w:tr>
      <w:tr>
        <w:trPr>
          <w:cantSplit/>
        </w:trPr>
        <w:tc>
          <w:tcPr>
            <w:tcW w:type="pct" w:w="11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支持提示词模板</w:t>
            </w:r>
          </w:p>
        </w:tc>
        <w:tc>
          <w:tcPr>
            <w:tcW w:type="pct" w:w="25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prompt_templates 表 + 每班 3 个内置模板，支持 {{skills}}/{{knowledge}} 占位符，应用绑定模板渲染为 system 消息</w:t>
            </w:r>
          </w:p>
        </w:tc>
        <w:tc>
          <w:tcPr>
            <w:tcW w:type="pct" w:w="14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/settings 模板页签、/api/templates</w:t>
            </w:r>
          </w:p>
        </w:tc>
      </w:tr>
      <w:tr>
        <w:trPr>
          <w:cantSplit/>
        </w:trPr>
        <w:tc>
          <w:tcPr>
            <w:tcW w:type="pct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支持知识库检索</w:t>
            </w:r>
          </w:p>
        </w:tc>
        <w:tc>
          <w:tcPr>
            <w:tcW w:type="pct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沿用 SQLite FTS5 + Qdrant 混合检索（RRF），应用可限定材料子集；回答带 [编号] 出处标注</w:t>
            </w:r>
          </w:p>
        </w:tc>
        <w:tc>
          <w:tcPr>
            <w:tcW w:type="pct" w:w="1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/materials、/api/search</w:t>
            </w:r>
          </w:p>
        </w:tc>
      </w:tr>
      <w:tr>
        <w:trPr>
          <w:cantSplit/>
        </w:trPr>
        <w:tc>
          <w:tcPr>
            <w:tcW w:type="pct" w:w="11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内置 Skill 并支持上传</w:t>
            </w:r>
          </w:p>
        </w:tc>
        <w:tc>
          <w:tcPr>
            <w:tcW w:type="pct" w:w="25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每班预置 3 条内置技能；支持课程技能文件格式（.md/.json）上传，解析适用条件与工具白名单并做保存前校验</w:t>
            </w:r>
          </w:p>
        </w:tc>
        <w:tc>
          <w:tcPr>
            <w:tcW w:type="pct" w:w="14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/settings 技能页签、/api/skills/upload</w:t>
            </w:r>
          </w:p>
        </w:tc>
      </w:tr>
      <w:tr>
        <w:trPr>
          <w:cantSplit/>
        </w:trPr>
        <w:tc>
          <w:tcPr>
            <w:tcW w:type="pct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外部工具及 MCP 接入</w:t>
            </w:r>
          </w:p>
        </w:tc>
        <w:tc>
          <w:tcPr>
            <w:tcW w:type="pct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同仓自建 mcp-server（JSON-RPC 2.0，3 个工具）；教师登记/连接/断开；技能以 工具名@服务器名 绑定；命中即带令牌调用并写审计</w:t>
            </w:r>
          </w:p>
        </w:tc>
        <w:tc>
          <w:tcPr>
            <w:tcW w:type="pct" w:w="1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/settings MCP 页签、mcp-server/</w:t>
            </w:r>
          </w:p>
        </w:tc>
      </w:tr>
    </w:tbl>
    <w:p>
      <w:pPr>
        <w:pStyle w:val="Heading1"/>
        <w:spacing w:after="160" w:before="360" w:line="312"/>
      </w:pPr>
      <w:bookmarkStart w:name="_Toc6" w:id="6"/>
      <w:r>
        <w:rPr>
          <w:rFonts w:ascii="Times New Roman" w:eastAsia="SimHei"/>
          <w:b/>
          <w:bCs/>
          <w:color w:val="0A1628"/>
          <w:sz w:val="32"/>
          <w:szCs w:val="32"/>
        </w:rPr>
        <w:t xml:space="preserve">2  功能实现详解</w:t>
      </w:r>
      <w:bookmarkEnd w:id="6"/>
    </w:p>
    <w:p>
      <w:pPr>
        <w:pStyle w:val="Heading2"/>
        <w:spacing w:after="120" w:before="260" w:line="312"/>
      </w:pPr>
      <w:bookmarkStart w:name="_Toc7" w:id="7"/>
      <w:r>
        <w:rPr>
          <w:rFonts w:ascii="Times New Roman" w:eastAsia="SimHei"/>
          <w:b/>
          <w:bCs/>
          <w:color w:val="0A1628"/>
          <w:sz w:val="28"/>
          <w:szCs w:val="28"/>
        </w:rPr>
        <w:t xml:space="preserve">2.1  功能一：内置多个 AI 应用</w:t>
      </w:r>
      <w:bookmarkEnd w:id="7"/>
    </w:p>
    <w:p>
      <w:pPr>
        <w:pStyle w:val="Heading3"/>
        <w:spacing w:after="100" w:before="200" w:line="312"/>
      </w:pPr>
      <w:bookmarkStart w:name="_Toc8" w:id="8"/>
      <w:r>
        <w:rPr>
          <w:rFonts w:ascii="Times New Roman" w:eastAsia="SimHei"/>
          <w:b/>
          <w:bCs/>
          <w:color w:val="0A1628"/>
          <w:sz w:val="24"/>
          <w:szCs w:val="24"/>
        </w:rPr>
        <w:t xml:space="preserve">2.1.1  设计与数据模型</w:t>
      </w:r>
      <w:bookmarkEnd w:id="8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「AI 应用」是平台的核心组织层：一个应用把一次问答所需的三类配置打包在一起——一个提示词模板（决定助手的角色与回答规范）、若干技能（决定注入哪些指令、触发哪些工具）、一个材料范围（限定知识库检索边界，空表示本班全部材料）。数据层新增 ai_apps 表，字段包括 class_id、name、description、template_id、skill_ids（JSON 数组）、material_ids（JSON 数组）、built_in 与 enabled。绑定校验在服务端完成：模板、技能、材料必须属于本班，跨班绑定返回 400。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每班预置 3 个 built_in 应用作为开箱即用的演示：资料问答助手（默认教研模板，纯知识库问答）、解题引导助手（解题引导模板 + 解题引导技能）、作文点评助手（作文点评模板 + 作文点评技能）。内置应用不可删除，只能停用；教师自建的应用可删除，删除后历史会话自动回退为无应用会话。</w:t>
      </w:r>
    </w:p>
    <w:p>
      <w:pPr>
        <w:keepNext/>
        <w:spacing w:after="60" w:before="120"/>
        <w:jc w:val="center"/>
      </w:pPr>
      <w:r>
        <w:rPr>
          <w:rFonts w:ascii="Times New Roman" w:eastAsia="SimHei"/>
          <w:b/>
          <w:bCs/>
          <w:color w:val="0A1628"/>
          <w:sz w:val="21"/>
          <w:szCs w:val="21"/>
        </w:rPr>
        <w:t xml:space="preserve">表2  本班预置的 AI 应用（班级 A 演示数据）</w:t>
      </w:r>
    </w:p>
    <w:tbl>
      <w:tblPr>
        <w:tblW w:type="pct" w:w="5000"/>
        <w:tblBorders>
          <w:top w:val="single" w:color="1B6B7A" w:sz="4"/>
          <w:left w:val="none"/>
          <w:bottom w:val="single" w:color="1B6B7A" w:sz="4"/>
          <w:right w:val="none"/>
          <w:insideH w:val="single" w:color="C8DDE2" w:sz="1"/>
          <w:insideV w:val="none"/>
        </w:tblBorders>
      </w:tblPr>
      <w:tblGrid>
        <w:gridCol w:w="2285"/>
        <w:gridCol w:w="1933"/>
        <w:gridCol w:w="2636"/>
        <w:gridCol w:w="1933"/>
      </w:tblGrid>
      <w:tr>
        <w:trPr>
          <w:cantSplit/>
          <w:tblHeader/>
        </w:trPr>
        <w:tc>
          <w:tcPr>
            <w:tcW w:type="pct" w:w="13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应用</w:t>
            </w:r>
          </w:p>
        </w:tc>
        <w:tc>
          <w:tcPr>
            <w:tcW w:type="pct" w:w="11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提示词模板</w:t>
            </w:r>
          </w:p>
        </w:tc>
        <w:tc>
          <w:tcPr>
            <w:tcW w:type="pct" w:w="15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绑定技能</w:t>
            </w:r>
          </w:p>
        </w:tc>
        <w:tc>
          <w:tcPr>
            <w:tcW w:type="pct" w:w="11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知识库范围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资料问答助手（内置）</w:t>
            </w:r>
          </w:p>
        </w:tc>
        <w:tc>
          <w:tcPr>
            <w:tcW w:type="pct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默认教研模板</w:t>
            </w:r>
          </w:p>
        </w:tc>
        <w:tc>
          <w:tcPr>
            <w:tcW w:type="pct" w:w="1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（无）</w:t>
            </w:r>
          </w:p>
        </w:tc>
        <w:tc>
          <w:tcPr>
            <w:tcW w:type="pct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本班全部材料</w:t>
            </w:r>
          </w:p>
        </w:tc>
      </w:tr>
      <w:tr>
        <w:trPr>
          <w:cantSplit/>
        </w:trPr>
        <w:tc>
          <w:tcPr>
            <w:tcW w:type="pct" w:w="13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解题引导助手（内置）</w:t>
            </w:r>
          </w:p>
        </w:tc>
        <w:tc>
          <w:tcPr>
            <w:tcW w:type="pct" w:w="11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解题引导模板</w:t>
            </w:r>
          </w:p>
        </w:tc>
        <w:tc>
          <w:tcPr>
            <w:tcW w:type="pct" w:w="15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解题引导</w:t>
            </w:r>
          </w:p>
        </w:tc>
        <w:tc>
          <w:tcPr>
            <w:tcW w:type="pct" w:w="11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本班全部材料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作文点评助手（内置）</w:t>
            </w:r>
          </w:p>
        </w:tc>
        <w:tc>
          <w:tcPr>
            <w:tcW w:type="pct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作文点评模板</w:t>
            </w:r>
          </w:p>
        </w:tc>
        <w:tc>
          <w:tcPr>
            <w:tcW w:type="pct" w:w="1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作文点评</w:t>
            </w:r>
          </w:p>
        </w:tc>
        <w:tc>
          <w:tcPr>
            <w:tcW w:type="pct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本班全部材料</w:t>
            </w:r>
          </w:p>
        </w:tc>
      </w:tr>
      <w:tr>
        <w:trPr>
          <w:cantSplit/>
        </w:trPr>
        <w:tc>
          <w:tcPr>
            <w:tcW w:type="pct" w:w="13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数学工具助手（教师自建）</w:t>
            </w:r>
          </w:p>
        </w:tc>
        <w:tc>
          <w:tcPr>
            <w:tcW w:type="pct" w:w="11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解题引导模板</w:t>
            </w:r>
          </w:p>
        </w:tc>
        <w:tc>
          <w:tcPr>
            <w:tcW w:type="pct" w:w="15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数学解题引导（含 2 个 MCP 工具）</w:t>
            </w:r>
          </w:p>
        </w:tc>
        <w:tc>
          <w:tcPr>
            <w:tcW w:type="pct" w:w="11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指定材料 1 份（数学自习笔记）</w:t>
            </w:r>
          </w:p>
        </w:tc>
      </w:tr>
    </w:tbl>
    <w:p>
      <w:pPr>
        <w:pStyle w:val="Heading3"/>
        <w:spacing w:after="100" w:before="200" w:line="312"/>
      </w:pPr>
      <w:bookmarkStart w:name="_Toc9" w:id="9"/>
      <w:r>
        <w:rPr>
          <w:rFonts w:ascii="Times New Roman" w:eastAsia="SimHei"/>
          <w:b/>
          <w:bCs/>
          <w:color w:val="0A1628"/>
          <w:sz w:val="24"/>
          <w:szCs w:val="24"/>
        </w:rPr>
        <w:t xml:space="preserve">2.1.2  接口与页面</w:t>
      </w:r>
      <w:bookmarkEnd w:id="9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应用相关接口共 6 个：GET/POST /api/apps、PUT/DELETE /api/apps/{id}（教师写、全班读）、POST /api/apps/{id}/conversations（在应用下新建会话，学生会话记录 app_id 归属）。页面 /apps 以卡片展示本班全部应用，教师可见「新建应用」表单（模板下拉、技能多选、材料范围多选）；学生只见进入入口，无任何管理表单。应用内对话页 /apps/{id} 复用第 5 课的 SSE 流式交互，并在顶部展示该应用的绑定信息，回答带 [编号] 出处标注。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762500" cy="5438775"/>
            <wp:effectExtent t="0" r="0" b="0" l="0"/>
            <wp:docPr id="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43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5A6572"/>
          <w:sz w:val="21"/>
          <w:szCs w:val="21"/>
        </w:rPr>
        <w:t xml:space="preserve">图3  AI 应用页（教师视角：4 个应用 + 新建应用表单）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762500" cy="3133725"/>
            <wp:effectExtent t="0" r="0" b="0" l="0"/>
            <wp:docPr id="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5A6572"/>
          <w:sz w:val="21"/>
          <w:szCs w:val="21"/>
        </w:rPr>
        <w:t xml:space="preserve">图4  AI 应用页（学生视角：只读，无管理入口）</w:t>
      </w:r>
    </w:p>
    <w:p>
      <w:pPr>
        <w:pStyle w:val="Heading3"/>
        <w:spacing w:after="100" w:before="200" w:line="312"/>
      </w:pPr>
      <w:bookmarkStart w:name="_Toc10" w:id="10"/>
      <w:r>
        <w:rPr>
          <w:rFonts w:ascii="Times New Roman" w:eastAsia="SimHei"/>
          <w:b/>
          <w:bCs/>
          <w:color w:val="0A1628"/>
          <w:sz w:val="24"/>
          <w:szCs w:val="24"/>
        </w:rPr>
        <w:t xml:space="preserve">2.1.3  使用步骤演示</w:t>
      </w:r>
      <w:bookmarkEnd w:id="10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第一步，以教师 teacher_a 登录，进入「AI 应用」页，可见 3 个内置应用与 1 个自建的数学工具助手；第二步，点击「资料问答助手」卡片上的「进入应用」（该应用绑定默认教研模板、不绑定技能、知识库为本班全部材料），在应用内点击「＋ 新对话」；第三步，输入问题「单位换算 分数 方程 都是什么」并发送，回答以 SSE 逐段返回并带出处标注（如图 5，命中最相关的数学自习笔记 2 个切片并标注出处）。学生会话的 app_id 持久化保存，再次进入应用可继续历史会话；带 MCP 工具调用的应用会话演示见 2.5.3 节。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762500" cy="3133725"/>
            <wp:effectExtent t="0" r="0" b="0" l="0"/>
            <wp:docPr id="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5A6572"/>
          <w:sz w:val="21"/>
          <w:szCs w:val="21"/>
        </w:rPr>
        <w:t xml:space="preserve">图5  在「资料问答助手」应用内提问（本班全部材料范围，回答带出处）</w:t>
      </w:r>
    </w:p>
    <w:p>
      <w:pPr>
        <w:pStyle w:val="Heading2"/>
        <w:spacing w:after="120" w:before="260" w:line="312"/>
      </w:pPr>
      <w:bookmarkStart w:name="_Toc11" w:id="11"/>
      <w:r>
        <w:rPr>
          <w:rFonts w:ascii="Times New Roman" w:eastAsia="SimHei"/>
          <w:b/>
          <w:bCs/>
          <w:color w:val="0A1628"/>
          <w:sz w:val="28"/>
          <w:szCs w:val="28"/>
        </w:rPr>
        <w:t xml:space="preserve">2.2  功能二：支持提示词模板</w:t>
      </w:r>
      <w:bookmarkEnd w:id="11"/>
    </w:p>
    <w:p>
      <w:pPr>
        <w:pStyle w:val="Heading3"/>
        <w:spacing w:after="100" w:before="200" w:line="312"/>
      </w:pPr>
      <w:bookmarkStart w:name="_Toc12" w:id="12"/>
      <w:r>
        <w:rPr>
          <w:rFonts w:ascii="Times New Roman" w:eastAsia="SimHei"/>
          <w:b/>
          <w:bCs/>
          <w:color w:val="0A1628"/>
          <w:sz w:val="24"/>
          <w:szCs w:val="24"/>
        </w:rPr>
        <w:t xml:space="preserve">2.2.1  设计与渲染规则</w:t>
      </w:r>
      <w:bookmarkEnd w:id="12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数据层新增 prompt_templates 表（class_id、name、content、built_in）。每班预置 3 个内置模板：默认教研模板、解题引导模板、作文点评模板。模板正文支持两个占位符：{{skills}} 表示技能指令块的注入位置，{{knowledge}} 表示编号资料块的注入位置；渲染时先替换占位符，模板未出现的占位块按「技能、资料」顺序追加在末尾，最后拼接固定的引用边界句（仅依据资料作答、[编号] 标注出处）。渲染结果作为对话网关请求的 system 消息——因此模板内容一定会随请求传给 LLM，这一点在第 3 章验证一中以调用日志为证。</w:t>
      </w:r>
    </w:p>
    <w:p>
      <w:pPr>
        <w:pStyle w:val="Heading3"/>
        <w:spacing w:after="100" w:before="200" w:line="312"/>
      </w:pPr>
      <w:bookmarkStart w:name="_Toc13" w:id="13"/>
      <w:r>
        <w:rPr>
          <w:rFonts w:ascii="Times New Roman" w:eastAsia="SimHei"/>
          <w:b/>
          <w:bCs/>
          <w:color w:val="0A1628"/>
          <w:sz w:val="24"/>
          <w:szCs w:val="24"/>
        </w:rPr>
        <w:t xml:space="preserve">2.2.2  接口与页面</w:t>
      </w:r>
      <w:bookmarkEnd w:id="13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接口为 GET/POST /api/templates 与 PUT/DELETE /api/templates/{id}：登录可读，仅教师可写；内置模板可编辑、不可删除；删除自定义模板后，引用它的应用自动回退为班级提示词。/settings 的「提示词模板」页签提供列表、编辑与新建（如图 6），「班级提示词」页签保留第 5 课的班级级提示词，用于无应用归属的旧会话（如图 7）。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762500" cy="3838575"/>
            <wp:effectExtent t="0" r="0" b="0" l="0"/>
            <wp:docPr id="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5A6572"/>
          <w:sz w:val="21"/>
          <w:szCs w:val="21"/>
        </w:rPr>
        <w:t xml:space="preserve">图6  提示词模板页签：3 个内置模板 + 新建表单（占位符说明）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381500" cy="3524250"/>
            <wp:effectExtent t="0" r="0" b="0" l="0"/>
            <wp:docPr id="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5A6572"/>
          <w:sz w:val="21"/>
          <w:szCs w:val="21"/>
        </w:rPr>
        <w:t xml:space="preserve">图7  班级提示词页签（无应用旧会话使用）</w:t>
      </w:r>
    </w:p>
    <w:p>
      <w:pPr>
        <w:pStyle w:val="Heading2"/>
        <w:spacing w:after="120" w:before="260" w:line="312"/>
      </w:pPr>
      <w:bookmarkStart w:name="_Toc14" w:id="14"/>
      <w:r>
        <w:rPr>
          <w:rFonts w:ascii="Times New Roman" w:eastAsia="SimHei"/>
          <w:b/>
          <w:bCs/>
          <w:color w:val="0A1628"/>
          <w:sz w:val="28"/>
          <w:szCs w:val="28"/>
        </w:rPr>
        <w:t xml:space="preserve">2.3  功能三：支持知识库检索</w:t>
      </w:r>
      <w:bookmarkEnd w:id="14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知识库检索沿用第 4 课已验收的能力并做了应用层扩展：教师上传 .txt/.md 材料后自动切分（auto/custom/hierarchy 三种策略）并建立 SQLite FTS5 关键字索引与 Qdrant 向量索引；检索支持 keyword、vector、hybrid 三种模式，混合检索用 RRF（k=60）融合两路结果，向量余弦阈值 0.35；不足 3 字符的短词自动降级为 LIKE 子串匹配。所有检索强制带会话班级条件，回表取正文时再次核对班级与 ready 状态。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本次新增的应用层扩展是「材料范围过滤」：应用若绑定了材料子集，会话检索结果先按子集过滤再取前 4 条，且回表统计知识库总量时也只统计子集范围——数学工具助手绑定了「数学自习笔记」一份材料，因此它的日志显示知识库总量为 2 个切片（1156 字），而全库应用的日志显示 6 个切片（1465 字）。检索本身不变，边界由服务端收窄。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需要注意的一点是：系统每次请求只把检索命中的前 4 条切片传给 LLM，而不是把知识库全部内容传过去；具体的数据对比与日志证据见第 3 章验证二。</w:t>
      </w:r>
    </w:p>
    <w:p>
      <w:pPr>
        <w:pStyle w:val="Heading2"/>
        <w:spacing w:after="120" w:before="260" w:line="312"/>
      </w:pPr>
      <w:bookmarkStart w:name="_Toc15" w:id="15"/>
      <w:r>
        <w:rPr>
          <w:rFonts w:ascii="Times New Roman" w:eastAsia="SimHei"/>
          <w:b/>
          <w:bCs/>
          <w:color w:val="0A1628"/>
          <w:sz w:val="28"/>
          <w:szCs w:val="28"/>
        </w:rPr>
        <w:t xml:space="preserve">2.4  功能四：内置 Skill 技能与上传技能</w:t>
      </w:r>
      <w:bookmarkEnd w:id="15"/>
    </w:p>
    <w:p>
      <w:pPr>
        <w:pStyle w:val="Heading3"/>
        <w:spacing w:after="100" w:before="200" w:line="312"/>
      </w:pPr>
      <w:bookmarkStart w:name="_Toc16" w:id="16"/>
      <w:r>
        <w:rPr>
          <w:rFonts w:ascii="Times New Roman" w:eastAsia="SimHei"/>
          <w:b/>
          <w:bCs/>
          <w:color w:val="0A1628"/>
          <w:sz w:val="24"/>
          <w:szCs w:val="24"/>
        </w:rPr>
        <w:t xml:space="preserve">2.4.1  技能模型与内置技能</w:t>
      </w:r>
      <w:bookmarkEnd w:id="16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技能（Skill）是一段可被选中的完整指令，配合适用条件与工具白名单工作。skills 表扩展了 applicable（适用条件关键词，逗号分隔，留空表示总是生效）、tools（工具白名单，支持内置的 knowledge_search 与 MCP 引用 工具名@服务器名）、source（built_in / uploaded / manual）三个字段。每班预置 3 条内置技能：解题引导（只引导不给答案）、概念讲解（先定义再举例，适用「概念、定义、是什么」等关键词）、作文点评（按选材/结构/语言三条点评，适用「作文、写作」等关键词）。</w:t>
      </w:r>
    </w:p>
    <w:p>
      <w:pPr>
        <w:pStyle w:val="Heading3"/>
        <w:spacing w:after="100" w:before="200" w:line="312"/>
      </w:pPr>
      <w:bookmarkStart w:name="_Toc17" w:id="17"/>
      <w:r>
        <w:rPr>
          <w:rFonts w:ascii="Times New Roman" w:eastAsia="SimHei"/>
          <w:b/>
          <w:bCs/>
          <w:color w:val="0A1628"/>
          <w:sz w:val="24"/>
          <w:szCs w:val="24"/>
        </w:rPr>
        <w:t xml:space="preserve">2.4.2  技能上传：课程技能文件格式</w:t>
      </w:r>
      <w:bookmarkEnd w:id="17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POST /api/skills/upload 接受 multipart 文件（.md/.txt/.json）。.md 文件按课程技能文件格式解析：头部逐行为「键：值」（支持全角冒号），键包括名称（必填）、简介、适用条件、工具、启用（是/否，默认否）；空行之后全部作为指令正文。.json 格式接受 name、description、instructions、applicable、tools、enabled 字段。解析完成后逐条校验工具引用：格式必须为 knowledge_search 或符合规则的 工具名@服务器名（工具名小写字母开头，仅小写字母、数字、下划线；服务器名另允许连字符），且服务器必须本班已登记、已连接、工具在发现缓存内——任一不成立整份拒绝并返回可读原因。上传成功后技能以 source=uploaded 入库，列表页即时可见（如图 9 中的「古诗鉴赏引导」）。</w:t>
      </w:r>
    </w:p>
    <w:p>
      <w:pPr>
        <w:keepNext/>
        <w:spacing w:after="60" w:before="120"/>
        <w:jc w:val="center"/>
      </w:pPr>
      <w:r>
        <w:rPr>
          <w:rFonts w:ascii="Times New Roman" w:eastAsia="SimHei"/>
          <w:b/>
          <w:bCs/>
          <w:color w:val="0A1628"/>
          <w:sz w:val="21"/>
          <w:szCs w:val="21"/>
        </w:rPr>
        <w:t xml:space="preserve">表3  班级 A 的技能清单（演示数据）</w:t>
      </w:r>
    </w:p>
    <w:tbl>
      <w:tblPr>
        <w:tblW w:type="pct" w:w="5000"/>
        <w:tblBorders>
          <w:top w:val="single" w:color="1B6B7A" w:sz="4"/>
          <w:left w:val="none"/>
          <w:bottom w:val="single" w:color="1B6B7A" w:sz="4"/>
          <w:right w:val="none"/>
          <w:insideH w:val="single" w:color="C8DDE2" w:sz="1"/>
          <w:insideV w:val="none"/>
        </w:tblBorders>
      </w:tblPr>
      <w:tblGrid>
        <w:gridCol w:w="1582"/>
        <w:gridCol w:w="1055"/>
        <w:gridCol w:w="2636"/>
        <w:gridCol w:w="2461"/>
        <w:gridCol w:w="1055"/>
      </w:tblGrid>
      <w:tr>
        <w:trPr>
          <w:cantSplit/>
          <w:tblHeader/>
        </w:trPr>
        <w:tc>
          <w:tcPr>
            <w:tcW w:type="pct" w:w="9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技能</w:t>
            </w:r>
          </w:p>
        </w:tc>
        <w:tc>
          <w:tcPr>
            <w:tcW w:type="pct" w:w="6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来源</w:t>
            </w:r>
          </w:p>
        </w:tc>
        <w:tc>
          <w:tcPr>
            <w:tcW w:type="pct" w:w="15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适用条件</w:t>
            </w:r>
          </w:p>
        </w:tc>
        <w:tc>
          <w:tcPr>
            <w:tcW w:type="pct" w:w="14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工具白名单</w:t>
            </w:r>
          </w:p>
        </w:tc>
        <w:tc>
          <w:tcPr>
            <w:tcW w:type="pct" w:w="6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状态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解题引导</w:t>
            </w:r>
          </w:p>
        </w:tc>
        <w:tc>
          <w:tcPr>
            <w:tcW w:type="pct" w:w="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built_in</w:t>
            </w:r>
          </w:p>
        </w:tc>
        <w:tc>
          <w:tcPr>
            <w:tcW w:type="pct" w:w="1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（总是生效）</w:t>
            </w:r>
          </w:p>
        </w:tc>
        <w:tc>
          <w:tcPr>
            <w:tcW w:type="pct" w:w="1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knowledge_search</w:t>
            </w:r>
          </w:p>
        </w:tc>
        <w:tc>
          <w:tcPr>
            <w:tcW w:type="pct" w:w="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已启用</w:t>
            </w:r>
          </w:p>
        </w:tc>
      </w:tr>
      <w:tr>
        <w:trPr>
          <w:cantSplit/>
        </w:trPr>
        <w:tc>
          <w:tcPr>
            <w:tcW w:type="pct" w:w="9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概念讲解</w:t>
            </w:r>
          </w:p>
        </w:tc>
        <w:tc>
          <w:tcPr>
            <w:tcW w:type="pct" w:w="6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built_in</w:t>
            </w:r>
          </w:p>
        </w:tc>
        <w:tc>
          <w:tcPr>
            <w:tcW w:type="pct" w:w="15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概念、定义、什么意思、是什么、解释</w:t>
            </w:r>
          </w:p>
        </w:tc>
        <w:tc>
          <w:tcPr>
            <w:tcW w:type="pct" w:w="14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knowledge_search</w:t>
            </w:r>
          </w:p>
        </w:tc>
        <w:tc>
          <w:tcPr>
            <w:tcW w:type="pct" w:w="6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停用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作文点评</w:t>
            </w:r>
          </w:p>
        </w:tc>
        <w:tc>
          <w:tcPr>
            <w:tcW w:type="pct" w:w="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built_in</w:t>
            </w:r>
          </w:p>
        </w:tc>
        <w:tc>
          <w:tcPr>
            <w:tcW w:type="pct" w:w="1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作文、点评、写作、范文、修改</w:t>
            </w:r>
          </w:p>
        </w:tc>
        <w:tc>
          <w:tcPr>
            <w:tcW w:type="pct" w:w="1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knowledge_search</w:t>
            </w:r>
          </w:p>
        </w:tc>
        <w:tc>
          <w:tcPr>
            <w:tcW w:type="pct" w:w="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停用</w:t>
            </w:r>
          </w:p>
        </w:tc>
      </w:tr>
      <w:tr>
        <w:trPr>
          <w:cantSplit/>
        </w:trPr>
        <w:tc>
          <w:tcPr>
            <w:tcW w:type="pct" w:w="9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数学解题引导</w:t>
            </w:r>
          </w:p>
        </w:tc>
        <w:tc>
          <w:tcPr>
            <w:tcW w:type="pct" w:w="6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manual</w:t>
            </w:r>
          </w:p>
        </w:tc>
        <w:tc>
          <w:tcPr>
            <w:tcW w:type="pct" w:w="15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方程、去括号、通分、分数、换算、单位、面积、周长、公式</w:t>
            </w:r>
          </w:p>
        </w:tc>
        <w:tc>
          <w:tcPr>
            <w:tcW w:type="pct" w:w="14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knowledge_search, formula_hint@campus-tools, unit_convert@campus-tools</w:t>
            </w:r>
          </w:p>
        </w:tc>
        <w:tc>
          <w:tcPr>
            <w:tcW w:type="pct" w:w="6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已启用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古诗鉴赏引导</w:t>
            </w:r>
          </w:p>
        </w:tc>
        <w:tc>
          <w:tcPr>
            <w:tcW w:type="pct" w:w="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uploaded</w:t>
            </w:r>
          </w:p>
        </w:tc>
        <w:tc>
          <w:tcPr>
            <w:tcW w:type="pct" w:w="1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古诗、唐诗、宋词、赏析</w:t>
            </w:r>
          </w:p>
        </w:tc>
        <w:tc>
          <w:tcPr>
            <w:tcW w:type="pct" w:w="1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knowledge_search</w:t>
            </w:r>
          </w:p>
        </w:tc>
        <w:tc>
          <w:tcPr>
            <w:tcW w:type="pct" w:w="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已启用</w:t>
            </w:r>
          </w:p>
        </w:tc>
      </w:tr>
    </w:tbl>
    <w:p>
      <w:pPr>
        <w:keepNext/>
        <w:spacing w:after="40" w:before="120"/>
        <w:jc w:val="center"/>
      </w:pPr>
      <w:r>
        <w:drawing>
          <wp:inline distT="0" distB="0" distL="0" distR="0">
            <wp:extent cx="4762500" cy="3838575"/>
            <wp:effectExtent t="0" r="0" b="0" l="0"/>
            <wp:docPr id="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5A6572"/>
          <w:sz w:val="21"/>
          <w:szCs w:val="21"/>
        </w:rPr>
        <w:t xml:space="preserve">图8  技能页签：技能清单（适用条件/工具白名单/来源）+ 新建 + 上传表单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762500" cy="4876800"/>
            <wp:effectExtent t="0" r="0" b="0" l="0"/>
            <wp:docPr id="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5A6572"/>
          <w:sz w:val="21"/>
          <w:szCs w:val="21"/>
        </w:rPr>
        <w:t xml:space="preserve">图9  上传「古诗鉴赏引导」技能文件后出现在列表（source=uploaded）</w:t>
      </w:r>
    </w:p>
    <w:p>
      <w:pPr>
        <w:pStyle w:val="Heading2"/>
        <w:spacing w:after="120" w:before="260" w:line="312"/>
      </w:pPr>
      <w:bookmarkStart w:name="_Toc18" w:id="18"/>
      <w:r>
        <w:rPr>
          <w:rFonts w:ascii="Times New Roman" w:eastAsia="SimHei"/>
          <w:b/>
          <w:bCs/>
          <w:color w:val="0A1628"/>
          <w:sz w:val="28"/>
          <w:szCs w:val="28"/>
        </w:rPr>
        <w:t xml:space="preserve">2.5  功能五：外部工具及 MCP 接入</w:t>
      </w:r>
      <w:bookmarkEnd w:id="18"/>
    </w:p>
    <w:p>
      <w:pPr>
        <w:pStyle w:val="Heading3"/>
        <w:spacing w:after="100" w:before="200" w:line="312"/>
      </w:pPr>
      <w:bookmarkStart w:name="_Toc19" w:id="19"/>
      <w:r>
        <w:rPr>
          <w:rFonts w:ascii="Times New Roman" w:eastAsia="SimHei"/>
          <w:b/>
          <w:bCs/>
          <w:color w:val="0A1628"/>
          <w:sz w:val="24"/>
          <w:szCs w:val="24"/>
        </w:rPr>
        <w:t xml:space="preserve">2.5.1  自建 MCP 服务器（mcp-server/）</w:t>
      </w:r>
      <w:bookmarkEnd w:id="19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仓库同仓新增 mcp-server/ 目录，用 Python 标准库实现了一个 MCP 工具服务：POST /mcp 提供 JSON-RPC 2.0 报文（initialize 握手、tools/list 发现、tools/call 调用），GET /health 提供健康检查；Bearer 令牌从环境变量 MCP_AUTH_TOKEN 读取，令牌缺失或错误返回 401，非法请求返回可读的 JSON-RPC 错误（-32700/-32601/-32602）。服务由 docker-compose.yml 与主应用一并构建启动，不映射宿主端口，仅 Compose 内部网络可达，主应用通过 http://mcp-server:8090 访问。暴露 3 个工具，见表 4。</w:t>
      </w:r>
    </w:p>
    <w:p>
      <w:pPr>
        <w:keepNext/>
        <w:spacing w:after="60" w:before="120"/>
        <w:jc w:val="center"/>
      </w:pPr>
      <w:r>
        <w:rPr>
          <w:rFonts w:ascii="Times New Roman" w:eastAsia="SimHei"/>
          <w:b/>
          <w:bCs/>
          <w:color w:val="0A1628"/>
          <w:sz w:val="21"/>
          <w:szCs w:val="21"/>
        </w:rPr>
        <w:t xml:space="preserve">表4  campus-tools MCP 服务暴露的工具</w:t>
      </w:r>
    </w:p>
    <w:tbl>
      <w:tblPr>
        <w:tblW w:type="pct" w:w="5000"/>
        <w:tblBorders>
          <w:top w:val="single" w:color="1B6B7A" w:sz="4"/>
          <w:left w:val="none"/>
          <w:bottom w:val="single" w:color="1B6B7A" w:sz="4"/>
          <w:right w:val="none"/>
          <w:insideH w:val="single" w:color="C8DDE2" w:sz="1"/>
          <w:insideV w:val="none"/>
        </w:tblBorders>
      </w:tblPr>
      <w:tblGrid>
        <w:gridCol w:w="1758"/>
        <w:gridCol w:w="4921"/>
        <w:gridCol w:w="2109"/>
      </w:tblGrid>
      <w:tr>
        <w:trPr>
          <w:cantSplit/>
          <w:tblHeader/>
        </w:trPr>
        <w:tc>
          <w:tcPr>
            <w:tcW w:type="pct" w:w="10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工具</w:t>
            </w:r>
          </w:p>
        </w:tc>
        <w:tc>
          <w:tcPr>
            <w:tcW w:type="pct" w:w="28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功能</w:t>
            </w:r>
          </w:p>
        </w:tc>
        <w:tc>
          <w:tcPr>
            <w:tcW w:type="pct" w:w="12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pct" w:w="1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formula_hint</w:t>
            </w:r>
          </w:p>
        </w:tc>
        <w:tc>
          <w:tcPr>
            <w:tcW w:type="pct" w:w="2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按关键词（去括号/通分/方程/面积/勾股等）给出公式与步骤提示，不给最终数值答案</w:t>
            </w:r>
          </w:p>
        </w:tc>
        <w:tc>
          <w:tcPr>
            <w:tcW w:type="pct" w:w="1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query（提问原文）</w:t>
            </w:r>
          </w:p>
        </w:tc>
      </w:tr>
      <w:tr>
        <w:trPr>
          <w:cantSplit/>
        </w:trPr>
        <w:tc>
          <w:tcPr>
            <w:tcW w:type="pct" w:w="10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unit_convert</w:t>
            </w:r>
          </w:p>
        </w:tc>
        <w:tc>
          <w:tcPr>
            <w:tcW w:type="pct" w:w="28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长度/质量/时间单位换算，可从自然语言问句解析数值与单位（如「把 5 米换成厘米」）</w:t>
            </w:r>
          </w:p>
        </w:tc>
        <w:tc>
          <w:tcPr>
            <w:tcW w:type="pct" w:w="12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query（提问原文，可附 value/from/to）</w:t>
            </w:r>
          </w:p>
        </w:tc>
      </w:tr>
      <w:tr>
        <w:trPr>
          <w:cantSplit/>
        </w:trPr>
        <w:tc>
          <w:tcPr>
            <w:tcW w:type="pct" w:w="1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concept_lookup</w:t>
            </w:r>
          </w:p>
        </w:tc>
        <w:tc>
          <w:tcPr>
            <w:tcW w:type="pct" w:w="2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小学数学概念速查（分数/方程/面积/周长/质数等），返回简明定义</w:t>
            </w:r>
          </w:p>
        </w:tc>
        <w:tc>
          <w:tcPr>
            <w:tcW w:type="pct" w:w="1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query（概念或提问原文）</w:t>
            </w:r>
          </w:p>
        </w:tc>
      </w:tr>
    </w:tbl>
    <w:p>
      <w:pPr>
        <w:pStyle w:val="Heading3"/>
        <w:spacing w:after="100" w:before="200" w:line="312"/>
      </w:pPr>
      <w:bookmarkStart w:name="_Toc20" w:id="20"/>
      <w:r>
        <w:rPr>
          <w:rFonts w:ascii="Times New Roman" w:eastAsia="SimHei"/>
          <w:b/>
          <w:bCs/>
          <w:color w:val="0A1628"/>
          <w:sz w:val="24"/>
          <w:szCs w:val="24"/>
        </w:rPr>
        <w:t xml:space="preserve">2.5.2  主机侧：登记、连接与发现</w:t>
      </w:r>
      <w:bookmarkEnd w:id="20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主应用新增三张表：mcp_servers（本班登记的服务器，令牌只存服务端）、mcp_tools（连接时发现的工具缓存，每次连接覆盖写入）、mcp_tool_calls（调用审计，只增不改）。教师通过 /settings 的「MCP 服务器」页签登记服务器（名称、Base URL、Bearer 令牌，令牌输入框为密码型，提交后清空不回显），再点「连接并发现」：服务端先 initialize 握手、再 tools/list 取回工具清单，覆盖写入缓存并标记已连接；任一步失败返回 502、状态置回未连接且不写缓存。「断开」清空缓存；「删除」级联清空缓存并保留审计证据。接口响应只含 has_auth 布尔，任何响应都不回传令牌原文。8 个管理接口全部挂在「登录 + 仅教师」之后，学生访问返回 403，他班服务器按编号访问与不存在一致返回 404。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762500" cy="3838575"/>
            <wp:effectExtent t="0" r="0" b="0" l="0"/>
            <wp:docPr id="1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5A6572"/>
          <w:sz w:val="21"/>
          <w:szCs w:val="21"/>
        </w:rPr>
        <w:t xml:space="preserve">图10  MCP 服务器页签：campus-tools 已连接（3 个工具）+ 调用审计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762500" cy="4533900"/>
            <wp:effectExtent t="0" r="0" b="0" l="0"/>
            <wp:docPr id="1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5A6572"/>
          <w:sz w:val="21"/>
          <w:szCs w:val="21"/>
        </w:rPr>
        <w:t xml:space="preserve">图11  Swagger 页的 MCP 接口分组（8 个管理接口可试调）</w:t>
      </w:r>
    </w:p>
    <w:p>
      <w:pPr>
        <w:pStyle w:val="Heading3"/>
        <w:spacing w:after="100" w:before="200" w:line="312"/>
      </w:pPr>
      <w:bookmarkStart w:name="_Toc21" w:id="21"/>
      <w:r>
        <w:rPr>
          <w:rFonts w:ascii="Times New Roman" w:eastAsia="SimHei"/>
          <w:b/>
          <w:bCs/>
          <w:color w:val="0A1628"/>
          <w:sz w:val="24"/>
          <w:szCs w:val="24"/>
        </w:rPr>
        <w:t xml:space="preserve">2.5.3  技能绑定与对话中的调用</w:t>
      </w:r>
      <w:bookmarkEnd w:id="21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技能的「工具」栏写入 MCP 引用（如 formula_hint@campus-tools）即完成绑定；保存（新建、修改、上传）时做四道校验：引用格式、服务器存在、已连接、工具在发现清单内，任一不过整份拒绝。学生提问命中带 MCP 工具的技能时，服务端按技能白名单逐个调用（跳过 knowledge_search）：调用参数只含提问原文 query，不由模型生成；返回先过安全校验（命中「忽略前述」等指令式句式或超 1200 字整条丢弃），再以 [工具 xxx@yyy 返回的数据] 前缀作为数据拼进用户消息，不进入 system 消息。SSE 流先推 meta 事件（含 tool_calls 清单与状态）再推回答片段，前端在回答开始前就显示「用了哪个工具」。对话页的绿色工具标签（图 12）即来自 meta 事件。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762500" cy="3133725"/>
            <wp:effectExtent t="0" r="0" b="0" l="0"/>
            <wp:docPr id="1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5A6572"/>
          <w:sz w:val="21"/>
          <w:szCs w:val="21"/>
        </w:rPr>
        <w:t xml:space="preserve">图12  数学工具助手内提问：formula_hint 与 unit_convert 两个 MCP 工具被调用（ok），回答带出处</w:t>
      </w:r>
    </w:p>
    <w:p>
      <w:pPr>
        <w:pStyle w:val="Heading3"/>
        <w:spacing w:after="100" w:before="200" w:line="312"/>
      </w:pPr>
      <w:bookmarkStart w:name="_Toc22" w:id="22"/>
      <w:r>
        <w:rPr>
          <w:rFonts w:ascii="Times New Roman" w:eastAsia="SimHei"/>
          <w:b/>
          <w:bCs/>
          <w:color w:val="0A1628"/>
          <w:sz w:val="24"/>
          <w:szCs w:val="24"/>
        </w:rPr>
        <w:t xml:space="preserve">2.5.4  断开后的行为</w:t>
      </w:r>
      <w:bookmarkEnd w:id="22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断开不是静默失效。服务器断开后，工具缓存清空，下一次提问命中该技能时调用被记为 denied（响应的 tool_calls 与审计表都可见），回答主路径照常进行——工具是增益而非主路径。图 13、图 16 与图 17 展示了完整过程：断开后服务器显示未连接、工具 0 个（图 13）；提问时两个工具标签均显示 denied、回答照常返回（图 16）；审计表新增两条「服务器未连接」的 denied 记录（图 17）；重新连接后恢复正常。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381500" cy="2247900"/>
            <wp:effectExtent t="0" r="0" b="0" l="0"/>
            <wp:docPr id="1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5A6572"/>
          <w:sz w:val="21"/>
          <w:szCs w:val="21"/>
        </w:rPr>
        <w:t xml:space="preserve">图13  断开 campus-tools：状态未连接、工具缓存清空</w:t>
      </w:r>
    </w:p>
    <w:p>
      <w:pPr>
        <w:pStyle w:val="Heading1"/>
        <w:spacing w:after="160" w:before="360" w:line="312"/>
      </w:pPr>
      <w:bookmarkStart w:name="_Toc23" w:id="23"/>
      <w:r>
        <w:rPr>
          <w:rFonts w:ascii="Times New Roman" w:eastAsia="SimHei"/>
          <w:b/>
          <w:bCs/>
          <w:color w:val="0A1628"/>
          <w:sz w:val="32"/>
          <w:szCs w:val="32"/>
        </w:rPr>
        <w:t xml:space="preserve">3  验证内容：五项逐项验证</w:t>
      </w:r>
      <w:bookmarkEnd w:id="23"/>
    </w:p>
    <w:p>
      <w:pPr>
        <w:spacing w:after="10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本章针对作业要求的五个验证项逐项给出结论、验证方法与证据。所有证据来自运行中的系统：调用日志（/settings 的「LLM 调用日志」页签，数据表 llm_call_logs）完整记录了每次发给对话网关的请求 JSON 与返回内容，是各项验证的直接取证依据。</w:t>
      </w:r>
    </w:p>
    <w:p>
      <w:pPr>
        <w:pStyle w:val="Heading2"/>
        <w:spacing w:after="120" w:before="260" w:line="312"/>
      </w:pPr>
      <w:bookmarkStart w:name="_Toc24" w:id="24"/>
      <w:r>
        <w:rPr>
          <w:rFonts w:ascii="Times New Roman" w:eastAsia="SimHei"/>
          <w:b/>
          <w:bCs/>
          <w:color w:val="0A1628"/>
          <w:sz w:val="28"/>
          <w:szCs w:val="28"/>
        </w:rPr>
        <w:t xml:space="preserve">3.1  验证一：每次对话传给 LLM 的具体参数与返回内容；提示词模板是否一并传递</w:t>
      </w:r>
      <w:bookmarkEnd w:id="24"/>
    </w:p>
    <w:p>
      <w:pPr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结论：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每次对话传给 LLM 接口的是一个 OpenAI 兼容的 /chat/completions 请求体，包含 model、messages（system 一条 + 历史若干 + user 一条）与 stream 字段；返回内容为 choices[0].message.content。提示词模板内容会一并传递——应用绑定的模板渲染后作为 system 消息的第一部分发给 LLM。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验证方法：教师在「数学工具助手」应用内新建会话并提问「去括号法则是什么」，随后打开 /settings 的「LLM 调用日志」页签查看本次调用的详情。日志完整保存了发出的请求 JSON 与返回文本（图 14 上半部分为请求参数，下半部分为返回内容）。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953000" cy="5076825"/>
            <wp:effectExtent t="0" r="0" b="0" l="0"/>
            <wp:docPr id="1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507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5A6572"/>
          <w:sz w:val="21"/>
          <w:szCs w:val="21"/>
        </w:rPr>
        <w:t xml:space="preserve">图14  调用日志详情：发给 LLM 的完整请求参数与返回内容（含模板、技能、资料、工具数据块）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本次请求的实际参数摘要如下（摘自调用日志 #2，request_json 字段原文节选）：</w:t>
      </w:r>
    </w:p>
    <w:p>
      <w:pPr>
        <w:shd w:fill="F5F3EE" w:val="clear"/>
        <w:spacing w:after="0" w:before="8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{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  "model": "stub-chat",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  "messages": [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    { "role": "system", "content": "你是本班的解题引导老师，语气温和有耐心。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        要求：一次只指出下一步该检查什么，不代替学生完成整道题。   ← 应用绑定的「解题引导模板」正文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        技能「数学解题引导」：你是数学解题引导助手。规则：1) 先判断题目考查的知识点…… ← 选中技能的完整指令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        [1] 材料《A 班·数学自习笔记》第 0 节：……                            ← 检索命中的编号资料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    { "role": "user", "content": "去括号法则是什么" },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  ],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  "stream": false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}</w:t>
      </w:r>
    </w:p>
    <w:p>
      <w:pPr>
        <w:shd w:fill="F5F3EE" w:val="clear"/>
        <w:spacing w:after="12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返回：choices[0].message.content = 「括号前面是减号时，去掉括号和括号前的减号，括号里每一项都要变号。[1]」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日志同时记录了模板名（解题引导模板）、注入技能（数学解题引导）与知识库统计，与页面配置完全一致。对无应用归属的旧会话，模板位置由班级提示词充当，模板名记录为「班级提示词」，行为向后兼容（日志 #3）。</w:t>
      </w:r>
    </w:p>
    <w:p>
      <w:pPr>
        <w:pStyle w:val="Heading2"/>
        <w:spacing w:after="120" w:before="260" w:line="312"/>
      </w:pPr>
      <w:bookmarkStart w:name="_Toc25" w:id="25"/>
      <w:r>
        <w:rPr>
          <w:rFonts w:ascii="Times New Roman" w:eastAsia="SimHei"/>
          <w:b/>
          <w:bCs/>
          <w:color w:val="0A1628"/>
          <w:sz w:val="28"/>
          <w:szCs w:val="28"/>
        </w:rPr>
        <w:t xml:space="preserve">3.2  验证二：绑定知识库后，是否把知识库全部内容传给 LLM</w:t>
      </w:r>
      <w:bookmarkEnd w:id="25"/>
    </w:p>
    <w:p>
      <w:pPr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结论：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不会。每次请求只把混合检索命中的前 4 条切片（编号资料）传给 LLM，知识库其余内容不传递。调用日志为每次请求记录了四个数：知识库切片总量与字符总量（kb_total_chunks / kb_total_chars），以及实际传入的切片数与字符数（kb_passed_chunks / kb_passed_chars），对比一目了然。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验证方法：班级 A 的知识库共有 6 个 ready 切片、1465 字（含 4 份材料）。分别在三种范围下提问并查看调用日志，得到表 5 的对比数据。</w:t>
      </w:r>
    </w:p>
    <w:p>
      <w:pPr>
        <w:keepNext/>
        <w:spacing w:after="60" w:before="120"/>
        <w:jc w:val="center"/>
      </w:pPr>
      <w:r>
        <w:rPr>
          <w:rFonts w:ascii="Times New Roman" w:eastAsia="SimHei"/>
          <w:b/>
          <w:bCs/>
          <w:color w:val="0A1628"/>
          <w:sz w:val="21"/>
          <w:szCs w:val="21"/>
        </w:rPr>
        <w:t xml:space="preserve">表5  同一班级三种知识库范围下「全库内容 vs 实际传入」的日志数据</w:t>
      </w:r>
    </w:p>
    <w:tbl>
      <w:tblPr>
        <w:tblW w:type="pct" w:w="5000"/>
        <w:tblBorders>
          <w:top w:val="single" w:color="1B6B7A" w:sz="4"/>
          <w:left w:val="none"/>
          <w:bottom w:val="single" w:color="1B6B7A" w:sz="4"/>
          <w:right w:val="none"/>
          <w:insideH w:val="single" w:color="C8DDE2" w:sz="1"/>
          <w:insideV w:val="none"/>
        </w:tblBorders>
      </w:tblPr>
      <w:tblGrid>
        <w:gridCol w:w="3515"/>
        <w:gridCol w:w="1758"/>
        <w:gridCol w:w="1758"/>
        <w:gridCol w:w="1758"/>
      </w:tblGrid>
      <w:tr>
        <w:trPr>
          <w:cantSplit/>
          <w:tblHeader/>
        </w:trPr>
        <w:tc>
          <w:tcPr>
            <w:tcW w:type="pct" w:w="20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提问场景</w:t>
            </w:r>
          </w:p>
        </w:tc>
        <w:tc>
          <w:tcPr>
            <w:tcW w:type="pct" w:w="10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知识库总量</w:t>
            </w:r>
          </w:p>
        </w:tc>
        <w:tc>
          <w:tcPr>
            <w:tcW w:type="pct" w:w="10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实际传入</w:t>
            </w:r>
          </w:p>
        </w:tc>
        <w:tc>
          <w:tcPr>
            <w:tcW w:type="pct" w:w="10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旧会话（班级提示词），问「生字词 课文导读」</w:t>
            </w:r>
          </w:p>
        </w:tc>
        <w:tc>
          <w:tcPr>
            <w:tcW w:type="pct" w:w="1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6 切片 / 1465 字</w:t>
            </w:r>
          </w:p>
        </w:tc>
        <w:tc>
          <w:tcPr>
            <w:tcW w:type="pct" w:w="1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 切片 / 19 字</w:t>
            </w:r>
          </w:p>
        </w:tc>
        <w:tc>
          <w:tcPr>
            <w:tcW w:type="pct" w:w="1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仅命中语文讲义 1 个切片</w:t>
            </w:r>
          </w:p>
        </w:tc>
      </w:tr>
      <w:tr>
        <w:trPr>
          <w:cantSplit/>
        </w:trPr>
        <w:tc>
          <w:tcPr>
            <w:tcW w:type="pct" w:w="20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资料问答助手（本班全部材料），问「单位换算 分数 方程」</w:t>
            </w:r>
          </w:p>
        </w:tc>
        <w:tc>
          <w:tcPr>
            <w:tcW w:type="pct" w:w="10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6 切片 / 1465 字</w:t>
            </w:r>
          </w:p>
        </w:tc>
        <w:tc>
          <w:tcPr>
            <w:tcW w:type="pct" w:w="10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 切片 / 1156 字</w:t>
            </w:r>
          </w:p>
        </w:tc>
        <w:tc>
          <w:tcPr>
            <w:tcW w:type="pct" w:w="10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命中数学笔记 2 个切片，其余 4 个不传</w:t>
            </w:r>
          </w:p>
        </w:tc>
      </w:tr>
      <w:tr>
        <w:trPr>
          <w:cantSplit/>
        </w:trPr>
        <w:tc>
          <w:tcPr>
            <w:tcW w:type="pct" w:w="2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数学工具助手（限定数学笔记），问「去括号法则」</w:t>
            </w:r>
          </w:p>
        </w:tc>
        <w:tc>
          <w:tcPr>
            <w:tcW w:type="pct" w:w="1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 切片 / 1156 字</w:t>
            </w:r>
          </w:p>
        </w:tc>
        <w:tc>
          <w:tcPr>
            <w:tcW w:type="pct" w:w="1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 切片 / 754 字</w:t>
            </w:r>
          </w:p>
        </w:tc>
        <w:tc>
          <w:tcPr>
            <w:tcW w:type="pct" w:w="1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应用材料子集进一步收窄边界</w:t>
            </w:r>
          </w:p>
        </w:tc>
      </w:tr>
    </w:tbl>
    <w:p>
      <w:pPr>
        <w:keepNext/>
        <w:spacing w:after="40" w:before="120"/>
        <w:jc w:val="center"/>
      </w:pPr>
      <w:r>
        <w:drawing>
          <wp:inline distT="0" distB="0" distL="0" distR="0">
            <wp:extent cx="4953000" cy="4419600"/>
            <wp:effectExtent t="0" r="0" b="0" l="0"/>
            <wp:docPr id="1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41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5A6572"/>
          <w:sz w:val="21"/>
          <w:szCs w:val="21"/>
        </w:rPr>
        <w:t xml:space="preserve">图15  全库应用（资料问答助手）的日志详情：传入 2/6 切片、1156/1465 字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日志列表页的每一行都直接展示「传入/总量」，例如「2/6 切片 · 1156/1465 字」（图 19）。即使检索满额命中 4 条，也只是 6 条中的 4 条；切片内容始终按相关度筛选，而非全量粘贴。</w:t>
      </w:r>
    </w:p>
    <w:p>
      <w:pPr>
        <w:pStyle w:val="Heading2"/>
        <w:spacing w:after="120" w:before="260" w:line="312"/>
      </w:pPr>
      <w:bookmarkStart w:name="_Toc26" w:id="26"/>
      <w:r>
        <w:rPr>
          <w:rFonts w:ascii="Times New Roman" w:eastAsia="SimHei"/>
          <w:b/>
          <w:bCs/>
          <w:color w:val="0A1628"/>
          <w:sz w:val="28"/>
          <w:szCs w:val="28"/>
        </w:rPr>
        <w:t xml:space="preserve">3.3  验证三：绑定技能后，请求中是否包含该技能的全部内容</w:t>
      </w:r>
      <w:bookmarkEnd w:id="26"/>
    </w:p>
    <w:p>
      <w:pPr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结论：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是。被选中技能的 instructions（完整指令正文）会一字不少地注入 system 消息。日志的 skill_names 字段记录本轮注入了哪些技能，request_json 的 system 消息里可以逐字找到技能全文。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对照方法分两步。第一步，在 /settings 的技能页签查看「数学解题引导」的指令全文（共 4 条规则：先判断知识点、只指出下一步、单位换算给过程、引用材料标出处）；第二步，打开同一次提问的调用日志详情，system 消息中「技能「数学解题引导」：」之后的内容与技能页全文逐字一致（见 3.1 节代码摘录第三行）。日志详情页头部同时展示「注入技能：数学解题引导」，与该次请求实际注入的技能一一对应。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补充两点边界行为：其一，技能按适用条件筛选——「作文点评」技能的适用条件是「作文、点评、写作」等关键词，提问不含这些词时该技能不会被选中、其指令也不注入（单元测试 test_applicable_keyword_gates_skill 覆盖了正反两个方向）；其二，应用只绑定已启用的技能，停用的技能不参与编排。</w:t>
      </w:r>
    </w:p>
    <w:p>
      <w:pPr>
        <w:pStyle w:val="Heading2"/>
        <w:spacing w:after="120" w:before="260" w:line="312"/>
      </w:pPr>
      <w:bookmarkStart w:name="_Toc27" w:id="27"/>
      <w:r>
        <w:rPr>
          <w:rFonts w:ascii="Times New Roman" w:eastAsia="SimHei"/>
          <w:b/>
          <w:bCs/>
          <w:color w:val="0A1628"/>
          <w:sz w:val="28"/>
          <w:szCs w:val="28"/>
        </w:rPr>
        <w:t xml:space="preserve">3.4  验证四：执行具体技能 Skill 时的执行逻辑</w:t>
      </w:r>
      <w:bookmarkEnd w:id="27"/>
    </w:p>
    <w:p>
      <w:pPr>
        <w:spacing w:after="4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技能的执行分「内容型」与「工具型」两类，统一走「先检索、再调工具、后生成」的确定性编排，调用时机与参数由服务端代码决定，不由模型临场决定。完整步骤如下。</w:t>
      </w:r>
    </w:p>
    <w:p>
      <w:pPr>
        <w:keepNext/>
        <w:spacing w:after="60" w:before="120"/>
        <w:jc w:val="center"/>
      </w:pPr>
      <w:r>
        <w:rPr>
          <w:rFonts w:ascii="Times New Roman" w:eastAsia="SimHei"/>
          <w:b/>
          <w:bCs/>
          <w:color w:val="0A1628"/>
          <w:sz w:val="21"/>
          <w:szCs w:val="21"/>
        </w:rPr>
        <w:t xml:space="preserve">表6  一次会话提问的技能执行流程</w:t>
      </w:r>
    </w:p>
    <w:tbl>
      <w:tblPr>
        <w:tblW w:type="pct" w:w="5000"/>
        <w:tblBorders>
          <w:top w:val="single" w:color="1B6B7A" w:sz="4"/>
          <w:left w:val="none"/>
          <w:bottom w:val="single" w:color="1B6B7A" w:sz="4"/>
          <w:right w:val="none"/>
          <w:insideH w:val="single" w:color="C8DDE2" w:sz="1"/>
          <w:insideV w:val="none"/>
        </w:tblBorders>
      </w:tblPr>
      <w:tblGrid>
        <w:gridCol w:w="1406"/>
        <w:gridCol w:w="2988"/>
        <w:gridCol w:w="4394"/>
      </w:tblGrid>
      <w:tr>
        <w:trPr>
          <w:cantSplit/>
          <w:tblHeader/>
        </w:trPr>
        <w:tc>
          <w:tcPr>
            <w:tcW w:type="pct" w:w="8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步骤</w:t>
            </w:r>
          </w:p>
        </w:tc>
        <w:tc>
          <w:tcPr>
            <w:tcW w:type="pct" w:w="17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动作</w:t>
            </w:r>
          </w:p>
        </w:tc>
        <w:tc>
          <w:tcPr>
            <w:tcW w:type="pct" w:w="25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 会话归属</w:t>
            </w:r>
          </w:p>
        </w:tc>
        <w:tc>
          <w:tcPr>
            <w:tcW w:type="pct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取会话所属应用的绑定</w:t>
            </w:r>
          </w:p>
        </w:tc>
        <w:tc>
          <w:tcPr>
            <w:tcW w:type="pct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模板、技能清单、材料范围；旧会话回退为班级提示词 + 全部启用技能</w:t>
            </w:r>
          </w:p>
        </w:tc>
      </w:tr>
      <w:tr>
        <w:trPr>
          <w:cantSplit/>
        </w:trPr>
        <w:tc>
          <w:tcPr>
            <w:tcW w:type="pct" w:w="8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 选技能</w:t>
            </w:r>
          </w:p>
        </w:tc>
        <w:tc>
          <w:tcPr>
            <w:tcW w:type="pct" w:w="17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按适用条件筛选</w:t>
            </w:r>
          </w:p>
        </w:tc>
        <w:tc>
          <w:tcPr>
            <w:tcW w:type="pct" w:w="25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applicable 为空则总是选中；有关键词则提问命中任一关键词才选中</w:t>
            </w:r>
          </w:p>
        </w:tc>
      </w:tr>
      <w:tr>
        <w:trPr>
          <w:cantSplit/>
        </w:trPr>
        <w:tc>
          <w:tcPr>
            <w:tcW w:type="pct" w:w="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3 检索</w:t>
            </w:r>
          </w:p>
        </w:tc>
        <w:tc>
          <w:tcPr>
            <w:tcW w:type="pct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本班（或应用子集）混合检索取前 4 条</w:t>
            </w:r>
          </w:p>
        </w:tc>
        <w:tc>
          <w:tcPr>
            <w:tcW w:type="pct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向量路径不可用时关键字兜底；无命中直接返回固定文案，不调模型也不调工具</w:t>
            </w:r>
          </w:p>
        </w:tc>
      </w:tr>
      <w:tr>
        <w:trPr>
          <w:cantSplit/>
        </w:trPr>
        <w:tc>
          <w:tcPr>
            <w:tcW w:type="pct" w:w="8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 调工具</w:t>
            </w:r>
          </w:p>
        </w:tc>
        <w:tc>
          <w:tcPr>
            <w:tcW w:type="pct" w:w="17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按选中技能的工具白名单逐个调用</w:t>
            </w:r>
          </w:p>
        </w:tc>
        <w:tc>
          <w:tcPr>
            <w:tcW w:type="pct" w:w="25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跳过 knowledge_search；参数只含提问原文；未连接记 denied 并写审计，服务器不存在记响应 denied 但无审计行</w:t>
            </w:r>
          </w:p>
        </w:tc>
      </w:tr>
      <w:tr>
        <w:trPr>
          <w:cantSplit/>
        </w:trPr>
        <w:tc>
          <w:tcPr>
            <w:tcW w:type="pct" w:w="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5 安全校验</w:t>
            </w:r>
          </w:p>
        </w:tc>
        <w:tc>
          <w:tcPr>
            <w:tcW w:type="pct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工具返回过句式与长度校验</w:t>
            </w:r>
          </w:p>
        </w:tc>
        <w:tc>
          <w:tcPr>
            <w:tcW w:type="pct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命中「忽略前述」等指令式句式或超 1200 字，整条丢弃</w:t>
            </w:r>
          </w:p>
        </w:tc>
      </w:tr>
      <w:tr>
        <w:trPr>
          <w:cantSplit/>
        </w:trPr>
        <w:tc>
          <w:tcPr>
            <w:tcW w:type="pct" w:w="8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6 组装</w:t>
            </w:r>
          </w:p>
        </w:tc>
        <w:tc>
          <w:tcPr>
            <w:tcW w:type="pct" w:w="17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渲染模板 + 技能全文注入 system；工具返回作数据拼进 user 消息</w:t>
            </w:r>
          </w:p>
        </w:tc>
        <w:tc>
          <w:tcPr>
            <w:tcW w:type="pct" w:w="25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外部内容一律不进 system，位置边界防注入</w:t>
            </w:r>
          </w:p>
        </w:tc>
      </w:tr>
      <w:tr>
        <w:trPr>
          <w:cantSplit/>
        </w:trPr>
        <w:tc>
          <w:tcPr>
            <w:tcW w:type="pct" w:w="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7 生成</w:t>
            </w:r>
          </w:p>
        </w:tc>
        <w:tc>
          <w:tcPr>
            <w:tcW w:type="pct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调用对话网关，写一条 LLM 调用日志</w:t>
            </w:r>
          </w:p>
        </w:tc>
        <w:tc>
          <w:tcPr>
            <w:tcW w:type="pct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完整请求与返回留痕（见 3.1 节）</w:t>
            </w:r>
          </w:p>
        </w:tc>
      </w:tr>
      <w:tr>
        <w:trPr>
          <w:cantSplit/>
        </w:trPr>
        <w:tc>
          <w:tcPr>
            <w:tcW w:type="pct" w:w="8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8 流式返回</w:t>
            </w:r>
          </w:p>
        </w:tc>
        <w:tc>
          <w:tcPr>
            <w:tcW w:type="pct" w:w="17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SSE：meta（tool_calls）→ delta 若干 → citations → done</w:t>
            </w:r>
          </w:p>
        </w:tc>
        <w:tc>
          <w:tcPr>
            <w:tcW w:type="pct" w:w="25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前端先显示工具标签再流式渲染回答；工具失败不中断主路径</w:t>
            </w:r>
          </w:p>
        </w:tc>
      </w:tr>
    </w:tbl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内容型技能（如解题引导、作文点评）的执行效果就是第 6 步：指令全文进入 system，模型按指令约束回答方式（解题引导只给思路不给答案）。工具型技能（如数学解题引导）在第 4 步多了真实的外部调用：图 12 中提问「去括号法则是什么」触发了 formula_hint 与 unit_convert 两个 MCP 工具调用（均 ok），formula_hint 返回的去括号法则提示作为数据出现在 user 消息里（见 3.5 节摘录），模型最终回答引用了资料 [1]。断开服务器后同一技能再提问，两个工具标签变为 denied、回答照常返回（图 16），审计表新增 denied 记录（图 17）——调用失败是局部失败，不影响检索与流式回答主路径。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762500" cy="2162175"/>
            <wp:effectExtent t="0" r="0" b="0" l="0"/>
            <wp:docPr id="1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5A6572"/>
          <w:sz w:val="21"/>
          <w:szCs w:val="21"/>
        </w:rPr>
        <w:t xml:space="preserve">图16  断开 MCP 后同一技能提问：tool_calls 记为 denied，回答主路径不受影响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762500" cy="2857500"/>
            <wp:effectExtent t="0" r="0" b="0" l="0"/>
            <wp:docPr id="1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5A6572"/>
          <w:sz w:val="21"/>
          <w:szCs w:val="21"/>
        </w:rPr>
        <w:t xml:space="preserve">图17  审计表：新增两条 denied 记录（服务器未连接），历史 ok 记录保留</w:t>
      </w:r>
    </w:p>
    <w:p>
      <w:pPr>
        <w:pStyle w:val="Heading2"/>
        <w:spacing w:after="120" w:before="260" w:line="312"/>
      </w:pPr>
      <w:bookmarkStart w:name="_Toc28" w:id="28"/>
      <w:r>
        <w:rPr>
          <w:rFonts w:ascii="Times New Roman" w:eastAsia="SimHei"/>
          <w:b/>
          <w:bCs/>
          <w:color w:val="0A1628"/>
          <w:sz w:val="28"/>
          <w:szCs w:val="28"/>
        </w:rPr>
        <w:t xml:space="preserve">3.5  验证五：集成 MCP 工具后，每次请求传给 LLM 的具体参数</w:t>
      </w:r>
      <w:bookmarkEnd w:id="28"/>
    </w:p>
    <w:p>
      <w:pPr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结论：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MCP 集成不改变请求结构（仍是 model + messages + stream），改变的是 user 消息的内容：通过安全校验的工具返回以 [工具 工具名@服务器名 返回的数据] 为前缀拼进用户消息；system 消息中不出现任何工具返回。调用清单（引用与状态）另行记录在日志的 tool_calls 字段与 SSE 的 meta 事件中。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以下是 3.1 节同一次请求（日志 #2）user 消息的完整原文，可以清楚看到提问原文与两个工具返回数据块的拼接方式：</w:t>
      </w:r>
    </w:p>
    <w:p>
      <w:pPr>
        <w:shd w:fill="F5F3EE" w:val="clear"/>
        <w:spacing w:after="0" w:before="8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"role": "user",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"content": "去括号法则是什么"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 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[工具 formula_hint@campus-tools 返回的数据]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根据你的问题，给一条相关公式/法则提示（不给最终答案）：去括号时：括号前的系数要乘到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括号内每一项，符号不要漏变；括号前是减号时，去掉括号后里面每一项都要变号。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 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[工具 unit_convert@campus-tools 返回的数据]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单位换算工具：请提供数值与两个单位（如「把 5 米换成厘米」）。支持长度（km/m/dm/cm/mm）、</w:t>
      </w:r>
    </w:p>
    <w:p>
      <w:pPr>
        <w:shd w:fill="F5F3EE" w:val="clear"/>
        <w:spacing w:after="12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质量（t/kg/g）、时间（h/min/s）。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工具调用的另一侧报文同样留了证据。在 app 容器内直连 mcp-server 抓取的原始 JSON-RPC 交互如下（完整文件见仓库 docs/report/evidence/mcp-jsonrpc.txt）：主机侧每次 tools/call 的 params 只含工具名与 arguments.query（提问原文），响应的 result.content 为文本数组。</w:t>
      </w:r>
    </w:p>
    <w:p>
      <w:pPr>
        <w:shd w:fill="F5F3EE" w:val="clear"/>
        <w:spacing w:after="0" w:before="8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请求: {"jsonrpc":"2.0","id":1,"method":"tools/call",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       "params":{"name":"formula_hint","arguments":{"query":"去括号这一步我不会"}}}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响应(HTTP 200): {"jsonrpc":"2.0","id":1,"result":{"content":[{"type":"text",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  "text":"根据你的问题，给一条相关公式/法则提示（不给最终答案）：去括号时：括号前的系数要乘到括号内每一项……"}],"isError":false}}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 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请求(自然语言取参): {"name":"unit_convert","arguments":{"query":"把 5 米换成厘米"}}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响应(HTTP 200): {"result":{"content":[{"type":"text","text":"换算过程：5.0 米 = 5.0 × 1 ÷ 0.01 = 500 厘米。"}],"isError":false}}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 </w:t>
      </w:r>
    </w:p>
    <w:p>
      <w:pPr>
        <w:shd w:fill="F5F3EE" w:val="clear"/>
        <w:spacing w:after="12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错误令牌: HTTP 401 {"error":"unauthorized"}    未知方法: {"error":{"code":-32601,"message":"未知方法：no/such/method"}}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综合两侧报文可以完整回答「传给 LLM 的具体参数」：system = 渲染后的模板 + 技能全文 + 编号资料 + 引用边界句；user = 提问原文 + 工具返回数据块；model 与 stream 由服务端配置给定。工具令牌不出服务端，接口响应只回 has_auth 布尔，全程未出现在任何发往 LLM 的内容里。</w:t>
      </w:r>
    </w:p>
    <w:p>
      <w:pPr>
        <w:pStyle w:val="Heading1"/>
        <w:spacing w:after="160" w:before="360" w:line="312"/>
      </w:pPr>
      <w:bookmarkStart w:name="_Toc29" w:id="29"/>
      <w:r>
        <w:rPr>
          <w:rFonts w:ascii="Times New Roman" w:eastAsia="SimHei"/>
          <w:b/>
          <w:bCs/>
          <w:color w:val="0A1628"/>
          <w:sz w:val="32"/>
          <w:szCs w:val="32"/>
        </w:rPr>
        <w:t xml:space="preserve">4  测试与质量保障</w:t>
      </w:r>
      <w:bookmarkEnd w:id="29"/>
    </w:p>
    <w:p>
      <w:pPr>
        <w:pStyle w:val="Heading2"/>
        <w:spacing w:after="120" w:before="260" w:line="312"/>
      </w:pPr>
      <w:bookmarkStart w:name="_Toc30" w:id="30"/>
      <w:r>
        <w:rPr>
          <w:rFonts w:ascii="Times New Roman" w:eastAsia="SimHei"/>
          <w:b/>
          <w:bCs/>
          <w:color w:val="0A1628"/>
          <w:sz w:val="28"/>
          <w:szCs w:val="28"/>
        </w:rPr>
        <w:t xml:space="preserve">4.1  测试体系</w:t>
      </w:r>
      <w:bookmarkEnd w:id="30"/>
    </w:p>
    <w:p>
      <w:pPr>
        <w:spacing w:after="4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项目维护了三层测试，全部可在全新环境一键执行。本次验收前全量重跑，结果见表 7。</w:t>
      </w:r>
    </w:p>
    <w:p>
      <w:pPr>
        <w:keepNext/>
        <w:spacing w:after="60" w:before="120"/>
        <w:jc w:val="center"/>
      </w:pPr>
      <w:r>
        <w:rPr>
          <w:rFonts w:ascii="Times New Roman" w:eastAsia="SimHei"/>
          <w:b/>
          <w:bCs/>
          <w:color w:val="0A1628"/>
          <w:sz w:val="21"/>
          <w:szCs w:val="21"/>
        </w:rPr>
        <w:t xml:space="preserve">表7  测试执行结果汇总（2026-10-22）</w:t>
      </w:r>
    </w:p>
    <w:tbl>
      <w:tblPr>
        <w:tblW w:type="pct" w:w="5000"/>
        <w:tblBorders>
          <w:top w:val="single" w:color="1B6B7A" w:sz="4"/>
          <w:left w:val="none"/>
          <w:bottom w:val="single" w:color="1B6B7A" w:sz="4"/>
          <w:right w:val="none"/>
          <w:insideH w:val="single" w:color="C8DDE2" w:sz="1"/>
          <w:insideV w:val="none"/>
        </w:tblBorders>
      </w:tblPr>
      <w:tblGrid>
        <w:gridCol w:w="2109"/>
        <w:gridCol w:w="4921"/>
        <w:gridCol w:w="1758"/>
      </w:tblGrid>
      <w:tr>
        <w:trPr>
          <w:cantSplit/>
          <w:tblHeader/>
        </w:trPr>
        <w:tc>
          <w:tcPr>
            <w:tcW w:type="pct" w:w="12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测试层</w:t>
            </w:r>
          </w:p>
        </w:tc>
        <w:tc>
          <w:tcPr>
            <w:tcW w:type="pct" w:w="28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  <w:tc>
          <w:tcPr>
            <w:tcW w:type="pct" w:w="10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结果</w:t>
            </w:r>
          </w:p>
        </w:tc>
      </w:tr>
      <w:tr>
        <w:trPr>
          <w:cantSplit/>
        </w:trPr>
        <w:tc>
          <w:tcPr>
            <w:tcW w:type="pct" w:w="1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tests/test_lesson4.py</w:t>
            </w:r>
          </w:p>
        </w:tc>
        <w:tc>
          <w:tcPr>
            <w:tcW w:type="pct" w:w="2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切分、三种检索、溯源、班级隔离、降级（第 4 课回归）</w:t>
            </w:r>
          </w:p>
        </w:tc>
        <w:tc>
          <w:tcPr>
            <w:tcW w:type="pct" w:w="1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37 项全部通过</w:t>
            </w:r>
          </w:p>
        </w:tc>
      </w:tr>
      <w:tr>
        <w:trPr>
          <w:cantSplit/>
        </w:trPr>
        <w:tc>
          <w:tcPr>
            <w:tcW w:type="pct" w:w="12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tests/test_lesson5.py</w:t>
            </w:r>
          </w:p>
        </w:tc>
        <w:tc>
          <w:tcPr>
            <w:tcW w:type="pct" w:w="28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提示词/技能权限与注入、会话归属、SSE 事件序列、OpenAPI（第 5 课回归）</w:t>
            </w:r>
          </w:p>
        </w:tc>
        <w:tc>
          <w:tcPr>
            <w:tcW w:type="pct" w:w="10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11 项全部通过</w:t>
            </w:r>
          </w:p>
        </w:tc>
      </w:tr>
      <w:tr>
        <w:trPr>
          <w:cantSplit/>
        </w:trPr>
        <w:tc>
          <w:tcPr>
            <w:tcW w:type="pct" w:w="1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tests/test_lesson6.py</w:t>
            </w:r>
          </w:p>
        </w:tc>
        <w:tc>
          <w:tcPr>
            <w:tcW w:type="pct" w:w="2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AI 应用/模板 CRUD 与绑定校验、应用会话编排（模板与技能注入、材料子集）、技能上传解析、LLM 调用日志字段</w:t>
            </w:r>
          </w:p>
        </w:tc>
        <w:tc>
          <w:tcPr>
            <w:tcW w:type="pct" w:w="1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11 项全部通过</w:t>
            </w:r>
          </w:p>
        </w:tc>
      </w:tr>
      <w:tr>
        <w:trPr>
          <w:cantSplit/>
        </w:trPr>
        <w:tc>
          <w:tcPr>
            <w:tcW w:type="pct" w:w="12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tests/test_mcp.py</w:t>
            </w:r>
          </w:p>
        </w:tc>
        <w:tc>
          <w:tcPr>
            <w:tcW w:type="pct" w:w="28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MCP 协议（握手/发现/调用/401/-32601）、登记与令牌边界、连接缓存覆盖、绑定四道校验、对话调用/审计/denied、注入拦截</w:t>
            </w:r>
          </w:p>
        </w:tc>
        <w:tc>
          <w:tcPr>
            <w:tcW w:type="pct" w:w="10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13 项全部通过</w:t>
            </w:r>
          </w:p>
        </w:tc>
      </w:tr>
      <w:tr>
        <w:trPr>
          <w:cantSplit/>
        </w:trPr>
        <w:tc>
          <w:tcPr>
            <w:tcW w:type="pct" w:w="1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apitest/run_all.py</w:t>
            </w:r>
          </w:p>
        </w:tc>
        <w:tc>
          <w:tcPr>
            <w:tcW w:type="pct" w:w="2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13 个接口用例（登录/检索/提示词/技能/上传/应用/模板/会话消息/日志/MCP 登记/连接/审计），共 94 项检查，全部含数据库一致性核对</w:t>
            </w:r>
          </w:p>
        </w:tc>
        <w:tc>
          <w:tcPr>
            <w:tcW w:type="pct" w:w="1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13/13 用例通过</w:t>
            </w:r>
          </w:p>
        </w:tc>
      </w:tr>
    </w:tbl>
    <w:p>
      <w:pPr>
        <w:pStyle w:val="Heading2"/>
        <w:spacing w:after="120" w:before="260" w:line="312"/>
      </w:pPr>
      <w:bookmarkStart w:name="_Toc31" w:id="31"/>
      <w:r>
        <w:rPr>
          <w:rFonts w:ascii="Times New Roman" w:eastAsia="SimHei"/>
          <w:b/>
          <w:bCs/>
          <w:color w:val="0A1628"/>
          <w:sz w:val="28"/>
          <w:szCs w:val="28"/>
        </w:rPr>
        <w:t xml:space="preserve">4.2  API 文档与试调</w:t>
      </w:r>
      <w:bookmarkEnd w:id="31"/>
    </w:p>
    <w:p>
      <w:pPr>
        <w:spacing w:after="4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全部 33 个 API 路径书写在 openapi.json（OpenAPI 3.0），/swagger 页面离线加载本地 vendor 的 Swagger UI，可直接配置 Bearer 令牌试调，包括 MCP 的登记、连接、查工具、审计等主要接口（图 18）。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762500" cy="4533900"/>
            <wp:effectExtent t="0" r="0" b="0" l="0"/>
            <wp:docPr id="1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5A6572"/>
          <w:sz w:val="21"/>
          <w:szCs w:val="21"/>
        </w:rPr>
        <w:t xml:space="preserve">图18  Swagger 接口文档页（离线可用，含本次新增的全部接口）</w:t>
      </w:r>
    </w:p>
    <w:p>
      <w:pPr>
        <w:pStyle w:val="Heading2"/>
        <w:spacing w:after="120" w:before="260" w:line="312"/>
      </w:pPr>
      <w:bookmarkStart w:name="_Toc32" w:id="32"/>
      <w:r>
        <w:rPr>
          <w:rFonts w:ascii="Times New Roman" w:eastAsia="SimHei"/>
          <w:b/>
          <w:bCs/>
          <w:color w:val="0A1628"/>
          <w:sz w:val="28"/>
          <w:szCs w:val="28"/>
        </w:rPr>
        <w:t xml:space="preserve">4.3  运维可观测性</w:t>
      </w:r>
      <w:bookmarkEnd w:id="32"/>
    </w:p>
    <w:p>
      <w:pPr>
        <w:spacing w:after="4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除 LLM 调用日志列表外（图 19），MCP 调用审计（mcp_tool_calls，只增不改）按班隔离供教师回放每次工具调用（见前文图 10 与图 17）；docker compose ps 与 /health 提供服务健康状态；数据经 ./data、./uploads 与 qdrant_storage 卷持久化，重启不丢。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762500" cy="3838575"/>
            <wp:effectExtent t="0" r="0" b="0" l="0"/>
            <wp:docPr id="1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5A6572"/>
          <w:sz w:val="21"/>
          <w:szCs w:val="21"/>
        </w:rPr>
        <w:t xml:space="preserve">图19  LLM 调用日志列表：每行展示模板、模型、知识库传入/总量与状态</w:t>
      </w:r>
    </w:p>
    <w:p>
      <w:pPr>
        <w:pStyle w:val="Heading1"/>
        <w:spacing w:after="160" w:before="360" w:line="312"/>
      </w:pPr>
      <w:bookmarkStart w:name="_Toc33" w:id="33"/>
      <w:r>
        <w:rPr>
          <w:rFonts w:ascii="Times New Roman" w:eastAsia="SimHei"/>
          <w:b/>
          <w:bCs/>
          <w:color w:val="0A1628"/>
          <w:sz w:val="32"/>
          <w:szCs w:val="32"/>
        </w:rPr>
        <w:t xml:space="preserve">5  总结</w:t>
      </w:r>
      <w:bookmarkEnd w:id="33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本项目在既有登录认证、班级隔离、材料入库与混合检索的基础上，按规约驱动开发完成了个人项目应用平台的全部五项功能：以 ai_apps 为核心的多个内置 AI 应用、支持占位符渲染的提示词模板、可限定材料范围的知识库检索、内置与可上传的技能体系，以及带鉴权、审计与信任边界的 MCP 外部工具接入。作业要求的五项验证内容均通过运行中的系统逐项取证：调用日志证明模板与技能全文随请求传递、知识库只传检索命中的切片、MCP 工具返回作为数据拼进用户消息；审计与 SSE meta 事件证明技能的执行是服务端确定性编排，断开即失效、失败不中断主路径。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后续可改进的方向包括：真实嵌入与对话网关接入后的语义检索效果调优、技能路由从关键词匹配升级为向量路由、以及输出侧的外发意图检查（当前防线为「数据只进用户消息位置 + 句式校验 + 模型不持有工具开关」三层中的前两层，输出侧检查尚待补强）。</w:t>
      </w:r>
    </w:p>
    <w:sectPr>
      <w:headerReference w:type="default" r:id="rId8"/>
      <w:footerReference w:type="default" r:id="rId9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/>
        <w:color w:val="666666"/>
        <w:sz w:val="18"/>
        <w:szCs w:val="18"/>
      </w:rPr>
      <w:fldChar w:fldCharType="begin"/>
    </w:r>
    <w:r>
      <w:rPr>
        <w:rFonts w:ascii="Times New Roman"/>
        <w:color w:val="666666"/>
        <w:sz w:val="18"/>
        <w:szCs w:val="18"/>
      </w:rPr>
      <w:instrText xml:space="preserve"> PAGE \* ROMAN \* MERGEFORMAT </w:instrText>
    </w:r>
    <w:r>
      <w:rPr>
        <w:rFonts w:ascii="Times New Roman"/>
        <w:color w:val="666666"/>
        <w:sz w:val="18"/>
        <w:szCs w:val="18"/>
      </w:rPr>
      <w:fldChar w:fldCharType="separate"/>
    </w:r>
    <w:r>
      <w:rPr>
        <w:rFonts w:ascii="Times New Roman"/>
        <w:color w:val="666666"/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/>
        <w:color w:val="666666"/>
        <w:sz w:val="18"/>
        <w:szCs w:val="18"/>
      </w:rPr>
      <w:fldChar w:fldCharType="begin"/>
    </w:r>
    <w:r>
      <w:rPr>
        <w:rFonts w:ascii="Times New Roman"/>
        <w:color w:val="666666"/>
        <w:sz w:val="18"/>
        <w:szCs w:val="18"/>
      </w:rPr>
      <w:instrText xml:space="preserve"> PAGE \* arabic \* MERGEFORMAT </w:instrText>
    </w:r>
    <w:r>
      <w:rPr>
        <w:rFonts w:ascii="Times New Roman"/>
        <w:color w:val="666666"/>
        <w:sz w:val="18"/>
        <w:szCs w:val="18"/>
      </w:rPr>
      <w:fldChar w:fldCharType="separate"/>
    </w:r>
    <w:r>
      <w:rPr>
        <w:rFonts w:ascii="Times New Roman"/>
        <w:color w:val="66666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DE2" w:sz="2" w:space="4"/>
      </w:pBdr>
      <w:jc w:val="center"/>
    </w:pPr>
    <w:r>
      <w:rPr>
        <w:rFonts w:ascii="Times New Roman" w:eastAsia="SimSun"/>
        <w:color w:val="888888"/>
        <w:sz w:val="16"/>
        <w:szCs w:val="16"/>
      </w:rPr>
      <w:t xml:space="preserve">CampusClaw 个人项目应用平台验收报告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DE2" w:sz="2" w:space="4"/>
      </w:pBdr>
      <w:jc w:val="center"/>
    </w:pPr>
    <w:r>
      <w:rPr>
        <w:rFonts w:ascii="Times New Roman" w:eastAsia="SimSun"/>
        <w:color w:val="888888"/>
        <w:sz w:val="16"/>
        <w:szCs w:val="16"/>
      </w:rPr>
      <w:t xml:space="preserve">CampusClaw 个人项目应用平台验收报告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 w:line="312"/>
      <w:outlineLvl w:val="0"/>
    </w:pPr>
    <w:rPr>
      <w:rFonts w:ascii="Times New Roman" w:eastAsia="SimHei"/>
      <w:b/>
      <w:bCs/>
      <w:color w:val="0A1628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60" w:line="312"/>
      <w:outlineLvl w:val="1"/>
    </w:pPr>
    <w:rPr>
      <w:rFonts w:ascii="Times New Roman" w:eastAsia="SimHei"/>
      <w:b/>
      <w:bCs/>
      <w:color w:val="0A1628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 w:line="312"/>
      <w:outlineLvl w:val="2"/>
    </w:pPr>
    <w:rPr>
      <w:rFonts w:ascii="Times New Roman" w:eastAsia="SimHei"/>
      <w:b/>
      <w:bCs/>
      <w:color w:val="0A162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image" Target="media/4a5ec7fca49209254f7bee1391127e4331290f07.png"/><Relationship Id="rId12" Type="http://schemas.openxmlformats.org/officeDocument/2006/relationships/image" Target="media/190ca8a6b3ead5f0fc2f531df5e4d900f4622fc1.png"/><Relationship Id="rId13" Type="http://schemas.openxmlformats.org/officeDocument/2006/relationships/image" Target="media/5caf71ac7357c8477b3b4e7a5ae3e8155d8873f9.png"/><Relationship Id="rId14" Type="http://schemas.openxmlformats.org/officeDocument/2006/relationships/image" Target="media/cbe89b8b5e959f0796611ee67caf85e655116565.png"/><Relationship Id="rId15" Type="http://schemas.openxmlformats.org/officeDocument/2006/relationships/image" Target="media/95934a7fbe027ae44203076ae108792e10254b56.png"/><Relationship Id="rId16" Type="http://schemas.openxmlformats.org/officeDocument/2006/relationships/image" Target="media/087126e9ce1b1fbe0e4f764bf3414c745855a90b.png"/><Relationship Id="rId17" Type="http://schemas.openxmlformats.org/officeDocument/2006/relationships/image" Target="media/2bafb3d69d1ec8ce6f94858f5e47eca508eb0913.png"/><Relationship Id="rId18" Type="http://schemas.openxmlformats.org/officeDocument/2006/relationships/image" Target="media/efd54d02a900723f4c049e08bb4836076e0edb55.png"/><Relationship Id="rId19" Type="http://schemas.openxmlformats.org/officeDocument/2006/relationships/image" Target="media/40f11fb676576d1b566ff7056fe8a21d9ee2b4a2.png"/><Relationship Id="rId20" Type="http://schemas.openxmlformats.org/officeDocument/2006/relationships/image" Target="media/89fc16af45d9294c4a0394b3952a467bbffa1ce6.png"/><Relationship Id="rId21" Type="http://schemas.openxmlformats.org/officeDocument/2006/relationships/image" Target="media/587e9813dbc57e0bdd183037bb46dbd0486663e5.png"/><Relationship Id="rId22" Type="http://schemas.openxmlformats.org/officeDocument/2006/relationships/image" Target="media/c9cd7db948955b7200931ec0a6e4d15d76c46304.png"/><Relationship Id="rId23" Type="http://schemas.openxmlformats.org/officeDocument/2006/relationships/image" Target="media/5bcf0d8c1bdb04d47c01798c10039b6e307e1423.png"/><Relationship Id="rId24" Type="http://schemas.openxmlformats.org/officeDocument/2006/relationships/image" Target="media/bc36d6587b62a972f3742e7651418caad7eea9b7.png"/><Relationship Id="rId25" Type="http://schemas.openxmlformats.org/officeDocument/2006/relationships/image" Target="media/90cf96b32b4a9048ab58ae742e2dec4420cb72d9.png"/><Relationship Id="rId26" Type="http://schemas.openxmlformats.org/officeDocument/2006/relationships/image" Target="media/b96db8b9eb68f679bb87235b67aa2b8ed32318ba.png"/><Relationship Id="rId27" Type="http://schemas.openxmlformats.org/officeDocument/2006/relationships/image" Target="media/61c7fe8741d7c310af68c5a1e64b461316b58ca8.png"/><Relationship Id="rId28" Type="http://schemas.openxmlformats.org/officeDocument/2006/relationships/image" Target="media/224edace058e7a96e71bed98c8fe122bdf694957.png"/><Relationship Id="rId29" Type="http://schemas.openxmlformats.org/officeDocument/2006/relationships/image" Target="media/4f93ed6f20a4a16156dc65675d4a9f5c45dc44af.png"/><Relationship Id="rId30" Type="http://schemas.openxmlformats.org/officeDocument/2006/relationships/image" Target="media/f52b8256b2a5f305b004fabc13489e1fdadaea2b.png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CampusClaw 个人项目应用平台验收报告</dc:title>
  <dc:creator>CampusClaw</dc:creator>
  <cp:lastModifiedBy>Un-named</cp:lastModifiedBy>
  <cp:revision>1</cp:revision>
  <dcterms:created xsi:type="dcterms:W3CDTF">2026-10-22T00:50:02.408Z</dcterms:created>
  <dcterms:modified xsi:type="dcterms:W3CDTF">2026-10-22T00:50:02.410Z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