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TRAIGA</w:t>
      </w:r>
      <w:r>
        <w:t xml:space="preserve"> </w:t>
      </w:r>
      <w:r>
        <w:t xml:space="preserve">Auditor</w:t>
      </w:r>
      <w:r>
        <w:t xml:space="preserve"> </w:t>
      </w:r>
      <w:r>
        <w:t xml:space="preserve">—</w:t>
      </w:r>
      <w:r>
        <w:t xml:space="preserve"> </w:t>
      </w:r>
      <w:r>
        <w:t xml:space="preserve">User</w:t>
      </w:r>
      <w:r>
        <w:t xml:space="preserve"> </w:t>
      </w:r>
      <w:r>
        <w:t xml:space="preserve">Guide</w:t>
      </w:r>
    </w:p>
    <w:p>
      <w:pPr>
        <w:pStyle w:val="Subtitle"/>
      </w:pPr>
      <w:r>
        <w:t xml:space="preserve">AI</w:t>
      </w:r>
      <w:r>
        <w:t xml:space="preserve"> </w:t>
      </w:r>
      <w:r>
        <w:t xml:space="preserve">Transparency</w:t>
      </w:r>
      <w:r>
        <w:t xml:space="preserve"> </w:t>
      </w:r>
      <w:r>
        <w:t xml:space="preserve">&amp;</w:t>
      </w:r>
      <w:r>
        <w:t xml:space="preserve"> </w:t>
      </w:r>
      <w:r>
        <w:t xml:space="preserve">Compliance</w:t>
      </w:r>
      <w:r>
        <w:t xml:space="preserve"> </w:t>
      </w:r>
      <w:r>
        <w:t xml:space="preserve">for</w:t>
      </w:r>
      <w:r>
        <w:t xml:space="preserve"> </w:t>
      </w:r>
      <w:r>
        <w:t xml:space="preserve">Texas</w:t>
      </w:r>
      <w:r>
        <w:t xml:space="preserve"> </w:t>
      </w:r>
      <w:r>
        <w:t xml:space="preserve">Municipalities</w:t>
      </w:r>
      <w:r>
        <w:t xml:space="preserve"> </w:t>
      </w:r>
      <w:r>
        <w:t xml:space="preserve">·</w:t>
      </w:r>
      <w:r>
        <w:t xml:space="preserve"> </w:t>
      </w:r>
      <w:r>
        <w:t xml:space="preserve">Version</w:t>
      </w:r>
      <w:r>
        <w:t xml:space="preserve"> </w:t>
      </w:r>
      <w:r>
        <w:t xml:space="preserve">1.7</w:t>
      </w:r>
    </w:p>
    <w:p>
      <w:pPr>
        <w:pStyle w:val="Date"/>
      </w:pPr>
      <w:r>
        <w:t xml:space="preserve">August</w:t>
      </w:r>
      <w:r>
        <w:t xml:space="preserve"> </w:t>
      </w:r>
      <w:r>
        <w:t xml:space="preserve">23,</w:t>
      </w:r>
      <w:r>
        <w:t xml:space="preserve"> </w:t>
      </w:r>
      <w:r>
        <w:t xml:space="preserve">2026</w:t>
      </w:r>
      <w:r>
        <w:t xml:space="preserve"> </w:t>
      </w:r>
      <w:r>
        <w:t xml:space="preserve">·</w:t>
      </w:r>
      <w:r>
        <w:t xml:space="preserve"> </w:t>
      </w:r>
      <w:r>
        <w:t xml:space="preserve">For</w:t>
      </w:r>
      <w:r>
        <w:t xml:space="preserve"> </w:t>
      </w:r>
      <w:r>
        <w:t xml:space="preserve">City</w:t>
      </w:r>
      <w:r>
        <w:t xml:space="preserve"> </w:t>
      </w:r>
      <w:r>
        <w:t xml:space="preserve">IT,</w:t>
      </w:r>
      <w:r>
        <w:t xml:space="preserve"> </w:t>
      </w:r>
      <w:r>
        <w:t xml:space="preserve">CIO,</w:t>
      </w:r>
      <w:r>
        <w:t xml:space="preserve"> </w:t>
      </w:r>
      <w:r>
        <w:t xml:space="preserve">and</w:t>
      </w:r>
      <w:r>
        <w:t xml:space="preserve"> </w:t>
      </w:r>
      <w:r>
        <w:t xml:space="preserve">Compliance</w:t>
      </w:r>
      <w:r>
        <w:t xml:space="preserve"> </w:t>
      </w:r>
      <w:r>
        <w:t xml:space="preserve">Staff</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20" w:name="about-traiga-auditor"/>
    <w:p>
      <w:pPr>
        <w:pStyle w:val="Heading1"/>
      </w:pPr>
      <w:r>
        <w:t xml:space="preserve">About TRAIGA Auditor</w:t>
      </w:r>
    </w:p>
    <w:p>
      <w:pPr>
        <w:pStyle w:val="FirstParagraph"/>
      </w:pPr>
      <w:r>
        <w:t xml:space="preserve">TRAIGA Auditor helps a city find the AI systems on its public digital services, check whether they meet the disclosure requirements of the</w:t>
      </w:r>
      <w:r>
        <w:t xml:space="preserve"> </w:t>
      </w:r>
      <w:r>
        <w:rPr>
          <w:bCs/>
          <w:b/>
        </w:rPr>
        <w:t xml:space="preserve">Texas Responsible Artificial Intelligence Governance Act (TRAIGA / House Bill 149, Tex. Bus. &amp; Com. Code Ch. 552)</w:t>
      </w:r>
      <w:r>
        <w:t xml:space="preserve">, and build the governance record that supports the law’s safe-harbor defenses.</w:t>
      </w:r>
    </w:p>
    <w:p>
      <w:pPr>
        <w:pStyle w:val="BodyText"/>
      </w:pPr>
      <w:r>
        <w:t xml:space="preserve">The platform does three things:</w:t>
      </w:r>
    </w:p>
    <w:p>
      <w:pPr>
        <w:numPr>
          <w:ilvl w:val="0"/>
          <w:numId w:val="1001"/>
        </w:numPr>
        <w:pStyle w:val="Compact"/>
      </w:pPr>
      <w:r>
        <w:rPr>
          <w:bCs/>
          <w:b/>
        </w:rPr>
        <w:t xml:space="preserve">Discovers</w:t>
      </w:r>
      <w:r>
        <w:t xml:space="preserve"> </w:t>
      </w:r>
      <w:r>
        <w:t xml:space="preserve">AI systems (chatbots, virtual assistants, digital-human avatars) running on a city’s website, including vendor-embedded tools the city may not know it has.</w:t>
      </w:r>
    </w:p>
    <w:p>
      <w:pPr>
        <w:numPr>
          <w:ilvl w:val="0"/>
          <w:numId w:val="1001"/>
        </w:numPr>
        <w:pStyle w:val="Compact"/>
      </w:pPr>
      <w:r>
        <w:rPr>
          <w:bCs/>
          <w:b/>
        </w:rPr>
        <w:t xml:space="preserve">Assesses</w:t>
      </w:r>
      <w:r>
        <w:t xml:space="preserve"> </w:t>
      </w:r>
      <w:r>
        <w:t xml:space="preserve">each one for the state-required</w:t>
      </w:r>
      <w:r>
        <w:t xml:space="preserve"> </w:t>
      </w:r>
      <w:r>
        <w:t xml:space="preserve">“</w:t>
      </w:r>
      <w:r>
        <w:t xml:space="preserve">you are interacting with AI</w:t>
      </w:r>
      <w:r>
        <w:t xml:space="preserve">”</w:t>
      </w:r>
      <w:r>
        <w:t xml:space="preserve"> </w:t>
      </w:r>
      <w:r>
        <w:t xml:space="preserve">disclosure, and tracks any gap on the statutory 60-day cure clock.</w:t>
      </w:r>
    </w:p>
    <w:p>
      <w:pPr>
        <w:numPr>
          <w:ilvl w:val="0"/>
          <w:numId w:val="1001"/>
        </w:numPr>
        <w:pStyle w:val="Compact"/>
      </w:pPr>
      <w:r>
        <w:rPr>
          <w:bCs/>
          <w:b/>
        </w:rPr>
        <w:t xml:space="preserve">Documents</w:t>
      </w:r>
      <w:r>
        <w:t xml:space="preserve"> </w:t>
      </w:r>
      <w:r>
        <w:t xml:space="preserve">the city’s AI governance against a NIST-aligned readiness profile, producing council- and counsel-ready reports.</w:t>
      </w:r>
    </w:p>
    <w:p>
      <w:pPr>
        <w:pStyle w:val="FirstParagraph"/>
      </w:pPr>
      <w:r>
        <w:rPr>
          <w:bCs/>
          <w:b/>
        </w:rPr>
        <w:t xml:space="preserve">Who this guide is for:</w:t>
      </w:r>
      <w:r>
        <w:t xml:space="preserve"> </w:t>
      </w:r>
      <w:r>
        <w:t xml:space="preserve">city IT staff, CIOs, and compliance or legal team members who use the platform day to day.</w:t>
      </w:r>
    </w:p>
    <w:p>
      <w:pPr>
        <w:pStyle w:val="BlockText"/>
      </w:pPr>
      <w:r>
        <w:rPr>
          <w:bCs/>
          <w:b/>
        </w:rPr>
        <w:t xml:space="preserve">Important — please read.</w:t>
      </w:r>
      <w:r>
        <w:t xml:space="preserve"> </w:t>
      </w:r>
      <w:r>
        <w:t xml:space="preserve">TRAIGA Auditor produces</w:t>
      </w:r>
      <w:r>
        <w:t xml:space="preserve"> </w:t>
      </w:r>
      <w:r>
        <w:rPr>
          <w:bCs/>
          <w:b/>
        </w:rPr>
        <w:t xml:space="preserve">candidate compliance signals</w:t>
      </w:r>
      <w:r>
        <w:t xml:space="preserve"> </w:t>
      </w:r>
      <w:r>
        <w:t xml:space="preserve">derived from externally observable evidence. They are</w:t>
      </w:r>
      <w:r>
        <w:t xml:space="preserve"> </w:t>
      </w:r>
      <w:r>
        <w:rPr>
          <w:bCs/>
          <w:b/>
        </w:rPr>
        <w:t xml:space="preserve">not</w:t>
      </w:r>
      <w:r>
        <w:t xml:space="preserve"> </w:t>
      </w:r>
      <w:r>
        <w:t xml:space="preserve">enforcement determinations and</w:t>
      </w:r>
      <w:r>
        <w:t xml:space="preserve"> </w:t>
      </w:r>
      <w:r>
        <w:rPr>
          <w:bCs/>
          <w:b/>
        </w:rPr>
        <w:t xml:space="preserve">do not</w:t>
      </w:r>
      <w:r>
        <w:t xml:space="preserve"> </w:t>
      </w:r>
      <w:r>
        <w:t xml:space="preserve">constitute legal advice. Every finding requires human and legal review before any action. Statutory citations reference Texas HB 149 / Ch. 552; re-validate against the enrolled bill with counsel. The scanner is an out-of-line observer — it never modifies or disrupts a target system.</w:t>
      </w:r>
    </w:p>
    <w:bookmarkEnd w:id="20"/>
    <w:bookmarkStart w:id="23" w:name="getting-started"/>
    <w:p>
      <w:pPr>
        <w:pStyle w:val="Heading1"/>
      </w:pPr>
      <w:r>
        <w:t xml:space="preserve">Getting Started</w:t>
      </w:r>
    </w:p>
    <w:bookmarkStart w:id="21" w:name="signing-in-and-roles"/>
    <w:p>
      <w:pPr>
        <w:pStyle w:val="Heading2"/>
      </w:pPr>
      <w:r>
        <w:t xml:space="preserve">Signing in and roles</w:t>
      </w:r>
    </w:p>
    <w:p>
      <w:pPr>
        <w:pStyle w:val="FirstParagraph"/>
      </w:pPr>
      <w:r>
        <w:t xml:space="preserve">Sign in with your Google account. What you can do depends on your role:</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Role</w:t>
            </w:r>
          </w:p>
        </w:tc>
        <w:tc>
          <w:tcPr/>
          <w:p>
            <w:pPr>
              <w:pStyle w:val="Compact"/>
              <w:jc w:val="left"/>
            </w:pPr>
            <w:r>
              <w:t xml:space="preserve">What they can do</w:t>
            </w:r>
          </w:p>
        </w:tc>
      </w:tr>
      <w:tr>
        <w:tc>
          <w:tcPr/>
          <w:p>
            <w:pPr>
              <w:pStyle w:val="Compact"/>
              <w:jc w:val="left"/>
            </w:pPr>
            <w:r>
              <w:rPr>
                <w:bCs/>
                <w:b/>
              </w:rPr>
              <w:t xml:space="preserve">Viewer</w:t>
            </w:r>
          </w:p>
        </w:tc>
        <w:tc>
          <w:tcPr/>
          <w:p>
            <w:pPr>
              <w:pStyle w:val="Compact"/>
              <w:jc w:val="left"/>
            </w:pPr>
            <w:r>
              <w:t xml:space="preserve">Read dashboards, scorecards, findings, and reports for their assigned cities.</w:t>
            </w:r>
          </w:p>
        </w:tc>
      </w:tr>
      <w:tr>
        <w:tc>
          <w:tcPr/>
          <w:p>
            <w:pPr>
              <w:pStyle w:val="Compact"/>
              <w:jc w:val="left"/>
            </w:pPr>
            <w:r>
              <w:rPr>
                <w:bCs/>
                <w:b/>
              </w:rPr>
              <w:t xml:space="preserve">Agency Admin</w:t>
            </w:r>
          </w:p>
        </w:tc>
        <w:tc>
          <w:tcPr/>
          <w:p>
            <w:pPr>
              <w:pStyle w:val="Compact"/>
              <w:jc w:val="left"/>
            </w:pPr>
            <w:r>
              <w:t xml:space="preserve">Everything a Viewer can, plus attest governance controls for their cities.</w:t>
            </w:r>
          </w:p>
        </w:tc>
      </w:tr>
      <w:tr>
        <w:tc>
          <w:tcPr/>
          <w:p>
            <w:pPr>
              <w:pStyle w:val="Compact"/>
              <w:jc w:val="left"/>
            </w:pPr>
            <w:r>
              <w:rPr>
                <w:bCs/>
                <w:b/>
              </w:rPr>
              <w:t xml:space="preserve">Platform Admin</w:t>
            </w:r>
          </w:p>
        </w:tc>
        <w:tc>
          <w:tcPr/>
          <w:p>
            <w:pPr>
              <w:pStyle w:val="Compact"/>
              <w:jc w:val="left"/>
            </w:pPr>
            <w:r>
              <w:t xml:space="preserve">Full access: add/import/edit cities, run scans, change Settings and feature flags, and manage the platform.</w:t>
            </w:r>
          </w:p>
        </w:tc>
      </w:tr>
    </w:tbl>
    <w:bookmarkEnd w:id="21"/>
    <w:bookmarkStart w:id="22" w:name="finding-your-way-around"/>
    <w:p>
      <w:pPr>
        <w:pStyle w:val="Heading2"/>
      </w:pPr>
      <w:r>
        <w:t xml:space="preserve">Finding your way around</w:t>
      </w:r>
    </w:p>
    <w:p>
      <w:pPr>
        <w:pStyle w:val="FirstParagraph"/>
      </w:pPr>
      <w:r>
        <w:t xml:space="preserve">The left-hand menu is your map:</w:t>
      </w:r>
    </w:p>
    <w:p>
      <w:pPr>
        <w:numPr>
          <w:ilvl w:val="0"/>
          <w:numId w:val="1002"/>
        </w:numPr>
        <w:pStyle w:val="Compact"/>
      </w:pPr>
      <w:r>
        <w:rPr>
          <w:bCs/>
          <w:b/>
        </w:rPr>
        <w:t xml:space="preserve">Dashboard</w:t>
      </w:r>
      <w:r>
        <w:t xml:space="preserve"> </w:t>
      </w:r>
      <w:r>
        <w:t xml:space="preserve">— your compliance at a glance.</w:t>
      </w:r>
    </w:p>
    <w:p>
      <w:pPr>
        <w:numPr>
          <w:ilvl w:val="0"/>
          <w:numId w:val="1002"/>
        </w:numPr>
        <w:pStyle w:val="Compact"/>
      </w:pPr>
      <w:r>
        <w:rPr>
          <w:bCs/>
          <w:b/>
        </w:rPr>
        <w:t xml:space="preserve">Analytics</w:t>
      </w:r>
      <w:r>
        <w:t xml:space="preserve"> </w:t>
      </w:r>
      <w:r>
        <w:t xml:space="preserve">— trends and summaries.</w:t>
      </w:r>
    </w:p>
    <w:p>
      <w:pPr>
        <w:numPr>
          <w:ilvl w:val="0"/>
          <w:numId w:val="1002"/>
        </w:numPr>
        <w:pStyle w:val="Compact"/>
      </w:pPr>
      <w:r>
        <w:rPr>
          <w:bCs/>
          <w:b/>
        </w:rPr>
        <w:t xml:space="preserve">AI Inventory</w:t>
      </w:r>
      <w:r>
        <w:t xml:space="preserve"> </w:t>
      </w:r>
      <w:r>
        <w:t xml:space="preserve">— every AI system discovered or declared, across cities.</w:t>
      </w:r>
    </w:p>
    <w:p>
      <w:pPr>
        <w:numPr>
          <w:ilvl w:val="0"/>
          <w:numId w:val="1002"/>
        </w:numPr>
        <w:pStyle w:val="Compact"/>
      </w:pPr>
      <w:r>
        <w:rPr>
          <w:bCs/>
          <w:b/>
        </w:rPr>
        <w:t xml:space="preserve">Violations</w:t>
      </w:r>
      <w:r>
        <w:t xml:space="preserve"> </w:t>
      </w:r>
      <w:r>
        <w:t xml:space="preserve">— open disclosure gaps and their cure clocks.</w:t>
      </w:r>
    </w:p>
    <w:p>
      <w:pPr>
        <w:numPr>
          <w:ilvl w:val="0"/>
          <w:numId w:val="1002"/>
        </w:numPr>
        <w:pStyle w:val="Compact"/>
      </w:pPr>
      <w:r>
        <w:rPr>
          <w:bCs/>
          <w:b/>
        </w:rPr>
        <w:t xml:space="preserve">Sentinel (DLP)</w:t>
      </w:r>
      <w:r>
        <w:t xml:space="preserve"> </w:t>
      </w:r>
      <w:r>
        <w:t xml:space="preserve">— visibility into staff AI usage (optional module).</w:t>
      </w:r>
    </w:p>
    <w:p>
      <w:pPr>
        <w:numPr>
          <w:ilvl w:val="0"/>
          <w:numId w:val="1002"/>
        </w:numPr>
        <w:pStyle w:val="Compact"/>
      </w:pPr>
      <w:r>
        <w:rPr>
          <w:bCs/>
          <w:b/>
        </w:rPr>
        <w:t xml:space="preserve">Target Registry</w:t>
      </w:r>
      <w:r>
        <w:t xml:space="preserve"> </w:t>
      </w:r>
      <w:r>
        <w:t xml:space="preserve">— the list of cities you monitor.</w:t>
      </w:r>
    </w:p>
    <w:p>
      <w:pPr>
        <w:numPr>
          <w:ilvl w:val="0"/>
          <w:numId w:val="1002"/>
        </w:numPr>
        <w:pStyle w:val="Compact"/>
      </w:pPr>
      <w:r>
        <w:rPr>
          <w:bCs/>
          <w:b/>
        </w:rPr>
        <w:t xml:space="preserve">Audit Log / Error Log</w:t>
      </w:r>
      <w:r>
        <w:t xml:space="preserve"> </w:t>
      </w:r>
      <w:r>
        <w:t xml:space="preserve">— the evidence trail and operational failures.</w:t>
      </w:r>
    </w:p>
    <w:p>
      <w:pPr>
        <w:numPr>
          <w:ilvl w:val="0"/>
          <w:numId w:val="1002"/>
        </w:numPr>
        <w:pStyle w:val="Compact"/>
      </w:pPr>
      <w:r>
        <w:rPr>
          <w:bCs/>
          <w:b/>
        </w:rPr>
        <w:t xml:space="preserve">Administration / Settings</w:t>
      </w:r>
      <w:r>
        <w:t xml:space="preserve"> </w:t>
      </w:r>
      <w:r>
        <w:t xml:space="preserve">— users, feature flags, and configuration.</w:t>
      </w:r>
    </w:p>
    <w:p>
      <w:pPr>
        <w:pStyle w:val="FirstParagraph"/>
      </w:pPr>
      <w:r>
        <w:rPr>
          <w:bCs/>
          <w:b/>
        </w:rPr>
        <w:t xml:space="preserve">Light or Stealth theme:</w:t>
      </w:r>
      <w:r>
        <w:t xml:space="preserve"> </w:t>
      </w:r>
      <w:r>
        <w:t xml:space="preserve">the sun/moon toggle by your name (bottom-left) switches between the standard light theme and a darker</w:t>
      </w:r>
      <w:r>
        <w:t xml:space="preserve"> </w:t>
      </w:r>
      <w:r>
        <w:t xml:space="preserve">“</w:t>
      </w:r>
      <w:r>
        <w:t xml:space="preserve">Stealth</w:t>
      </w:r>
      <w:r>
        <w:t xml:space="preserve">”</w:t>
      </w:r>
      <w:r>
        <w:t xml:space="preserve"> </w:t>
      </w:r>
      <w:r>
        <w:t xml:space="preserve">theme. Your choice is saved in your browser.</w:t>
      </w:r>
    </w:p>
    <w:p>
      <w:pPr>
        <w:pStyle w:val="BodyText"/>
      </w:pPr>
      <w:r>
        <w:rPr>
          <w:bCs/>
          <w:b/>
        </w:rPr>
        <w:t xml:space="preserve">On a phone or tablet:</w:t>
      </w:r>
      <w:r>
        <w:t xml:space="preserve"> </w:t>
      </w:r>
      <w:r>
        <w:t xml:space="preserve">the menu is hidden to give the content the full screen. Tap the</w:t>
      </w:r>
      <w:r>
        <w:t xml:space="preserve"> </w:t>
      </w:r>
      <w:r>
        <w:rPr>
          <w:bCs/>
          <w:b/>
        </w:rPr>
        <w:t xml:space="preserve">☰ menu button</w:t>
      </w:r>
      <w:r>
        <w:t xml:space="preserve"> </w:t>
      </w:r>
      <w:r>
        <w:t xml:space="preserve">in the top bar to open it, then tap where you want to go — the menu closes itself. Wide tables reshape into stacked cards so you can read them without scrolling sideways. On a laptop or desktop the menu stays open on the left as usual.</w:t>
      </w:r>
    </w:p>
    <w:bookmarkEnd w:id="22"/>
    <w:bookmarkEnd w:id="23"/>
    <w:bookmarkStart w:id="24" w:name="the-dashboard"/>
    <w:p>
      <w:pPr>
        <w:pStyle w:val="Heading1"/>
      </w:pPr>
      <w:r>
        <w:t xml:space="preserve">The Dashboard</w:t>
      </w:r>
    </w:p>
    <w:p>
      <w:pPr>
        <w:pStyle w:val="FirstParagraph"/>
      </w:pPr>
      <w:r>
        <w:t xml:space="preserve">The Dashboard is your one-screen view of compliance across every city you monitor.</w:t>
      </w:r>
    </w:p>
    <w:p>
      <w:pPr>
        <w:pStyle w:val="BodyText"/>
      </w:pPr>
      <w:r>
        <w:rPr>
          <w:bCs/>
          <w:b/>
        </w:rPr>
        <w:t xml:space="preserve">Status tiles</w:t>
      </w:r>
      <w:r>
        <w:t xml:space="preserve"> </w:t>
      </w:r>
      <w:r>
        <w:t xml:space="preserve">across the top count your cities by state: Total Cities, Compliant, In Cure, Non-Compliant, Expired, No AI Detected, Scan Failed, and an overall Average Score.</w:t>
      </w:r>
    </w:p>
    <w:p>
      <w:pPr>
        <w:pStyle w:val="BodyText"/>
      </w:pPr>
      <w:r>
        <w:rPr>
          <w:bCs/>
          <w:b/>
        </w:rPr>
        <w:t xml:space="preserve">Texas Compliance Map</w:t>
      </w:r>
      <w:r>
        <w:t xml:space="preserve"> </w:t>
      </w:r>
      <w:r>
        <w:t xml:space="preserve">plots mapped cities colored by status.</w:t>
      </w:r>
    </w:p>
    <w:p>
      <w:pPr>
        <w:pStyle w:val="BodyText"/>
      </w:pPr>
      <w:r>
        <w:rPr>
          <w:bCs/>
          <w:b/>
        </w:rPr>
        <w:t xml:space="preserve">Cure Deadlines</w:t>
      </w:r>
      <w:r>
        <w:t xml:space="preserve"> </w:t>
      </w:r>
      <w:r>
        <w:t xml:space="preserve">lists cities with open violations, worst-first, showing the days remaining in each 60-day cure window — your triage list.</w:t>
      </w:r>
    </w:p>
    <w:p>
      <w:pPr>
        <w:pStyle w:val="BodyText"/>
      </w:pPr>
      <w:r>
        <w:rPr>
          <w:bCs/>
          <w:b/>
        </w:rPr>
        <w:t xml:space="preserve">City Compliance Scorecard</w:t>
      </w:r>
      <w:r>
        <w:t xml:space="preserve"> </w:t>
      </w:r>
      <w:r>
        <w:t xml:space="preserve">is the detailed table: City, Jurisdiction, Population, TRAIGA Status, Score, Open Violations, Min Days Left, Scan Type, and Last Scanned. Click a city name to open its detail page, or</w:t>
      </w:r>
      <w:r>
        <w:t xml:space="preserve"> </w:t>
      </w:r>
      <w:r>
        <w:rPr>
          <w:bCs/>
          <w:b/>
        </w:rPr>
        <w:t xml:space="preserve">Report</w:t>
      </w:r>
      <w:r>
        <w:t xml:space="preserve"> </w:t>
      </w:r>
      <w:r>
        <w:t xml:space="preserve">to generate its compliance report.</w:t>
      </w:r>
    </w:p>
    <w:p>
      <w:pPr>
        <w:pStyle w:val="BodyText"/>
      </w:pPr>
      <w:r>
        <w:t xml:space="preserve">Two action buttons sit at the top:</w:t>
      </w:r>
      <w:r>
        <w:t xml:space="preserve"> </w:t>
      </w:r>
      <w:r>
        <w:rPr>
          <w:bCs/>
          <w:b/>
        </w:rPr>
        <w:t xml:space="preserve">Add City</w:t>
      </w:r>
      <w:r>
        <w:t xml:space="preserve"> </w:t>
      </w:r>
      <w:r>
        <w:t xml:space="preserve">and</w:t>
      </w:r>
      <w:r>
        <w:t xml:space="preserve"> </w:t>
      </w:r>
      <w:r>
        <w:rPr>
          <w:bCs/>
          <w:b/>
        </w:rPr>
        <w:t xml:space="preserve">Run Audit</w:t>
      </w:r>
      <w:r>
        <w:t xml:space="preserve"> </w:t>
      </w:r>
      <w:r>
        <w:t xml:space="preserve">(scan all active cities).</w:t>
      </w:r>
    </w:p>
    <w:bookmarkEnd w:id="24"/>
    <w:bookmarkStart w:id="29" w:name="managing-your-cities-target-registry"/>
    <w:p>
      <w:pPr>
        <w:pStyle w:val="Heading1"/>
      </w:pPr>
      <w:r>
        <w:t xml:space="preserve">Managing Your Cities (Target Registry)</w:t>
      </w:r>
    </w:p>
    <w:p>
      <w:pPr>
        <w:pStyle w:val="FirstParagraph"/>
      </w:pPr>
      <w:r>
        <w:t xml:space="preserve">The Target Registry is the list of city websites you monitor.</w:t>
      </w:r>
    </w:p>
    <w:bookmarkStart w:id="25" w:name="add-a-single-city"/>
    <w:p>
      <w:pPr>
        <w:pStyle w:val="Heading2"/>
      </w:pPr>
      <w:r>
        <w:t xml:space="preserve">Add a single city</w:t>
      </w:r>
    </w:p>
    <w:p>
      <w:pPr>
        <w:pStyle w:val="FirstParagraph"/>
      </w:pPr>
      <w:r>
        <w:t xml:space="preserve">Click</w:t>
      </w:r>
      <w:r>
        <w:t xml:space="preserve"> </w:t>
      </w:r>
      <w:r>
        <w:rPr>
          <w:bCs/>
          <w:b/>
        </w:rPr>
        <w:t xml:space="preserve">Add Target</w:t>
      </w:r>
      <w:r>
        <w:t xml:space="preserve">, enter the city name, jurisdiction (e.g., TX), the domain (starting with</w:t>
      </w:r>
      <w:r>
        <w:t xml:space="preserve"> </w:t>
      </w:r>
      <w:r>
        <w:rPr>
          <w:rStyle w:val="VerbatimChar"/>
        </w:rPr>
        <w:t xml:space="preserve">https://</w:t>
      </w:r>
      <w:r>
        <w:t xml:space="preserve">), and optionally tags and population. Leave</w:t>
      </w:r>
      <w:r>
        <w:t xml:space="preserve"> </w:t>
      </w:r>
      <w:r>
        <w:t xml:space="preserve">“</w:t>
      </w:r>
      <w:r>
        <w:t xml:space="preserve">Scan immediately</w:t>
      </w:r>
      <w:r>
        <w:t xml:space="preserve">”</w:t>
      </w:r>
      <w:r>
        <w:t xml:space="preserve"> </w:t>
      </w:r>
      <w:r>
        <w:t xml:space="preserve">on to get results right away, or off to add it quietly.</w:t>
      </w:r>
    </w:p>
    <w:bookmarkEnd w:id="25"/>
    <w:bookmarkStart w:id="26" w:name="bulk-import-many-cities"/>
    <w:p>
      <w:pPr>
        <w:pStyle w:val="Heading2"/>
      </w:pPr>
      <w:r>
        <w:t xml:space="preserve">Bulk import many cities</w:t>
      </w:r>
    </w:p>
    <w:p>
      <w:pPr>
        <w:pStyle w:val="FirstParagraph"/>
      </w:pPr>
      <w:r>
        <w:t xml:space="preserve">Click</w:t>
      </w:r>
      <w:r>
        <w:t xml:space="preserve"> </w:t>
      </w:r>
      <w:r>
        <w:rPr>
          <w:bCs/>
          <w:b/>
        </w:rPr>
        <w:t xml:space="preserve">Bulk Import</w:t>
      </w:r>
      <w:r>
        <w:t xml:space="preserve"> </w:t>
      </w:r>
      <w:r>
        <w:t xml:space="preserve">(platform admin) and upload a CSV with at least</w:t>
      </w:r>
      <w:r>
        <w:t xml:space="preserve"> </w:t>
      </w:r>
      <w:r>
        <w:rPr>
          <w:rStyle w:val="VerbatimChar"/>
        </w:rPr>
        <w:t xml:space="preserve">city</w:t>
      </w:r>
      <w:r>
        <w:t xml:space="preserve"> </w:t>
      </w:r>
      <w:r>
        <w:t xml:space="preserve">and</w:t>
      </w:r>
      <w:r>
        <w:t xml:space="preserve"> </w:t>
      </w:r>
      <w:r>
        <w:rPr>
          <w:rStyle w:val="VerbatimChar"/>
        </w:rPr>
        <w:t xml:space="preserve">domain</w:t>
      </w:r>
      <w:r>
        <w:t xml:space="preserve"> </w:t>
      </w:r>
      <w:r>
        <w:t xml:space="preserve">columns (optional:</w:t>
      </w:r>
      <w:r>
        <w:t xml:space="preserve"> </w:t>
      </w:r>
      <w:r>
        <w:rPr>
          <w:rStyle w:val="VerbatimChar"/>
        </w:rPr>
        <w:t xml:space="preserve">url, jurisdiction, tags, cloudflare_protected, population</w:t>
      </w:r>
      <w:r>
        <w:t xml:space="preserve">). Imported cities are added as</w:t>
      </w:r>
      <w:r>
        <w:t xml:space="preserve"> </w:t>
      </w:r>
      <w:r>
        <w:rPr>
          <w:bCs/>
          <w:b/>
        </w:rPr>
        <w:t xml:space="preserve">Not Assessed</w:t>
      </w:r>
      <w:r>
        <w:t xml:space="preserve"> </w:t>
      </w:r>
      <w:r>
        <w:t xml:space="preserve">and are</w:t>
      </w:r>
      <w:r>
        <w:t xml:space="preserve"> </w:t>
      </w:r>
      <w:r>
        <w:rPr>
          <w:bCs/>
          <w:b/>
        </w:rPr>
        <w:t xml:space="preserve">not scanned automatically</w:t>
      </w:r>
      <w:r>
        <w:t xml:space="preserve"> </w:t>
      </w:r>
      <w:r>
        <w:t xml:space="preserve">— you run a scan when ready. Duplicate cities and domains are skipped automatically.</w:t>
      </w:r>
    </w:p>
    <w:bookmarkEnd w:id="26"/>
    <w:bookmarkStart w:id="27" w:name="edit-or-remove-a-city"/>
    <w:p>
      <w:pPr>
        <w:pStyle w:val="Heading2"/>
      </w:pPr>
      <w:r>
        <w:t xml:space="preserve">Edit or remove a city</w:t>
      </w:r>
    </w:p>
    <w:p>
      <w:pPr>
        <w:pStyle w:val="FirstParagraph"/>
      </w:pPr>
      <w:r>
        <w:t xml:space="preserve">The</w:t>
      </w:r>
      <w:r>
        <w:t xml:space="preserve"> </w:t>
      </w:r>
      <w:r>
        <w:rPr>
          <w:bCs/>
          <w:b/>
        </w:rPr>
        <w:t xml:space="preserve">pencil</w:t>
      </w:r>
      <w:r>
        <w:t xml:space="preserve"> </w:t>
      </w:r>
      <w:r>
        <w:t xml:space="preserve">icon opens an edit dialog for a city’s name, jurisdiction, domain, seed URL, tags, population, and its WAF flag. Every change is written to the Audit Log. The</w:t>
      </w:r>
      <w:r>
        <w:t xml:space="preserve"> </w:t>
      </w:r>
      <w:r>
        <w:rPr>
          <w:bCs/>
          <w:b/>
        </w:rPr>
        <w:t xml:space="preserve">trash</w:t>
      </w:r>
      <w:r>
        <w:t xml:space="preserve"> </w:t>
      </w:r>
      <w:r>
        <w:t xml:space="preserve">icon deactivates a city (it stops future scans but keeps the record).</w:t>
      </w:r>
    </w:p>
    <w:bookmarkEnd w:id="27"/>
    <w:bookmarkStart w:id="28" w:name="the-scan-type-indicator"/>
    <w:p>
      <w:pPr>
        <w:pStyle w:val="Heading2"/>
      </w:pPr>
      <w:r>
        <w:t xml:space="preserve">The Scan Type indicator</w:t>
      </w:r>
    </w:p>
    <w:p>
      <w:pPr>
        <w:pStyle w:val="FirstParagraph"/>
      </w:pPr>
      <w:r>
        <w:t xml:space="preserve">The</w:t>
      </w:r>
      <w:r>
        <w:t xml:space="preserve"> </w:t>
      </w:r>
      <w:r>
        <w:rPr>
          <w:bCs/>
          <w:b/>
        </w:rPr>
        <w:t xml:space="preserve">Scan Type</w:t>
      </w:r>
      <w:r>
        <w:t xml:space="preserve"> </w:t>
      </w:r>
      <w:r>
        <w:t xml:space="preserve">column shows how a city was reached:</w:t>
      </w:r>
      <w:r>
        <w:t xml:space="preserve"> </w:t>
      </w:r>
      <w:r>
        <w:rPr>
          <w:bCs/>
          <w:b/>
        </w:rPr>
        <w:t xml:space="preserve">Direct</w:t>
      </w:r>
      <w:r>
        <w:t xml:space="preserve"> </w:t>
      </w:r>
      <w:r>
        <w:t xml:space="preserve">(a normal crawl) or</w:t>
      </w:r>
      <w:r>
        <w:t xml:space="preserve"> </w:t>
      </w:r>
      <w:r>
        <w:rPr>
          <w:bCs/>
          <w:b/>
        </w:rPr>
        <w:t xml:space="preserve">Proxy</w:t>
      </w:r>
      <w:r>
        <w:t xml:space="preserve"> </w:t>
      </w:r>
      <w:r>
        <w:t xml:space="preserve">(a residential proxy was used because the site is protected by a web application firewall). This tells you whether a city needed the heavier scan path.</w:t>
      </w:r>
    </w:p>
    <w:bookmarkEnd w:id="28"/>
    <w:bookmarkEnd w:id="29"/>
    <w:bookmarkStart w:id="31" w:name="running-scans"/>
    <w:p>
      <w:pPr>
        <w:pStyle w:val="Heading1"/>
      </w:pPr>
      <w:r>
        <w:t xml:space="preserve">Running Scans</w:t>
      </w:r>
    </w:p>
    <w:p>
      <w:pPr>
        <w:pStyle w:val="FirstParagraph"/>
      </w:pPr>
      <w:r>
        <w:t xml:space="preserve">Scanning is always a deliberate action (it uses paid resources), so newly added or imported cities stay</w:t>
      </w:r>
      <w:r>
        <w:t xml:space="preserve"> </w:t>
      </w:r>
      <w:r>
        <w:rPr>
          <w:bCs/>
          <w:b/>
        </w:rPr>
        <w:t xml:space="preserve">Not Assessed</w:t>
      </w:r>
      <w:r>
        <w:t xml:space="preserve"> </w:t>
      </w:r>
      <w:r>
        <w:t xml:space="preserve">until you scan them.</w:t>
      </w:r>
    </w:p>
    <w:p>
      <w:pPr>
        <w:numPr>
          <w:ilvl w:val="0"/>
          <w:numId w:val="1003"/>
        </w:numPr>
        <w:pStyle w:val="Compact"/>
      </w:pPr>
      <w:r>
        <w:rPr>
          <w:bCs/>
          <w:b/>
        </w:rPr>
        <w:t xml:space="preserve">Run Audit</w:t>
      </w:r>
      <w:r>
        <w:t xml:space="preserve"> </w:t>
      </w:r>
      <w:r>
        <w:t xml:space="preserve">(Dashboard) scans every active city.</w:t>
      </w:r>
    </w:p>
    <w:p>
      <w:pPr>
        <w:numPr>
          <w:ilvl w:val="0"/>
          <w:numId w:val="1003"/>
        </w:numPr>
        <w:pStyle w:val="Compact"/>
      </w:pPr>
      <w:r>
        <w:rPr>
          <w:bCs/>
          <w:b/>
        </w:rPr>
        <w:t xml:space="preserve">Re-Audit</w:t>
      </w:r>
      <w:r>
        <w:t xml:space="preserve"> </w:t>
      </w:r>
      <w:r>
        <w:t xml:space="preserve">or</w:t>
      </w:r>
      <w:r>
        <w:t xml:space="preserve"> </w:t>
      </w:r>
      <w:r>
        <w:rPr>
          <w:bCs/>
          <w:b/>
        </w:rPr>
        <w:t xml:space="preserve">Deep Scan</w:t>
      </w:r>
      <w:r>
        <w:t xml:space="preserve"> </w:t>
      </w:r>
      <w:r>
        <w:t xml:space="preserve">(on a city’s detail page) scans just that city.</w:t>
      </w:r>
    </w:p>
    <w:p>
      <w:pPr>
        <w:pStyle w:val="FirstParagraph"/>
      </w:pPr>
      <w:r>
        <w:t xml:space="preserve">If a city’s site blocks ordinary scanners, the platform</w:t>
      </w:r>
      <w:r>
        <w:t xml:space="preserve"> </w:t>
      </w:r>
      <w:r>
        <w:rPr>
          <w:bCs/>
          <w:b/>
        </w:rPr>
        <w:t xml:space="preserve">automatically escalates</w:t>
      </w:r>
      <w:r>
        <w:t xml:space="preserve">: a direct crawl → a residential-proxy fetch → a server-side rendered fetch for the hardest, JavaScript-challenge firewalls. A small number of top-tier-protected sites may still return</w:t>
      </w:r>
      <w:r>
        <w:t xml:space="preserve"> </w:t>
      </w:r>
      <w:r>
        <w:rPr>
          <w:bCs/>
          <w:b/>
        </w:rPr>
        <w:t xml:space="preserve">Scan Failed</w:t>
      </w:r>
      <w:r>
        <w:t xml:space="preserve"> </w:t>
      </w:r>
      <w:r>
        <w:t xml:space="preserve">— an honest</w:t>
      </w:r>
      <w:r>
        <w:t xml:space="preserve"> </w:t>
      </w:r>
      <w:r>
        <w:t xml:space="preserve">“</w:t>
      </w:r>
      <w:r>
        <w:t xml:space="preserve">we couldn’t safely read the page,</w:t>
      </w:r>
      <w:r>
        <w:t xml:space="preserve">”</w:t>
      </w:r>
      <w:r>
        <w:t xml:space="preserve"> </w:t>
      </w:r>
      <w:r>
        <w:t xml:space="preserve">never a false</w:t>
      </w:r>
      <w:r>
        <w:t xml:space="preserve"> </w:t>
      </w:r>
      <w:r>
        <w:t xml:space="preserve">“</w:t>
      </w:r>
      <w:r>
        <w:t xml:space="preserve">all clear.</w:t>
      </w:r>
      <w:r>
        <w:t xml:space="preserve">”</w:t>
      </w:r>
    </w:p>
    <w:bookmarkStart w:id="30" w:name="what-the-statuses-mean"/>
    <w:p>
      <w:pPr>
        <w:pStyle w:val="Heading2"/>
      </w:pPr>
      <w:r>
        <w:t xml:space="preserve">What the statuses mean</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Meaning</w:t>
            </w:r>
          </w:p>
        </w:tc>
      </w:tr>
      <w:tr>
        <w:tc>
          <w:tcPr/>
          <w:p>
            <w:pPr>
              <w:pStyle w:val="Compact"/>
              <w:jc w:val="left"/>
            </w:pPr>
            <w:r>
              <w:rPr>
                <w:bCs/>
                <w:b/>
              </w:rPr>
              <w:t xml:space="preserve">Not Assessed</w:t>
            </w:r>
          </w:p>
        </w:tc>
        <w:tc>
          <w:tcPr/>
          <w:p>
            <w:pPr>
              <w:pStyle w:val="Compact"/>
              <w:jc w:val="left"/>
            </w:pPr>
            <w:r>
              <w:t xml:space="preserve">Added but not yet scanned.</w:t>
            </w:r>
          </w:p>
        </w:tc>
      </w:tr>
      <w:tr>
        <w:tc>
          <w:tcPr/>
          <w:p>
            <w:pPr>
              <w:pStyle w:val="Compact"/>
              <w:jc w:val="left"/>
            </w:pPr>
            <w:r>
              <w:rPr>
                <w:bCs/>
                <w:b/>
              </w:rPr>
              <w:t xml:space="preserve">No AI Detected</w:t>
            </w:r>
          </w:p>
        </w:tc>
        <w:tc>
          <w:tcPr/>
          <w:p>
            <w:pPr>
              <w:pStyle w:val="Compact"/>
              <w:jc w:val="left"/>
            </w:pPr>
            <w:r>
              <w:t xml:space="preserve">Scanned; no AI system found on the public site.</w:t>
            </w:r>
          </w:p>
        </w:tc>
      </w:tr>
      <w:tr>
        <w:tc>
          <w:tcPr/>
          <w:p>
            <w:pPr>
              <w:pStyle w:val="Compact"/>
              <w:jc w:val="left"/>
            </w:pPr>
            <w:r>
              <w:rPr>
                <w:bCs/>
                <w:b/>
              </w:rPr>
              <w:t xml:space="preserve">In Cure</w:t>
            </w:r>
          </w:p>
        </w:tc>
        <w:tc>
          <w:tcPr/>
          <w:p>
            <w:pPr>
              <w:pStyle w:val="Compact"/>
              <w:jc w:val="left"/>
            </w:pPr>
            <w:r>
              <w:t xml:space="preserve">AI found with a disclosure gap; inside the 60-day cure window.</w:t>
            </w:r>
          </w:p>
        </w:tc>
      </w:tr>
      <w:tr>
        <w:tc>
          <w:tcPr/>
          <w:p>
            <w:pPr>
              <w:pStyle w:val="Compact"/>
              <w:jc w:val="left"/>
            </w:pPr>
            <w:r>
              <w:rPr>
                <w:bCs/>
                <w:b/>
              </w:rPr>
              <w:t xml:space="preserve">Non-Compliant</w:t>
            </w:r>
          </w:p>
        </w:tc>
        <w:tc>
          <w:tcPr/>
          <w:p>
            <w:pPr>
              <w:pStyle w:val="Compact"/>
              <w:jc w:val="left"/>
            </w:pPr>
            <w:r>
              <w:t xml:space="preserve">A gap that is not (or no longer) in an open cure window.</w:t>
            </w:r>
          </w:p>
        </w:tc>
      </w:tr>
      <w:tr>
        <w:tc>
          <w:tcPr/>
          <w:p>
            <w:pPr>
              <w:pStyle w:val="Compact"/>
              <w:jc w:val="left"/>
            </w:pPr>
            <w:r>
              <w:rPr>
                <w:bCs/>
                <w:b/>
              </w:rPr>
              <w:t xml:space="preserve">Expired</w:t>
            </w:r>
          </w:p>
        </w:tc>
        <w:tc>
          <w:tcPr/>
          <w:p>
            <w:pPr>
              <w:pStyle w:val="Compact"/>
              <w:jc w:val="left"/>
            </w:pPr>
            <w:r>
              <w:t xml:space="preserve">The 60-day cure window elapsed without remediation.</w:t>
            </w:r>
          </w:p>
        </w:tc>
      </w:tr>
      <w:tr>
        <w:tc>
          <w:tcPr/>
          <w:p>
            <w:pPr>
              <w:pStyle w:val="Compact"/>
              <w:jc w:val="left"/>
            </w:pPr>
            <w:r>
              <w:rPr>
                <w:bCs/>
                <w:b/>
              </w:rPr>
              <w:t xml:space="preserve">Review Needed</w:t>
            </w:r>
          </w:p>
        </w:tc>
        <w:tc>
          <w:tcPr/>
          <w:p>
            <w:pPr>
              <w:pStyle w:val="Compact"/>
              <w:jc w:val="left"/>
            </w:pPr>
            <w:r>
              <w:t xml:space="preserve">A candidate AI system was found that needs human review.</w:t>
            </w:r>
          </w:p>
        </w:tc>
      </w:tr>
      <w:tr>
        <w:tc>
          <w:tcPr/>
          <w:p>
            <w:pPr>
              <w:pStyle w:val="Compact"/>
              <w:jc w:val="left"/>
            </w:pPr>
            <w:r>
              <w:rPr>
                <w:bCs/>
                <w:b/>
              </w:rPr>
              <w:t xml:space="preserve">Scan Failed</w:t>
            </w:r>
          </w:p>
        </w:tc>
        <w:tc>
          <w:tcPr/>
          <w:p>
            <w:pPr>
              <w:pStyle w:val="Compact"/>
              <w:jc w:val="left"/>
            </w:pPr>
            <w:r>
              <w:t xml:space="preserve">The site could not be safely read (e.g., a strong firewall).</w:t>
            </w:r>
          </w:p>
        </w:tc>
      </w:tr>
    </w:tbl>
    <w:bookmarkEnd w:id="30"/>
    <w:bookmarkEnd w:id="31"/>
    <w:bookmarkStart w:id="32" w:name="reading-a-citys-results"/>
    <w:p>
      <w:pPr>
        <w:pStyle w:val="Heading1"/>
      </w:pPr>
      <w:r>
        <w:t xml:space="preserve">Reading a City’s Results</w:t>
      </w:r>
    </w:p>
    <w:p>
      <w:pPr>
        <w:pStyle w:val="FirstParagraph"/>
      </w:pPr>
      <w:r>
        <w:t xml:space="preserve">Click a city to open its detail page.</w:t>
      </w:r>
    </w:p>
    <w:p>
      <w:pPr>
        <w:numPr>
          <w:ilvl w:val="0"/>
          <w:numId w:val="1004"/>
        </w:numPr>
        <w:pStyle w:val="Compact"/>
      </w:pPr>
      <w:r>
        <w:rPr>
          <w:bCs/>
          <w:b/>
        </w:rPr>
        <w:t xml:space="preserve">AI Assets Detected</w:t>
      </w:r>
      <w:r>
        <w:t xml:space="preserve"> </w:t>
      </w:r>
      <w:r>
        <w:t xml:space="preserve">lists each AI system found, its vendor, the confidence, and whether it is a confirmed candidate awaiting review.</w:t>
      </w:r>
    </w:p>
    <w:p>
      <w:pPr>
        <w:numPr>
          <w:ilvl w:val="0"/>
          <w:numId w:val="1004"/>
        </w:numPr>
        <w:pStyle w:val="Compact"/>
      </w:pPr>
      <w:r>
        <w:rPr>
          <w:bCs/>
          <w:b/>
        </w:rPr>
        <w:t xml:space="preserve">Violations &amp; Cure Period</w:t>
      </w:r>
      <w:r>
        <w:t xml:space="preserve"> </w:t>
      </w:r>
      <w:r>
        <w:t xml:space="preserve">lists each disclosure gap with its statutory citation and days remaining.</w:t>
      </w:r>
    </w:p>
    <w:p>
      <w:pPr>
        <w:numPr>
          <w:ilvl w:val="0"/>
          <w:numId w:val="1004"/>
        </w:numPr>
        <w:pStyle w:val="Compact"/>
      </w:pPr>
      <w:r>
        <w:rPr>
          <w:bCs/>
          <w:b/>
        </w:rPr>
        <w:t xml:space="preserve">Cure Period Summary</w:t>
      </w:r>
      <w:r>
        <w:t xml:space="preserve"> </w:t>
      </w:r>
      <w:r>
        <w:t xml:space="preserve">shows the tightest deadline, the cure date, and the statutory basis.</w:t>
      </w:r>
    </w:p>
    <w:p>
      <w:pPr>
        <w:numPr>
          <w:ilvl w:val="0"/>
          <w:numId w:val="1004"/>
        </w:numPr>
        <w:pStyle w:val="Compact"/>
      </w:pPr>
      <w:r>
        <w:rPr>
          <w:bCs/>
          <w:b/>
        </w:rPr>
        <w:t xml:space="preserve">Violation Breakdown</w:t>
      </w:r>
      <w:r>
        <w:t xml:space="preserve"> </w:t>
      </w:r>
      <w:r>
        <w:t xml:space="preserve">counts findings by severity and how many need review.</w:t>
      </w:r>
    </w:p>
    <w:p>
      <w:pPr>
        <w:pStyle w:val="FirstParagraph"/>
      </w:pPr>
      <w:r>
        <w:t xml:space="preserve">Every city page repeats the reminder that findings are candidate signals requiring human and legal review.</w:t>
      </w:r>
    </w:p>
    <w:bookmarkEnd w:id="32"/>
    <w:bookmarkStart w:id="33" w:name="the-60-day-cure-clock"/>
    <w:p>
      <w:pPr>
        <w:pStyle w:val="Heading1"/>
      </w:pPr>
      <w:r>
        <w:t xml:space="preserve">The 60-Day Cure Clock</w:t>
      </w:r>
    </w:p>
    <w:p>
      <w:pPr>
        <w:pStyle w:val="FirstParagraph"/>
      </w:pPr>
      <w:r>
        <w:t xml:space="preserve">TRAIGA gives a 60-day window to fix a disclosure gap. Two things are important to understand:</w:t>
      </w:r>
    </w:p>
    <w:p>
      <w:pPr>
        <w:numPr>
          <w:ilvl w:val="0"/>
          <w:numId w:val="1005"/>
        </w:numPr>
        <w:pStyle w:val="Compact"/>
      </w:pPr>
      <w:r>
        <w:rPr>
          <w:bCs/>
          <w:b/>
        </w:rPr>
        <w:t xml:space="preserve">The clock starts when the violation is first detected — not when the city was added or last scanned.</w:t>
      </w:r>
      <w:r>
        <w:t xml:space="preserve"> </w:t>
      </w:r>
      <w:r>
        <w:t xml:space="preserve">A city added months ago but first flagged today correctly shows 60 days.</w:t>
      </w:r>
    </w:p>
    <w:p>
      <w:pPr>
        <w:numPr>
          <w:ilvl w:val="0"/>
          <w:numId w:val="1005"/>
        </w:numPr>
        <w:pStyle w:val="Compact"/>
      </w:pPr>
      <w:r>
        <w:rPr>
          <w:bCs/>
          <w:b/>
        </w:rPr>
        <w:t xml:space="preserve">The countdown is live.</w:t>
      </w:r>
      <w:r>
        <w:t xml:space="preserve"> </w:t>
      </w:r>
      <w:r>
        <w:t xml:space="preserve">It ticks down every day toward the cure deadline and does not reset when you re-scan. A gap left uncured past the deadline becomes</w:t>
      </w:r>
      <w:r>
        <w:t xml:space="preserve"> </w:t>
      </w:r>
      <w:r>
        <w:rPr>
          <w:bCs/>
          <w:b/>
        </w:rPr>
        <w:t xml:space="preserve">Expired</w:t>
      </w:r>
      <w:r>
        <w:t xml:space="preserve"> </w:t>
      </w:r>
      <w:r>
        <w:t xml:space="preserve">and is referable to the Texas Attorney General.</w:t>
      </w:r>
    </w:p>
    <w:bookmarkEnd w:id="33"/>
    <w:bookmarkStart w:id="37" w:name="getting-proving-compliance"/>
    <w:p>
      <w:pPr>
        <w:pStyle w:val="Heading1"/>
      </w:pPr>
      <w:r>
        <w:t xml:space="preserve">Getting &amp; Proving Compliance</w:t>
      </w:r>
    </w:p>
    <w:p>
      <w:pPr>
        <w:pStyle w:val="FirstParagraph"/>
      </w:pPr>
      <w:r>
        <w:t xml:space="preserve">The city detail page includes tools to move from</w:t>
      </w:r>
      <w:r>
        <w:t xml:space="preserve"> </w:t>
      </w:r>
      <w:r>
        <w:t xml:space="preserve">“</w:t>
      </w:r>
      <w:r>
        <w:t xml:space="preserve">problem found</w:t>
      </w:r>
      <w:r>
        <w:t xml:space="preserve">”</w:t>
      </w:r>
      <w:r>
        <w:t xml:space="preserve"> </w:t>
      </w:r>
      <w:r>
        <w:t xml:space="preserve">to</w:t>
      </w:r>
      <w:r>
        <w:t xml:space="preserve"> </w:t>
      </w:r>
      <w:r>
        <w:t xml:space="preserve">“</w:t>
      </w:r>
      <w:r>
        <w:t xml:space="preserve">fixed and documented</w:t>
      </w:r>
      <w:r>
        <w:t xml:space="preserve">”</w:t>
      </w:r>
      <w:r>
        <w:t xml:space="preserve">:</w:t>
      </w:r>
    </w:p>
    <w:p>
      <w:pPr>
        <w:numPr>
          <w:ilvl w:val="0"/>
          <w:numId w:val="1006"/>
        </w:numPr>
        <w:pStyle w:val="Compact"/>
      </w:pPr>
      <w:r>
        <w:rPr>
          <w:bCs/>
          <w:b/>
        </w:rPr>
        <w:t xml:space="preserve">AI Use-Case Inventory</w:t>
      </w:r>
      <w:r>
        <w:t xml:space="preserve"> </w:t>
      </w:r>
      <w:r>
        <w:t xml:space="preserve">— declare AI systems your team uses, assign owners, and attest details. Each entry shows</w:t>
      </w:r>
      <w:r>
        <w:t xml:space="preserve"> </w:t>
      </w:r>
      <w:r>
        <w:rPr>
          <w:bCs/>
          <w:b/>
        </w:rPr>
        <w:t xml:space="preserve">where it came from</w:t>
      </w:r>
      <w:r>
        <w:t xml:space="preserve"> </w:t>
      </w:r>
      <w:r>
        <w:t xml:space="preserve">and whether it is actually running (see below).</w:t>
      </w:r>
    </w:p>
    <w:p>
      <w:pPr>
        <w:numPr>
          <w:ilvl w:val="0"/>
          <w:numId w:val="1006"/>
        </w:numPr>
        <w:pStyle w:val="Compact"/>
      </w:pPr>
      <w:r>
        <w:rPr>
          <w:bCs/>
          <w:b/>
        </w:rPr>
        <w:t xml:space="preserve">Compliance Report</w:t>
      </w:r>
      <w:r>
        <w:t xml:space="preserve"> </w:t>
      </w:r>
      <w:r>
        <w:t xml:space="preserve">— generate a formal report (executive summary, inventory, and violations with citations) for council or counsel.</w:t>
      </w:r>
    </w:p>
    <w:p>
      <w:pPr>
        <w:numPr>
          <w:ilvl w:val="0"/>
          <w:numId w:val="1006"/>
        </w:numPr>
        <w:pStyle w:val="Compact"/>
      </w:pPr>
      <w:r>
        <w:rPr>
          <w:bCs/>
          <w:b/>
        </w:rPr>
        <w:t xml:space="preserve">AI Use Policy</w:t>
      </w:r>
      <w:r>
        <w:t xml:space="preserve"> </w:t>
      </w:r>
      <w:r>
        <w:t xml:space="preserve">— generate a draft municipal AI use policy.</w:t>
      </w:r>
    </w:p>
    <w:p>
      <w:pPr>
        <w:numPr>
          <w:ilvl w:val="0"/>
          <w:numId w:val="1006"/>
        </w:numPr>
        <w:pStyle w:val="Compact"/>
      </w:pPr>
      <w:r>
        <w:rPr>
          <w:bCs/>
          <w:b/>
        </w:rPr>
        <w:t xml:space="preserve">AG Response Pack</w:t>
      </w:r>
      <w:r>
        <w:t xml:space="preserve"> </w:t>
      </w:r>
      <w:r>
        <w:t xml:space="preserve">— assemble documentation responsive to an Attorney General inquiry.</w:t>
      </w:r>
    </w:p>
    <w:p>
      <w:pPr>
        <w:numPr>
          <w:ilvl w:val="0"/>
          <w:numId w:val="1006"/>
        </w:numPr>
        <w:pStyle w:val="Compact"/>
      </w:pPr>
      <w:r>
        <w:rPr>
          <w:bCs/>
          <w:b/>
        </w:rPr>
        <w:t xml:space="preserve">Add Data menu</w:t>
      </w:r>
      <w:r>
        <w:t xml:space="preserve"> </w:t>
      </w:r>
      <w:r>
        <w:t xml:space="preserve">— the four additional discovery inputs that widen the inventory beyond the public website now live in one</w:t>
      </w:r>
      <w:r>
        <w:t xml:space="preserve"> </w:t>
      </w:r>
      <w:r>
        <w:rPr>
          <w:bCs/>
          <w:b/>
        </w:rPr>
        <w:t xml:space="preserve">Add Data</w:t>
      </w:r>
      <w:r>
        <w:t xml:space="preserve"> </w:t>
      </w:r>
      <w:r>
        <w:t xml:space="preserve">dropdown next to</w:t>
      </w:r>
      <w:r>
        <w:t xml:space="preserve"> </w:t>
      </w:r>
      <w:r>
        <w:rPr>
          <w:iCs/>
          <w:i/>
        </w:rPr>
        <w:t xml:space="preserve">Declare AI System</w:t>
      </w:r>
      <w:r>
        <w:t xml:space="preserve">:</w:t>
      </w:r>
      <w:r>
        <w:t xml:space="preserve"> </w:t>
      </w:r>
      <w:r>
        <w:rPr>
          <w:bCs/>
          <w:b/>
        </w:rPr>
        <w:t xml:space="preserve">Sync Staff Usage</w:t>
      </w:r>
      <w:r>
        <w:t xml:space="preserve"> </w:t>
      </w:r>
      <w:r>
        <w:t xml:space="preserve">(Sentinel telemetry),</w:t>
      </w:r>
      <w:r>
        <w:t xml:space="preserve"> </w:t>
      </w:r>
      <w:r>
        <w:rPr>
          <w:bCs/>
          <w:b/>
        </w:rPr>
        <w:t xml:space="preserve">Import Procurement</w:t>
      </w:r>
      <w:r>
        <w:t xml:space="preserve"> </w:t>
      </w:r>
      <w:r>
        <w:t xml:space="preserve">(vendor/spend/contract files),</w:t>
      </w:r>
      <w:r>
        <w:t xml:space="preserve"> </w:t>
      </w:r>
      <w:r>
        <w:rPr>
          <w:bCs/>
          <w:b/>
        </w:rPr>
        <w:t xml:space="preserve">Scan Agendas</w:t>
      </w:r>
      <w:r>
        <w:t xml:space="preserve"> </w:t>
      </w:r>
      <w:r>
        <w:t xml:space="preserve">(council/EDC agendas), and</w:t>
      </w:r>
      <w:r>
        <w:t xml:space="preserve"> </w:t>
      </w:r>
      <w:r>
        <w:rPr>
          <w:bCs/>
          <w:b/>
        </w:rPr>
        <w:t xml:space="preserve">OAuth Export</w:t>
      </w:r>
      <w:r>
        <w:t xml:space="preserve"> </w:t>
      </w:r>
      <w:r>
        <w:t xml:space="preserve">(Microsoft Entra / Google Workspace, dry run by default). Same permissions and behavior as the former individual buttons.</w:t>
      </w:r>
    </w:p>
    <w:bookmarkStart w:id="34" w:name="X27965e1a890999c0f5d72c5d69f6c4c1619b6bd"/>
    <w:p>
      <w:pPr>
        <w:pStyle w:val="Heading2"/>
      </w:pPr>
      <w:r>
        <w:t xml:space="preserve">Knowing where an AI system came from — and whether it is live</w:t>
      </w:r>
    </w:p>
    <w:p>
      <w:pPr>
        <w:pStyle w:val="FirstParagraph"/>
      </w:pPr>
      <w:r>
        <w:t xml:space="preserve">Every row in the AI Use-Case Inventory carries two labels, and the difference matters:</w:t>
      </w:r>
    </w:p>
    <w:p>
      <w:pPr>
        <w:pStyle w:val="BodyText"/>
      </w:pPr>
      <w:r>
        <w:rPr>
          <w:bCs/>
          <w:b/>
        </w:rPr>
        <w:t xml:space="preserve">Where it was found</w:t>
      </w:r>
      <w:r>
        <w:t xml:space="preserve"> </w:t>
      </w:r>
      <w:r>
        <w:t xml:space="preserve">—</w:t>
      </w:r>
      <w:r>
        <w:t xml:space="preserve"> </w:t>
      </w:r>
      <w:r>
        <w:rPr>
          <w:iCs/>
          <w:i/>
        </w:rPr>
        <w:t xml:space="preserve">Website scan</w:t>
      </w:r>
      <w:r>
        <w:t xml:space="preserve">,</w:t>
      </w:r>
      <w:r>
        <w:t xml:space="preserve"> </w:t>
      </w:r>
      <w:r>
        <w:rPr>
          <w:iCs/>
          <w:i/>
        </w:rPr>
        <w:t xml:space="preserve">Council agenda</w:t>
      </w:r>
      <w:r>
        <w:t xml:space="preserve">,</w:t>
      </w:r>
      <w:r>
        <w:t xml:space="preserve"> </w:t>
      </w:r>
      <w:r>
        <w:rPr>
          <w:iCs/>
          <w:i/>
        </w:rPr>
        <w:t xml:space="preserve">Procurement</w:t>
      </w:r>
      <w:r>
        <w:t xml:space="preserve">,</w:t>
      </w:r>
      <w:r>
        <w:t xml:space="preserve"> </w:t>
      </w:r>
      <w:r>
        <w:rPr>
          <w:iCs/>
          <w:i/>
        </w:rPr>
        <w:t xml:space="preserve">Budget</w:t>
      </w:r>
      <w:r>
        <w:t xml:space="preserve">,</w:t>
      </w:r>
      <w:r>
        <w:t xml:space="preserve"> </w:t>
      </w:r>
      <w:r>
        <w:rPr>
          <w:iCs/>
          <w:i/>
        </w:rPr>
        <w:t xml:space="preserve">Staff usage</w:t>
      </w:r>
      <w:r>
        <w:t xml:space="preserve">, or</w:t>
      </w:r>
      <w:r>
        <w:t xml:space="preserve"> </w:t>
      </w:r>
      <w:r>
        <w:rPr>
          <w:iCs/>
          <w:i/>
        </w:rPr>
        <w:t xml:space="preserve">Declared</w:t>
      </w:r>
      <w:r>
        <w:t xml:space="preserve"> </w:t>
      </w:r>
      <w:r>
        <w:t xml:space="preserve">(entered by your team).</w:t>
      </w:r>
    </w:p>
    <w:p>
      <w:pPr>
        <w:pStyle w:val="BodyText"/>
      </w:pPr>
      <w:r>
        <w:rPr>
          <w:bCs/>
          <w:b/>
        </w:rPr>
        <w:t xml:space="preserve">Whether it is deployed:</w:t>
      </w:r>
    </w:p>
    <w:p>
      <w:pPr>
        <w:numPr>
          <w:ilvl w:val="0"/>
          <w:numId w:val="1007"/>
        </w:numPr>
        <w:pStyle w:val="Compact"/>
      </w:pPr>
      <w:r>
        <w:rPr>
          <w:bCs/>
          <w:b/>
        </w:rPr>
        <w:t xml:space="preserve">Live on site</w:t>
      </w:r>
      <w:r>
        <w:t xml:space="preserve"> </w:t>
      </w:r>
      <w:r>
        <w:t xml:space="preserve">— the scanner observed it running on your public website. This is a real disclosure obligation right now.</w:t>
      </w:r>
    </w:p>
    <w:p>
      <w:pPr>
        <w:numPr>
          <w:ilvl w:val="0"/>
          <w:numId w:val="1007"/>
        </w:numPr>
        <w:pStyle w:val="Compact"/>
      </w:pPr>
      <w:r>
        <w:rPr>
          <w:bCs/>
          <w:b/>
        </w:rPr>
        <w:t xml:space="preserve">Procured · verify</w:t>
      </w:r>
      <w:r>
        <w:t xml:space="preserve"> </w:t>
      </w:r>
      <w:r>
        <w:t xml:space="preserve">/</w:t>
      </w:r>
      <w:r>
        <w:t xml:space="preserve"> </w:t>
      </w:r>
      <w:r>
        <w:rPr>
          <w:bCs/>
          <w:b/>
        </w:rPr>
        <w:t xml:space="preserve">Budgeted · verify</w:t>
      </w:r>
      <w:r>
        <w:t xml:space="preserve"> </w:t>
      </w:r>
      <w:r>
        <w:t xml:space="preserve">— it was found in a contract, agenda, or budget record. The city has</w:t>
      </w:r>
      <w:r>
        <w:t xml:space="preserve"> </w:t>
      </w:r>
      <w:r>
        <w:rPr>
          <w:iCs/>
          <w:i/>
        </w:rPr>
        <w:t xml:space="preserve">bought or planned</w:t>
      </w:r>
      <w:r>
        <w:t xml:space="preserve"> </w:t>
      </w:r>
      <w:r>
        <w:t xml:space="preserve">it; that does</w:t>
      </w:r>
      <w:r>
        <w:t xml:space="preserve"> </w:t>
      </w:r>
      <w:r>
        <w:rPr>
          <w:bCs/>
          <w:b/>
        </w:rPr>
        <w:t xml:space="preserve">not</w:t>
      </w:r>
      <w:r>
        <w:t xml:space="preserve"> </w:t>
      </w:r>
      <w:r>
        <w:t xml:space="preserve">mean it is switched on yet. Confirm whether it is actually deployed before treating it as a live disclosure obligation.</w:t>
      </w:r>
    </w:p>
    <w:p>
      <w:pPr>
        <w:numPr>
          <w:ilvl w:val="0"/>
          <w:numId w:val="1007"/>
        </w:numPr>
        <w:pStyle w:val="Compact"/>
      </w:pPr>
      <w:r>
        <w:rPr>
          <w:bCs/>
          <w:b/>
        </w:rPr>
        <w:t xml:space="preserve">Staff-reported</w:t>
      </w:r>
      <w:r>
        <w:t xml:space="preserve"> </w:t>
      </w:r>
      <w:r>
        <w:t xml:space="preserve">— seen in staff browser usage (Sentinel).</w:t>
      </w:r>
    </w:p>
    <w:p>
      <w:pPr>
        <w:numPr>
          <w:ilvl w:val="0"/>
          <w:numId w:val="1007"/>
        </w:numPr>
        <w:pStyle w:val="Compact"/>
      </w:pPr>
      <w:r>
        <w:rPr>
          <w:bCs/>
          <w:b/>
        </w:rPr>
        <w:t xml:space="preserve">Self-declared</w:t>
      </w:r>
      <w:r>
        <w:t xml:space="preserve"> </w:t>
      </w:r>
      <w:r>
        <w:t xml:space="preserve">— your team entered it.</w:t>
      </w:r>
    </w:p>
    <w:p>
      <w:pPr>
        <w:pStyle w:val="FirstParagraph"/>
      </w:pPr>
      <w:r>
        <w:t xml:space="preserve">This distinction protects you from a false alarm: a tool approved in a January agenda but not launched until June is not a disclosure violation in February. Findings from records never create a violation or start a cure clock — only what is observed live on your website does.</w:t>
      </w:r>
    </w:p>
    <w:bookmarkEnd w:id="34"/>
    <w:bookmarkStart w:id="35" w:name="discovering-ai-from-council-agendas"/>
    <w:p>
      <w:pPr>
        <w:pStyle w:val="Heading2"/>
      </w:pPr>
      <w:r>
        <w:t xml:space="preserve">Discovering AI from council agendas</w:t>
      </w:r>
    </w:p>
    <w:p>
      <w:pPr>
        <w:pStyle w:val="FirstParagraph"/>
      </w:pPr>
      <w:r>
        <w:t xml:space="preserve">The</w:t>
      </w:r>
      <w:r>
        <w:t xml:space="preserve"> </w:t>
      </w:r>
      <w:r>
        <w:rPr>
          <w:bCs/>
          <w:b/>
        </w:rPr>
        <w:t xml:space="preserve">Agendas</w:t>
      </w:r>
      <w:r>
        <w:t xml:space="preserve"> </w:t>
      </w:r>
      <w:r>
        <w:t xml:space="preserve">tool scans a city’s council or EDC meeting agendas for awarded technology contracts and adds any AI it finds to the inventory as</w:t>
      </w:r>
      <w:r>
        <w:t xml:space="preserve"> </w:t>
      </w:r>
      <w:r>
        <w:rPr>
          <w:iCs/>
          <w:i/>
        </w:rPr>
        <w:t xml:space="preserve">procured (agenda)</w:t>
      </w:r>
      <w:r>
        <w:t xml:space="preserve">. You can point it at a Legistar portal (by client slug), an agenda PDF, or pasted agenda text, and set a date range (12 months by default).</w:t>
      </w:r>
      <w:r>
        <w:t xml:space="preserve"> </w:t>
      </w:r>
      <w:r>
        <w:rPr>
          <w:bCs/>
          <w:b/>
        </w:rPr>
        <w:t xml:space="preserve">You only need to enter the Legistar slug once per city</w:t>
      </w:r>
      <w:r>
        <w:t xml:space="preserve"> </w:t>
      </w:r>
      <w:r>
        <w:t xml:space="preserve">— it is remembered (and, where the city’s website links its agenda portal, detected automatically), so it is filled in for you next time. Zoning and advisory items are skipped, and every result is a candidate for human review.</w:t>
      </w:r>
    </w:p>
    <w:p>
      <w:pPr>
        <w:pStyle w:val="BodyText"/>
      </w:pPr>
      <w:r>
        <w:t xml:space="preserve">When the scan finishes, the result shows how many items were screened and a badge naming</w:t>
      </w:r>
      <w:r>
        <w:t xml:space="preserve"> </w:t>
      </w:r>
      <w:r>
        <w:rPr>
          <w:bCs/>
          <w:b/>
        </w:rPr>
        <w:t xml:space="preserve">which extractor read them</w:t>
      </w:r>
      <w:r>
        <w:t xml:space="preserve">:</w:t>
      </w:r>
    </w:p>
    <w:p>
      <w:pPr>
        <w:numPr>
          <w:ilvl w:val="0"/>
          <w:numId w:val="1008"/>
        </w:numPr>
        <w:pStyle w:val="Compact"/>
      </w:pPr>
      <w:r>
        <w:rPr>
          <w:bCs/>
          <w:b/>
        </w:rPr>
        <w:t xml:space="preserve">Extracted via Vertex (Gemini)</w:t>
      </w:r>
      <w:r>
        <w:t xml:space="preserve"> </w:t>
      </w:r>
      <w:r>
        <w:t xml:space="preserve">— the AI extractor read every item. A result of zero here is a reliable</w:t>
      </w:r>
      <w:r>
        <w:t xml:space="preserve"> </w:t>
      </w:r>
      <w:r>
        <w:t xml:space="preserve">“</w:t>
      </w:r>
      <w:r>
        <w:t xml:space="preserve">no AI contracts found</w:t>
      </w:r>
      <w:r>
        <w:t xml:space="preserve">”</w:t>
      </w:r>
      <w:r>
        <w:t xml:space="preserve"> </w:t>
      </w:r>
      <w:r>
        <w:t xml:space="preserve">for that window.</w:t>
      </w:r>
    </w:p>
    <w:p>
      <w:pPr>
        <w:numPr>
          <w:ilvl w:val="0"/>
          <w:numId w:val="1008"/>
        </w:numPr>
        <w:pStyle w:val="Compact"/>
      </w:pPr>
      <w:r>
        <w:rPr>
          <w:bCs/>
          <w:b/>
        </w:rPr>
        <w:t xml:space="preserve">Vertex (Gemini) — some items used keyword fallback</w:t>
      </w:r>
      <w:r>
        <w:t xml:space="preserve"> </w:t>
      </w:r>
      <w:r>
        <w:t xml:space="preserve">— most items were read by the AI extractor, but one or more fell back to the simpler keyword screen.</w:t>
      </w:r>
    </w:p>
    <w:p>
      <w:pPr>
        <w:numPr>
          <w:ilvl w:val="0"/>
          <w:numId w:val="1008"/>
        </w:numPr>
        <w:pStyle w:val="Compact"/>
      </w:pPr>
      <w:r>
        <w:rPr>
          <w:bCs/>
          <w:b/>
        </w:rPr>
        <w:t xml:space="preserve">Vertex unavailable — keyword fallback used</w:t>
      </w:r>
      <w:r>
        <w:t xml:space="preserve"> </w:t>
      </w:r>
      <w:r>
        <w:t xml:space="preserve">— the AI extractor could not run, so a plain keyword screen was used instead; consider re-running once it is available.</w:t>
      </w:r>
    </w:p>
    <w:p>
      <w:pPr>
        <w:numPr>
          <w:ilvl w:val="0"/>
          <w:numId w:val="1008"/>
        </w:numPr>
        <w:pStyle w:val="Compact"/>
      </w:pPr>
      <w:r>
        <w:rPr>
          <w:bCs/>
          <w:b/>
        </w:rPr>
        <w:t xml:space="preserve">Keyword extractor (no LLM)</w:t>
      </w:r>
      <w:r>
        <w:t xml:space="preserve"> </w:t>
      </w:r>
      <w:r>
        <w:t xml:space="preserve">— the AI extractor is turned off in Settings; the keyword screen was used by design.</w:t>
      </w:r>
    </w:p>
    <w:p>
      <w:pPr>
        <w:pStyle w:val="FirstParagraph"/>
      </w:pPr>
      <w:r>
        <w:t xml:space="preserve">This badge tells you at a glance whether a</w:t>
      </w:r>
      <w:r>
        <w:t xml:space="preserve"> </w:t>
      </w:r>
      <w:r>
        <w:t xml:space="preserve">“</w:t>
      </w:r>
      <w:r>
        <w:t xml:space="preserve">0 found</w:t>
      </w:r>
      <w:r>
        <w:t xml:space="preserve">”</w:t>
      </w:r>
      <w:r>
        <w:t xml:space="preserve"> </w:t>
      </w:r>
      <w:r>
        <w:t xml:space="preserve">result means</w:t>
      </w:r>
      <w:r>
        <w:t xml:space="preserve"> </w:t>
      </w:r>
      <w:r>
        <w:t xml:space="preserve">“</w:t>
      </w:r>
      <w:r>
        <w:t xml:space="preserve">checked thoroughly and clean</w:t>
      </w:r>
      <w:r>
        <w:t xml:space="preserve">”</w:t>
      </w:r>
      <w:r>
        <w:t xml:space="preserve"> </w:t>
      </w:r>
      <w:r>
        <w:t xml:space="preserve">or</w:t>
      </w:r>
      <w:r>
        <w:t xml:space="preserve"> </w:t>
      </w:r>
      <w:r>
        <w:t xml:space="preserve">“</w:t>
      </w:r>
      <w:r>
        <w:t xml:space="preserve">only a light check ran</w:t>
      </w:r>
      <w:r>
        <w:t xml:space="preserve">”</w:t>
      </w:r>
      <w:r>
        <w:t xml:space="preserve"> </w:t>
      </w:r>
      <w:r>
        <w:t xml:space="preserve">— no server logs required.</w:t>
      </w:r>
    </w:p>
    <w:bookmarkEnd w:id="35"/>
    <w:bookmarkStart w:id="36" w:name="Xc4ed773a6e1f6d8a6d7ac0e65bd377ed356aa7f"/>
    <w:p>
      <w:pPr>
        <w:pStyle w:val="Heading2"/>
      </w:pPr>
      <w:r>
        <w:t xml:space="preserve">Discovering shadow AI your staff signed up for (OAuth)</w:t>
      </w:r>
    </w:p>
    <w:p>
      <w:pPr>
        <w:pStyle w:val="FirstParagraph"/>
      </w:pPr>
      <w:r>
        <w:t xml:space="preserve">Most of the AI in a city is not on the website and never went through procurement — it is a</w:t>
      </w:r>
      <w:r>
        <w:t xml:space="preserve"> </w:t>
      </w:r>
      <w:r>
        <w:t xml:space="preserve">free tool an employee signed into with their work account. The</w:t>
      </w:r>
      <w:r>
        <w:t xml:space="preserve"> </w:t>
      </w:r>
      <w:r>
        <w:rPr>
          <w:bCs/>
          <w:b/>
        </w:rPr>
        <w:t xml:space="preserve">OAuth</w:t>
      </w:r>
      <w:r>
        <w:t xml:space="preserve"> </w:t>
      </w:r>
      <w:r>
        <w:t xml:space="preserve">tool finds it.</w:t>
      </w:r>
    </w:p>
    <w:p>
      <w:pPr>
        <w:pStyle w:val="BodyText"/>
      </w:pPr>
      <w:r>
        <w:rPr>
          <w:bCs/>
          <w:b/>
        </w:rPr>
        <w:t xml:space="preserve">Nothing is connected to your tenant, and we are given no access.</w:t>
      </w:r>
      <w:r>
        <w:t xml:space="preserve"> </w:t>
      </w:r>
      <w:r>
        <w:t xml:space="preserve">There is no app</w:t>
      </w:r>
      <w:r>
        <w:t xml:space="preserve"> </w:t>
      </w:r>
      <w:r>
        <w:t xml:space="preserve">registration, no client secret and no standing permission — so there is nothing for you to</w:t>
      </w:r>
      <w:r>
        <w:t xml:space="preserve"> </w:t>
      </w:r>
      <w:r>
        <w:t xml:space="preserve">revoke afterwards.</w:t>
      </w:r>
    </w:p>
    <w:p>
      <w:pPr>
        <w:pStyle w:val="BodyText"/>
      </w:pPr>
      <w:r>
        <w:t xml:space="preserve">The dialog walks your administrator through it step by step, with every command ready to</w:t>
      </w:r>
      <w:r>
        <w:t xml:space="preserve"> </w:t>
      </w:r>
      <w:r>
        <w:t xml:space="preserve">copy. Pick your identity provider at the top —</w:t>
      </w:r>
      <w:r>
        <w:t xml:space="preserve"> </w:t>
      </w:r>
      <w:r>
        <w:rPr>
          <w:bCs/>
          <w:b/>
        </w:rPr>
        <w:t xml:space="preserve">Microsoft 365</w:t>
      </w:r>
      <w:r>
        <w:t xml:space="preserve"> </w:t>
      </w:r>
      <w:r>
        <w:t xml:space="preserve">or</w:t>
      </w:r>
      <w:r>
        <w:t xml:space="preserve"> </w:t>
      </w:r>
      <w:r>
        <w:rPr>
          <w:bCs/>
          <w:b/>
        </w:rPr>
        <w:t xml:space="preserve">Google Workspace</w:t>
      </w:r>
      <w:r>
        <w:t xml:space="preserve"> </w:t>
      </w:r>
      <w:r>
        <w:t xml:space="preserve">—</w:t>
      </w:r>
      <w:r>
        <w:t xml:space="preserve"> </w:t>
      </w:r>
      <w:r>
        <w:t xml:space="preserve">and follow the steps for it. All paths produce the same result:</w:t>
      </w:r>
    </w:p>
    <w:p>
      <w:pPr>
        <w:numPr>
          <w:ilvl w:val="0"/>
          <w:numId w:val="1009"/>
        </w:numPr>
        <w:pStyle w:val="Compact"/>
      </w:pPr>
      <w:r>
        <w:rPr>
          <w:bCs/>
          <w:b/>
        </w:rPr>
        <w:t xml:space="preserve">Run the script.</w:t>
      </w:r>
      <w:r>
        <w:t xml:space="preserve"> </w:t>
      </w:r>
      <w:r>
        <w:t xml:space="preserve">A small read-only export script, downloaded from the dashboard so it</w:t>
      </w:r>
      <w:r>
        <w:t xml:space="preserve"> </w:t>
      </w:r>
      <w:r>
        <w:t xml:space="preserve">always matches the running system, executed on the administrator’s own machine while</w:t>
      </w:r>
      <w:r>
        <w:t xml:space="preserve"> </w:t>
      </w:r>
      <w:r>
        <w:t xml:space="preserve">signed in as themselves. The checksum is shown next to the download.</w:t>
      </w:r>
    </w:p>
    <w:p>
      <w:pPr>
        <w:numPr>
          <w:ilvl w:val="0"/>
          <w:numId w:val="1009"/>
        </w:numPr>
        <w:pStyle w:val="Compact"/>
      </w:pPr>
      <w:r>
        <w:rPr>
          <w:bCs/>
          <w:b/>
        </w:rPr>
        <w:t xml:space="preserve">Browser only (Microsoft 365).</w:t>
      </w:r>
      <w:r>
        <w:t xml:space="preserve"> </w:t>
      </w:r>
      <w:r>
        <w:t xml:space="preserve">Two read-only queries in</w:t>
      </w:r>
      <w:r>
        <w:t xml:space="preserve"> </w:t>
      </w:r>
      <w:r>
        <w:rPr>
          <w:bCs/>
          <w:b/>
        </w:rPr>
        <w:t xml:space="preserve">Microsoft Graph Explorer</w:t>
      </w:r>
      <w:r>
        <w:t xml:space="preserve"> </w:t>
      </w:r>
      <w:r>
        <w:t xml:space="preserve">—</w:t>
      </w:r>
      <w:r>
        <w:t xml:space="preserve"> </w:t>
      </w:r>
      <w:r>
        <w:t xml:space="preserve">Microsoft’s own website — and the results downloaded as JSON.</w:t>
      </w:r>
      <w:r>
        <w:t xml:space="preserve"> </w:t>
      </w:r>
      <w:r>
        <w:rPr>
          <w:bCs/>
          <w:b/>
        </w:rPr>
        <w:t xml:space="preserve">Nothing installs and</w:t>
      </w:r>
      <w:r>
        <w:rPr>
          <w:bCs/>
          <w:b/>
        </w:rPr>
        <w:t xml:space="preserve"> </w:t>
      </w:r>
      <w:r>
        <w:rPr>
          <w:bCs/>
          <w:b/>
        </w:rPr>
        <w:t xml:space="preserve">nothing runs on any machine.</w:t>
      </w:r>
      <w:r>
        <w:t xml:space="preserve"> </w:t>
      </w:r>
      <w:r>
        <w:t xml:space="preserve">This is the path for organisations whose endpoint</w:t>
      </w:r>
      <w:r>
        <w:t xml:space="preserve"> </w:t>
      </w:r>
      <w:r>
        <w:t xml:space="preserve">protection, AppLocker or WDAC blocks PowerShell.</w:t>
      </w:r>
    </w:p>
    <w:p>
      <w:pPr>
        <w:numPr>
          <w:ilvl w:val="0"/>
          <w:numId w:val="1009"/>
        </w:numPr>
        <w:pStyle w:val="Compact"/>
      </w:pPr>
      <w:r>
        <w:rPr>
          <w:bCs/>
          <w:b/>
        </w:rPr>
        <w:t xml:space="preserve">Google Workspace.</w:t>
      </w:r>
      <w:r>
        <w:t xml:space="preserve"> </w:t>
      </w:r>
      <w:r>
        <w:t xml:space="preserve">No script and nothing to install. A Super Admin opens</w:t>
      </w:r>
      <w:r>
        <w:t xml:space="preserve"> </w:t>
      </w:r>
      <w:r>
        <w:rPr>
          <w:bCs/>
          <w:b/>
        </w:rPr>
        <w:t xml:space="preserve">Security →</w:t>
      </w:r>
      <w:r>
        <w:rPr>
          <w:bCs/>
          <w:b/>
        </w:rPr>
        <w:t xml:space="preserve"> </w:t>
      </w:r>
      <w:r>
        <w:rPr>
          <w:bCs/>
          <w:b/>
        </w:rPr>
        <w:t xml:space="preserve">Access and data control → API controls → App access control</w:t>
      </w:r>
      <w:r>
        <w:t xml:space="preserve">, opens the</w:t>
      </w:r>
      <w:r>
        <w:t xml:space="preserve"> </w:t>
      </w:r>
      <w:r>
        <w:rPr>
          <w:bCs/>
          <w:b/>
        </w:rPr>
        <w:t xml:space="preserve">Accessed apps</w:t>
      </w:r>
      <w:r>
        <w:t xml:space="preserve"> </w:t>
      </w:r>
      <w:r>
        <w:t xml:space="preserve">tab, and clicks</w:t>
      </w:r>
      <w:r>
        <w:t xml:space="preserve"> </w:t>
      </w:r>
      <w:r>
        <w:rPr>
          <w:bCs/>
          <w:b/>
        </w:rPr>
        <w:t xml:space="preserve">Download list</w:t>
      </w:r>
      <w:r>
        <w:t xml:space="preserve"> </w:t>
      </w:r>
      <w:r>
        <w:t xml:space="preserve">to export a CSV of every app staff have consented to.</w:t>
      </w:r>
      <w:r>
        <w:t xml:space="preserve"> </w:t>
      </w:r>
      <w:r>
        <w:t xml:space="preserve">Upload that single file.</w:t>
      </w:r>
    </w:p>
    <w:p>
      <w:pPr>
        <w:pStyle w:val="FirstParagraph"/>
      </w:pPr>
      <w:r>
        <w:t xml:space="preserve">We deliberately do not ship a wrapper that bypasses script-execution policy. That is the</w:t>
      </w:r>
      <w:r>
        <w:t xml:space="preserve"> </w:t>
      </w:r>
      <w:r>
        <w:t xml:space="preserve">behaviour security teams block malware for, and we are not going to ask anyone to weaken a</w:t>
      </w:r>
      <w:r>
        <w:t xml:space="preserve"> </w:t>
      </w:r>
      <w:r>
        <w:t xml:space="preserve">control in order to run a compliance tool — hence the browser option.</w:t>
      </w:r>
    </w:p>
    <w:p>
      <w:pPr>
        <w:pStyle w:val="BodyText"/>
      </w:pPr>
      <w:r>
        <w:t xml:space="preserve">Either way you end up with JSON to upload.</w:t>
      </w:r>
      <w:r>
        <w:t xml:space="preserve"> </w:t>
      </w:r>
      <w:r>
        <w:rPr>
          <w:bCs/>
          <w:b/>
        </w:rPr>
        <w:t xml:space="preserve">Read it before you upload it.</w:t>
      </w:r>
      <w:r>
        <w:t xml:space="preserve"> </w:t>
      </w:r>
      <w:r>
        <w:t xml:space="preserve">Then, in</w:t>
      </w:r>
      <w:r>
        <w:t xml:space="preserve"> </w:t>
      </w:r>
      <w:r>
        <w:rPr>
          <w:bCs/>
          <w:b/>
        </w:rPr>
        <w:t xml:space="preserve">AI Inventory → OAuth</w:t>
      </w:r>
      <w:r>
        <w:t xml:space="preserve">, choose your city and provider tab, and select the file — one file</w:t>
      </w:r>
      <w:r>
        <w:t xml:space="preserve"> </w:t>
      </w:r>
      <w:r>
        <w:t xml:space="preserve">for the script or Google Workspace methods, both files for the Microsoft browser method. You</w:t>
      </w:r>
      <w:r>
        <w:t xml:space="preserve"> </w:t>
      </w:r>
      <w:r>
        <w:t xml:space="preserve">will see each application, its publisher, how many staff consented, and what each grant can reach.</w:t>
      </w:r>
    </w:p>
    <w:p>
      <w:pPr>
        <w:pStyle w:val="BodyText"/>
      </w:pPr>
      <w:r>
        <w:t xml:space="preserve">Two protections are on by default:</w:t>
      </w:r>
    </w:p>
    <w:p>
      <w:pPr>
        <w:numPr>
          <w:ilvl w:val="0"/>
          <w:numId w:val="1010"/>
        </w:numPr>
        <w:pStyle w:val="Compact"/>
      </w:pPr>
      <w:r>
        <w:rPr>
          <w:bCs/>
          <w:b/>
        </w:rPr>
        <w:t xml:space="preserve">Dry run.</w:t>
      </w:r>
      <w:r>
        <w:t xml:space="preserve"> </w:t>
      </w:r>
      <w:r>
        <w:t xml:space="preserve">The first run reports what it found and writes</w:t>
      </w:r>
      <w:r>
        <w:t xml:space="preserve"> </w:t>
      </w:r>
      <w:r>
        <w:rPr>
          <w:bCs/>
          <w:b/>
        </w:rPr>
        <w:t xml:space="preserve">nothing</w:t>
      </w:r>
      <w:r>
        <w:t xml:space="preserve">. You see the</w:t>
      </w:r>
      <w:r>
        <w:t xml:space="preserve"> </w:t>
      </w:r>
      <w:r>
        <w:t xml:space="preserve">findings, decide whether they are right, and only then switch dry run off to record them.</w:t>
      </w:r>
      <w:r>
        <w:t xml:space="preserve"> </w:t>
      </w:r>
      <w:r>
        <w:t xml:space="preserve">The results panel always says plainly when nothing was written.</w:t>
      </w:r>
    </w:p>
    <w:p>
      <w:pPr>
        <w:numPr>
          <w:ilvl w:val="0"/>
          <w:numId w:val="1010"/>
        </w:numPr>
        <w:pStyle w:val="Compact"/>
      </w:pPr>
      <w:r>
        <w:rPr>
          <w:bCs/>
          <w:b/>
        </w:rPr>
        <w:t xml:space="preserve">No employee names.</w:t>
      </w:r>
      <w:r>
        <w:t xml:space="preserve"> </w:t>
      </w:r>
      <w:r>
        <w:t xml:space="preserve">Only the</w:t>
      </w:r>
      <w:r>
        <w:t xml:space="preserve"> </w:t>
      </w:r>
      <w:r>
        <w:rPr>
          <w:iCs/>
          <w:i/>
        </w:rPr>
        <w:t xml:space="preserve">number</w:t>
      </w:r>
      <w:r>
        <w:t xml:space="preserve"> </w:t>
      </w:r>
      <w:r>
        <w:t xml:space="preserve">of people who consented to each app is sent.</w:t>
      </w:r>
      <w:r>
        <w:t xml:space="preserve"> </w:t>
      </w:r>
      <w:r>
        <w:t xml:space="preserve">If the export was run with the optional identity flag, the names are removed in your</w:t>
      </w:r>
      <w:r>
        <w:t xml:space="preserve"> </w:t>
      </w:r>
      <w:r>
        <w:t xml:space="preserve">browser before anything is transmitted, and you are warned.</w:t>
      </w:r>
    </w:p>
    <w:p>
      <w:pPr>
        <w:pStyle w:val="FirstParagraph"/>
      </w:pPr>
      <w:r>
        <w:t xml:space="preserve">Findings are recorded as</w:t>
      </w:r>
      <w:r>
        <w:t xml:space="preserve"> </w:t>
      </w:r>
      <w:r>
        <w:rPr>
          <w:bCs/>
          <w:b/>
        </w:rPr>
        <w:t xml:space="preserve">Procured · verify</w:t>
      </w:r>
      <w:r>
        <w:t xml:space="preserve"> </w:t>
      </w:r>
      <w:r>
        <w:t xml:space="preserve">— an employee consented to it, which is not</w:t>
      </w:r>
      <w:r>
        <w:t xml:space="preserve"> </w:t>
      </w:r>
      <w:r>
        <w:t xml:space="preserve">the same as the city running it. Confirm each one before treating it as a live obligation.</w:t>
      </w:r>
      <w:r>
        <w:t xml:space="preserve"> </w:t>
      </w:r>
      <w:r>
        <w:t xml:space="preserve">As with all record-based discovery, these never start a cure clock on their own.</w:t>
      </w:r>
    </w:p>
    <w:p>
      <w:pPr>
        <w:pStyle w:val="BodyText"/>
      </w:pPr>
      <w:r>
        <w:t xml:space="preserve">Two things are called out specially, because they change what you should do about them:</w:t>
      </w:r>
    </w:p>
    <w:p>
      <w:pPr>
        <w:numPr>
          <w:ilvl w:val="0"/>
          <w:numId w:val="1011"/>
        </w:numPr>
        <w:pStyle w:val="Compact"/>
      </w:pPr>
      <w:r>
        <w:rPr>
          <w:bCs/>
          <w:b/>
        </w:rPr>
        <w:t xml:space="preserve">Tenant-wide</w:t>
      </w:r>
      <w:r>
        <w:t xml:space="preserve"> </w:t>
      </w:r>
      <w:r>
        <w:t xml:space="preserve">— an administrator approved the application for your</w:t>
      </w:r>
      <w:r>
        <w:t xml:space="preserve"> </w:t>
      </w:r>
      <w:r>
        <w:rPr>
          <w:iCs/>
          <w:i/>
        </w:rPr>
        <w:t xml:space="preserve">entire</w:t>
      </w:r>
      <w:r>
        <w:t xml:space="preserve"> </w:t>
      </w:r>
      <w:r>
        <w:t xml:space="preserve">organisation, so no individual employee ever consented to it. This is usually the most</w:t>
      </w:r>
      <w:r>
        <w:t xml:space="preserve"> </w:t>
      </w:r>
      <w:r>
        <w:t xml:space="preserve">significant item in a report and worth reviewing first.</w:t>
      </w:r>
    </w:p>
    <w:p>
      <w:pPr>
        <w:numPr>
          <w:ilvl w:val="0"/>
          <w:numId w:val="1011"/>
        </w:numPr>
        <w:pStyle w:val="Compact"/>
      </w:pPr>
      <w:r>
        <w:rPr>
          <w:bCs/>
          <w:b/>
        </w:rPr>
        <w:t xml:space="preserve">Applications we did not recognise</w:t>
      </w:r>
      <w:r>
        <w:t xml:space="preserve"> </w:t>
      </w:r>
      <w:r>
        <w:t xml:space="preserve">— listed separately at the end of the run. These</w:t>
      </w:r>
      <w:r>
        <w:t xml:space="preserve"> </w:t>
      </w:r>
      <w:r>
        <w:t xml:space="preserve">are</w:t>
      </w:r>
      <w:r>
        <w:t xml:space="preserve"> </w:t>
      </w:r>
      <w:r>
        <w:rPr>
          <w:bCs/>
          <w:b/>
        </w:rPr>
        <w:t xml:space="preserve">not findings</w:t>
      </w:r>
      <w:r>
        <w:t xml:space="preserve">; we simply have no catalog entry for them, and most will be</w:t>
      </w:r>
      <w:r>
        <w:t xml:space="preserve"> </w:t>
      </w:r>
      <w:r>
        <w:t xml:space="preserve">ordinary business software. Use</w:t>
      </w:r>
      <w:r>
        <w:t xml:space="preserve"> </w:t>
      </w:r>
      <w:r>
        <w:rPr>
          <w:bCs/>
          <w:b/>
        </w:rPr>
        <w:t xml:space="preserve">Download for signature review</w:t>
      </w:r>
      <w:r>
        <w:t xml:space="preserve"> </w:t>
      </w:r>
      <w:r>
        <w:t xml:space="preserve">to save the list. If</w:t>
      </w:r>
      <w:r>
        <w:t xml:space="preserve"> </w:t>
      </w:r>
      <w:r>
        <w:t xml:space="preserve">you send it back to us, any AI tools among them become detectable for</w:t>
      </w:r>
      <w:r>
        <w:t xml:space="preserve"> </w:t>
      </w:r>
      <w:r>
        <w:rPr>
          <w:iCs/>
          <w:i/>
        </w:rPr>
        <w:t xml:space="preserve">every</w:t>
      </w:r>
      <w:r>
        <w:t xml:space="preserve"> </w:t>
      </w:r>
      <w:r>
        <w:t xml:space="preserve">city on</w:t>
      </w:r>
      <w:r>
        <w:t xml:space="preserve"> </w:t>
      </w:r>
      <w:r>
        <w:t xml:space="preserve">the platform, not just yours. The file contains application names and publishers only —</w:t>
      </w:r>
      <w:r>
        <w:t xml:space="preserve"> </w:t>
      </w:r>
      <w:r>
        <w:t xml:space="preserve">no employee identities, ever.</w:t>
      </w:r>
    </w:p>
    <w:p>
      <w:pPr>
        <w:pStyle w:val="BlockText"/>
      </w:pPr>
      <w:r>
        <w:t xml:space="preserve">This channel is off until a platform administrator enables it in</w:t>
      </w:r>
      <w:r>
        <w:t xml:space="preserve"> </w:t>
      </w:r>
      <w:r>
        <w:rPr>
          <w:bCs/>
          <w:b/>
        </w:rPr>
        <w:t xml:space="preserve">Settings → Feature Flags</w:t>
      </w:r>
      <w:r>
        <w:t xml:space="preserve">.</w:t>
      </w:r>
    </w:p>
    <w:bookmarkEnd w:id="36"/>
    <w:bookmarkEnd w:id="37"/>
    <w:bookmarkStart w:id="42" w:name="safe-harbor-readiness-framework-lenses"/>
    <w:p>
      <w:pPr>
        <w:pStyle w:val="Heading1"/>
      </w:pPr>
      <w:r>
        <w:t xml:space="preserve">Safe Harbor Readiness &amp; Framework Lenses</w:t>
      </w:r>
    </w:p>
    <w:p>
      <w:pPr>
        <w:pStyle w:val="FirstParagraph"/>
      </w:pPr>
      <w:r>
        <w:t xml:space="preserve">At the bottom of each city page,</w:t>
      </w:r>
      <w:r>
        <w:t xml:space="preserve"> </w:t>
      </w:r>
      <w:r>
        <w:rPr>
          <w:bCs/>
          <w:b/>
        </w:rPr>
        <w:t xml:space="preserve">TRAIGA Safe Harbor Readiness</w:t>
      </w:r>
      <w:r>
        <w:t xml:space="preserve"> </w:t>
      </w:r>
      <w:r>
        <w:t xml:space="preserve">scores the city’s AI governance against the</w:t>
      </w:r>
      <w:r>
        <w:t xml:space="preserve"> </w:t>
      </w:r>
      <w:r>
        <w:rPr>
          <w:bCs/>
          <w:b/>
        </w:rPr>
        <w:t xml:space="preserve">Municipal AI Profile</w:t>
      </w:r>
      <w:r>
        <w:t xml:space="preserve"> </w:t>
      </w:r>
      <w:r>
        <w:t xml:space="preserve">— a right-sized profile of the</w:t>
      </w:r>
      <w:r>
        <w:t xml:space="preserve"> </w:t>
      </w:r>
      <w:r>
        <w:rPr>
          <w:bCs/>
          <w:b/>
        </w:rPr>
        <w:t xml:space="preserve">NIST AI Risk Management Framework</w:t>
      </w:r>
      <w:r>
        <w:t xml:space="preserve"> </w:t>
      </w:r>
      <w:r>
        <w:t xml:space="preserve">and its Generative AI Profile. This supports the reasonable-care presumption and internal-review defenses under</w:t>
      </w:r>
      <w:r>
        <w:t xml:space="preserve"> </w:t>
      </w:r>
      <w:r>
        <w:rPr>
          <w:bCs/>
          <w:b/>
        </w:rPr>
        <w:t xml:space="preserve">Tex. Bus. &amp; Com. Code § 552.105(c)–(e)</w:t>
      </w:r>
      <w:r>
        <w:t xml:space="preserve">.</w:t>
      </w:r>
    </w:p>
    <w:bookmarkStart w:id="38" w:name="the-four-functions"/>
    <w:p>
      <w:pPr>
        <w:pStyle w:val="Heading2"/>
      </w:pPr>
      <w:r>
        <w:t xml:space="preserve">The four functions</w:t>
      </w:r>
    </w:p>
    <w:p>
      <w:pPr>
        <w:pStyle w:val="FirstParagraph"/>
      </w:pPr>
      <w:r>
        <w:t xml:space="preserve">Controls are grouped into the NIST functions —</w:t>
      </w:r>
      <w:r>
        <w:t xml:space="preserve"> </w:t>
      </w:r>
      <w:r>
        <w:rPr>
          <w:bCs/>
          <w:b/>
        </w:rPr>
        <w:t xml:space="preserve">GOVERN, MAP, MEASURE, MANAGE</w:t>
      </w:r>
      <w:r>
        <w:t xml:space="preserve"> </w:t>
      </w:r>
      <w:r>
        <w:t xml:space="preserve">— each shown as a ring with a satisfied/total count.</w:t>
      </w:r>
    </w:p>
    <w:bookmarkEnd w:id="38"/>
    <w:bookmarkStart w:id="39" w:name="machine-verified-vs.-attested-controls"/>
    <w:p>
      <w:pPr>
        <w:pStyle w:val="Heading2"/>
      </w:pPr>
      <w:r>
        <w:t xml:space="preserve">Machine-verified vs. attested controls</w:t>
      </w:r>
    </w:p>
    <w:p>
      <w:pPr>
        <w:numPr>
          <w:ilvl w:val="0"/>
          <w:numId w:val="1012"/>
        </w:numPr>
        <w:pStyle w:val="Compact"/>
      </w:pPr>
      <w:r>
        <w:rPr>
          <w:bCs/>
          <w:b/>
        </w:rPr>
        <w:t xml:space="preserve">Machine-verified</w:t>
      </w:r>
      <w:r>
        <w:t xml:space="preserve"> </w:t>
      </w:r>
      <w:r>
        <w:t xml:space="preserve">controls are satisfied automatically from platform data (for example,</w:t>
      </w:r>
      <w:r>
        <w:t xml:space="preserve"> </w:t>
      </w:r>
      <w:r>
        <w:t xml:space="preserve">“</w:t>
      </w:r>
      <w:r>
        <w:t xml:space="preserve">public-facing AI is actively discovered</w:t>
      </w:r>
      <w:r>
        <w:t xml:space="preserve">”</w:t>
      </w:r>
      <w:r>
        <w:t xml:space="preserve"> </w:t>
      </w:r>
      <w:r>
        <w:t xml:space="preserve">is proven by the scanner;</w:t>
      </w:r>
      <w:r>
        <w:t xml:space="preserve"> </w:t>
      </w:r>
      <w:r>
        <w:t xml:space="preserve">“</w:t>
      </w:r>
      <w:r>
        <w:t xml:space="preserve">findings are tracked with cure deadlines</w:t>
      </w:r>
      <w:r>
        <w:t xml:space="preserve">”</w:t>
      </w:r>
      <w:r>
        <w:t xml:space="preserve"> </w:t>
      </w:r>
      <w:r>
        <w:t xml:space="preserve">by the cure clock). These show a</w:t>
      </w:r>
      <w:r>
        <w:t xml:space="preserve"> </w:t>
      </w:r>
      <w:r>
        <w:t xml:space="preserve">“</w:t>
      </w:r>
      <w:r>
        <w:t xml:space="preserve">Machine-verified from platform data</w:t>
      </w:r>
      <w:r>
        <w:t xml:space="preserve">”</w:t>
      </w:r>
      <w:r>
        <w:t xml:space="preserve"> </w:t>
      </w:r>
      <w:r>
        <w:t xml:space="preserve">note.</w:t>
      </w:r>
    </w:p>
    <w:p>
      <w:pPr>
        <w:numPr>
          <w:ilvl w:val="0"/>
          <w:numId w:val="1012"/>
        </w:numPr>
        <w:pStyle w:val="Compact"/>
      </w:pPr>
      <w:r>
        <w:rPr>
          <w:bCs/>
          <w:b/>
        </w:rPr>
        <w:t xml:space="preserve">Attested</w:t>
      </w:r>
      <w:r>
        <w:t xml:space="preserve"> </w:t>
      </w:r>
      <w:r>
        <w:t xml:space="preserve">controls are things the platform cannot observe (for example,</w:t>
      </w:r>
      <w:r>
        <w:t xml:space="preserve"> </w:t>
      </w:r>
      <w:r>
        <w:t xml:space="preserve">“</w:t>
      </w:r>
      <w:r>
        <w:t xml:space="preserve">an AI use policy is adopted</w:t>
      </w:r>
      <w:r>
        <w:t xml:space="preserve">”</w:t>
      </w:r>
      <w:r>
        <w:t xml:space="preserve">). An admin marks these satisfied with the</w:t>
      </w:r>
      <w:r>
        <w:t xml:space="preserve"> </w:t>
      </w:r>
      <w:r>
        <w:rPr>
          <w:bCs/>
          <w:b/>
        </w:rPr>
        <w:t xml:space="preserve">Attest</w:t>
      </w:r>
      <w:r>
        <w:t xml:space="preserve"> </w:t>
      </w:r>
      <w:r>
        <w:t xml:space="preserve">button, adding evidence notes and a timestamp that appear in generated documentation. Use</w:t>
      </w:r>
      <w:r>
        <w:t xml:space="preserve"> </w:t>
      </w:r>
      <w:r>
        <w:rPr>
          <w:bCs/>
          <w:b/>
        </w:rPr>
        <w:t xml:space="preserve">Clear</w:t>
      </w:r>
      <w:r>
        <w:t xml:space="preserve"> </w:t>
      </w:r>
      <w:r>
        <w:t xml:space="preserve">to remove an attestation.</w:t>
      </w:r>
    </w:p>
    <w:bookmarkEnd w:id="39"/>
    <w:bookmarkStart w:id="40" w:name="framework-lenses-nist-iso-42001"/>
    <w:p>
      <w:pPr>
        <w:pStyle w:val="Heading2"/>
      </w:pPr>
      <w:r>
        <w:t xml:space="preserve">Framework lenses (NIST / ISO 42001)</w:t>
      </w:r>
    </w:p>
    <w:p>
      <w:pPr>
        <w:pStyle w:val="FirstParagraph"/>
      </w:pPr>
      <w:r>
        <w:t xml:space="preserve">When more than one framework is enabled, a</w:t>
      </w:r>
      <w:r>
        <w:t xml:space="preserve"> </w:t>
      </w:r>
      <w:r>
        <w:rPr>
          <w:bCs/>
          <w:b/>
        </w:rPr>
        <w:t xml:space="preserve">Framework lens</w:t>
      </w:r>
      <w:r>
        <w:t xml:space="preserve"> </w:t>
      </w:r>
      <w:r>
        <w:t xml:space="preserve">selector appears. Switching it re-labels each control with the selected framework’s reference (for example, the ISO/IEC 42001 Annex A objective) and shows an</w:t>
      </w:r>
      <w:r>
        <w:t xml:space="preserve"> </w:t>
      </w:r>
      <w:r>
        <w:rPr>
          <w:bCs/>
          <w:b/>
        </w:rPr>
        <w:t xml:space="preserve">overlap grade</w:t>
      </w:r>
      <w:r>
        <w:t xml:space="preserve"> </w:t>
      </w:r>
      <w:r>
        <w:t xml:space="preserve">—</w:t>
      </w:r>
      <w:r>
        <w:t xml:space="preserve"> </w:t>
      </w:r>
      <w:r>
        <w:rPr>
          <w:iCs/>
          <w:i/>
        </w:rPr>
        <w:t xml:space="preserve">strong</w:t>
      </w:r>
      <w:r>
        <w:t xml:space="preserve">,</w:t>
      </w:r>
      <w:r>
        <w:t xml:space="preserve"> </w:t>
      </w:r>
      <w:r>
        <w:rPr>
          <w:iCs/>
          <w:i/>
        </w:rPr>
        <w:t xml:space="preserve">partial</w:t>
      </w:r>
      <w:r>
        <w:t xml:space="preserve">, or</w:t>
      </w:r>
      <w:r>
        <w:t xml:space="preserve"> </w:t>
      </w:r>
      <w:r>
        <w:rPr>
          <w:iCs/>
          <w:i/>
        </w:rPr>
        <w:t xml:space="preserve">weak</w:t>
      </w:r>
      <w:r>
        <w:t xml:space="preserve"> </w:t>
      </w:r>
      <w:r>
        <w:t xml:space="preserve">— for how closely the control maps. The underlying assessment does not change; only the labels do. This is how one assessment is reported in several frameworks (</w:t>
      </w:r>
      <w:r>
        <w:t xml:space="preserve">“</w:t>
      </w:r>
      <w:r>
        <w:t xml:space="preserve">assess once, report many</w:t>
      </w:r>
      <w:r>
        <w:t xml:space="preserve">”</w:t>
      </w:r>
      <w:r>
        <w:t xml:space="preserve">). Crosswalk mappings are a positioning aid, not legal advice.</w:t>
      </w:r>
    </w:p>
    <w:bookmarkEnd w:id="40"/>
    <w:bookmarkStart w:id="41" w:name="alignment-statement"/>
    <w:p>
      <w:pPr>
        <w:pStyle w:val="Heading2"/>
      </w:pPr>
      <w:r>
        <w:t xml:space="preserve">Alignment Statement</w:t>
      </w:r>
    </w:p>
    <w:p>
      <w:pPr>
        <w:pStyle w:val="FirstParagraph"/>
      </w:pPr>
      <w:r>
        <w:rPr>
          <w:bCs/>
          <w:b/>
        </w:rPr>
        <w:t xml:space="preserve">Alignment Statement</w:t>
      </w:r>
      <w:r>
        <w:t xml:space="preserve"> </w:t>
      </w:r>
      <w:r>
        <w:t xml:space="preserve">generates a Word document summarizing the city’s readiness for the safe-harbor defense. It requires counsel review — the document says so itself.</w:t>
      </w:r>
    </w:p>
    <w:bookmarkEnd w:id="41"/>
    <w:bookmarkEnd w:id="42"/>
    <w:bookmarkStart w:id="43" w:name="settings"/>
    <w:p>
      <w:pPr>
        <w:pStyle w:val="Heading1"/>
      </w:pPr>
      <w:r>
        <w:t xml:space="preserve">Settings</w:t>
      </w:r>
    </w:p>
    <w:p>
      <w:pPr>
        <w:numPr>
          <w:ilvl w:val="0"/>
          <w:numId w:val="1013"/>
        </w:numPr>
        <w:pStyle w:val="Compact"/>
      </w:pPr>
      <w:r>
        <w:rPr>
          <w:bCs/>
          <w:b/>
        </w:rPr>
        <w:t xml:space="preserve">Appearance</w:t>
      </w:r>
      <w:r>
        <w:t xml:space="preserve"> </w:t>
      </w:r>
      <w:r>
        <w:t xml:space="preserve">— choose the Light or Stealth interface theme (saved per browser).</w:t>
      </w:r>
    </w:p>
    <w:p>
      <w:pPr>
        <w:numPr>
          <w:ilvl w:val="0"/>
          <w:numId w:val="1013"/>
        </w:numPr>
        <w:pStyle w:val="Compact"/>
      </w:pPr>
      <w:r>
        <w:rPr>
          <w:bCs/>
          <w:b/>
        </w:rPr>
        <w:t xml:space="preserve">Feature Flags</w:t>
      </w:r>
      <w:r>
        <w:t xml:space="preserve"> </w:t>
      </w:r>
      <w:r>
        <w:t xml:space="preserve">(platform admin) — operational toggles that apply within seconds and are written to the Audit Log: the agenda-discovery engine, OAuth shadow-AI discovery, the daily automated scan and its hour, and the ISO/IEC 42001 framework lens.</w:t>
      </w:r>
    </w:p>
    <w:p>
      <w:pPr>
        <w:numPr>
          <w:ilvl w:val="0"/>
          <w:numId w:val="1013"/>
        </w:numPr>
        <w:pStyle w:val="Compact"/>
      </w:pPr>
      <w:r>
        <w:rPr>
          <w:bCs/>
          <w:b/>
        </w:rPr>
        <w:t xml:space="preserve">Version &amp; Build</w:t>
      </w:r>
      <w:r>
        <w:t xml:space="preserve"> </w:t>
      </w:r>
      <w:r>
        <w:t xml:space="preserve">— the deployed backend and frontend build identifiers and environment.</w:t>
      </w:r>
    </w:p>
    <w:p>
      <w:pPr>
        <w:numPr>
          <w:ilvl w:val="0"/>
          <w:numId w:val="1013"/>
        </w:numPr>
        <w:pStyle w:val="Compact"/>
      </w:pPr>
      <w:r>
        <w:rPr>
          <w:bCs/>
          <w:b/>
        </w:rPr>
        <w:t xml:space="preserve">Storage / Backend API / Integrations / Deployment</w:t>
      </w:r>
      <w:r>
        <w:t xml:space="preserve"> </w:t>
      </w:r>
      <w:r>
        <w:t xml:space="preserve">— reference information about the running system.</w:t>
      </w:r>
    </w:p>
    <w:p>
      <w:pPr>
        <w:numPr>
          <w:ilvl w:val="0"/>
          <w:numId w:val="1013"/>
        </w:numPr>
        <w:pStyle w:val="Compact"/>
      </w:pPr>
      <w:r>
        <w:rPr>
          <w:bCs/>
          <w:b/>
        </w:rPr>
        <w:t xml:space="preserve">API Health Check</w:t>
      </w:r>
      <w:r>
        <w:t xml:space="preserve"> </w:t>
      </w:r>
      <w:r>
        <w:t xml:space="preserve">— confirms the app can reach its backend.</w:t>
      </w:r>
    </w:p>
    <w:bookmarkEnd w:id="43"/>
    <w:bookmarkStart w:id="44" w:name="audit-log-error-log"/>
    <w:p>
      <w:pPr>
        <w:pStyle w:val="Heading1"/>
      </w:pPr>
      <w:r>
        <w:t xml:space="preserve">Audit Log &amp; Error Log</w:t>
      </w:r>
    </w:p>
    <w:p>
      <w:pPr>
        <w:numPr>
          <w:ilvl w:val="0"/>
          <w:numId w:val="1014"/>
        </w:numPr>
        <w:pStyle w:val="Compact"/>
      </w:pPr>
      <w:r>
        <w:rPr>
          <w:bCs/>
          <w:b/>
        </w:rPr>
        <w:t xml:space="preserve">Audit Log</w:t>
      </w:r>
      <w:r>
        <w:t xml:space="preserve"> </w:t>
      </w:r>
      <w:r>
        <w:t xml:space="preserve">is the append-only evidence trail: scans, configuration changes, attestations, and administrative actions, each with the acting user and time. This is what makes the platform’s record defensible.</w:t>
      </w:r>
    </w:p>
    <w:p>
      <w:pPr>
        <w:numPr>
          <w:ilvl w:val="0"/>
          <w:numId w:val="1014"/>
        </w:numPr>
        <w:pStyle w:val="Compact"/>
      </w:pPr>
      <w:r>
        <w:rPr>
          <w:bCs/>
          <w:b/>
        </w:rPr>
        <w:t xml:space="preserve">Error Log</w:t>
      </w:r>
      <w:r>
        <w:t xml:space="preserve"> </w:t>
      </w:r>
      <w:r>
        <w:t xml:space="preserve">(platform admin) surfaces operational failures across scans, the scheduler, and deep scans, so problems are visible rather than silent.</w:t>
      </w:r>
    </w:p>
    <w:bookmarkEnd w:id="44"/>
    <w:bookmarkStart w:id="45" w:name="sentinel-dlp"/>
    <w:p>
      <w:pPr>
        <w:pStyle w:val="Heading1"/>
      </w:pPr>
      <w:r>
        <w:t xml:space="preserve">Sentinel (DLP)</w:t>
      </w:r>
    </w:p>
    <w:p>
      <w:pPr>
        <w:pStyle w:val="FirstParagraph"/>
      </w:pPr>
      <w:r>
        <w:t xml:space="preserve">Sentinel is an optional module that gives the city visibility into staff use of AI tools with city data via lightweight browser telemetry (metadata only). It complements the website scan by covering AI that employees use directly.</w:t>
      </w:r>
    </w:p>
    <w:bookmarkEnd w:id="45"/>
    <w:bookmarkStart w:id="46" w:name="glossary"/>
    <w:p>
      <w:pPr>
        <w:pStyle w:val="Heading1"/>
      </w:pPr>
      <w:r>
        <w:t xml:space="preserve">Glossary</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Term</w:t>
            </w:r>
          </w:p>
        </w:tc>
        <w:tc>
          <w:tcPr/>
          <w:p>
            <w:pPr>
              <w:pStyle w:val="Compact"/>
              <w:jc w:val="left"/>
            </w:pPr>
            <w:r>
              <w:t xml:space="preserve">Meaning</w:t>
            </w:r>
          </w:p>
        </w:tc>
      </w:tr>
      <w:tr>
        <w:tc>
          <w:tcPr/>
          <w:p>
            <w:pPr>
              <w:pStyle w:val="Compact"/>
              <w:jc w:val="left"/>
            </w:pPr>
            <w:r>
              <w:rPr>
                <w:bCs/>
                <w:b/>
              </w:rPr>
              <w:t xml:space="preserve">TRAIGA / HB 149</w:t>
            </w:r>
          </w:p>
        </w:tc>
        <w:tc>
          <w:tcPr/>
          <w:p>
            <w:pPr>
              <w:pStyle w:val="Compact"/>
              <w:jc w:val="left"/>
            </w:pPr>
            <w:r>
              <w:t xml:space="preserve">Texas Responsible Artificial Intelligence Governance Act; the state law this platform supports.</w:t>
            </w:r>
          </w:p>
        </w:tc>
      </w:tr>
      <w:tr>
        <w:tc>
          <w:tcPr/>
          <w:p>
            <w:pPr>
              <w:pStyle w:val="Compact"/>
              <w:jc w:val="left"/>
            </w:pPr>
            <w:r>
              <w:rPr>
                <w:bCs/>
                <w:b/>
              </w:rPr>
              <w:t xml:space="preserve">Ch. 552</w:t>
            </w:r>
          </w:p>
        </w:tc>
        <w:tc>
          <w:tcPr/>
          <w:p>
            <w:pPr>
              <w:pStyle w:val="Compact"/>
              <w:jc w:val="left"/>
            </w:pPr>
            <w:r>
              <w:t xml:space="preserve">Tex. Bus. &amp; Com. Code chapter where TRAIGA is codified.</w:t>
            </w:r>
          </w:p>
        </w:tc>
      </w:tr>
      <w:tr>
        <w:tc>
          <w:tcPr/>
          <w:p>
            <w:pPr>
              <w:pStyle w:val="Compact"/>
              <w:jc w:val="left"/>
            </w:pPr>
            <w:r>
              <w:rPr>
                <w:bCs/>
                <w:b/>
              </w:rPr>
              <w:t xml:space="preserve">Disclosure</w:t>
            </w:r>
          </w:p>
        </w:tc>
        <w:tc>
          <w:tcPr/>
          <w:p>
            <w:pPr>
              <w:pStyle w:val="Compact"/>
              <w:jc w:val="left"/>
            </w:pPr>
            <w:r>
              <w:t xml:space="preserve">The required notice that a person is interacting with an AI system.</w:t>
            </w:r>
          </w:p>
        </w:tc>
      </w:tr>
      <w:tr>
        <w:tc>
          <w:tcPr/>
          <w:p>
            <w:pPr>
              <w:pStyle w:val="Compact"/>
              <w:jc w:val="left"/>
            </w:pPr>
            <w:r>
              <w:rPr>
                <w:bCs/>
                <w:b/>
              </w:rPr>
              <w:t xml:space="preserve">Cure period</w:t>
            </w:r>
          </w:p>
        </w:tc>
        <w:tc>
          <w:tcPr/>
          <w:p>
            <w:pPr>
              <w:pStyle w:val="Compact"/>
              <w:jc w:val="left"/>
            </w:pPr>
            <w:r>
              <w:t xml:space="preserve">The 60-day window to fix a disclosure gap before it can be referred to the Attorney General.</w:t>
            </w:r>
          </w:p>
        </w:tc>
      </w:tr>
      <w:tr>
        <w:tc>
          <w:tcPr/>
          <w:p>
            <w:pPr>
              <w:pStyle w:val="Compact"/>
              <w:jc w:val="left"/>
            </w:pPr>
            <w:r>
              <w:rPr>
                <w:bCs/>
                <w:b/>
              </w:rPr>
              <w:t xml:space="preserve">Safe harbor</w:t>
            </w:r>
          </w:p>
        </w:tc>
        <w:tc>
          <w:tcPr/>
          <w:p>
            <w:pPr>
              <w:pStyle w:val="Compact"/>
              <w:jc w:val="left"/>
            </w:pPr>
            <w:r>
              <w:t xml:space="preserve">Legal defenses (§ 552.105) available to a city that exercises reasonable care and internal review.</w:t>
            </w:r>
          </w:p>
        </w:tc>
      </w:tr>
      <w:tr>
        <w:tc>
          <w:tcPr/>
          <w:p>
            <w:pPr>
              <w:pStyle w:val="Compact"/>
              <w:jc w:val="left"/>
            </w:pPr>
            <w:r>
              <w:rPr>
                <w:bCs/>
                <w:b/>
              </w:rPr>
              <w:t xml:space="preserve">Candidate signal</w:t>
            </w:r>
          </w:p>
        </w:tc>
        <w:tc>
          <w:tcPr/>
          <w:p>
            <w:pPr>
              <w:pStyle w:val="Compact"/>
              <w:jc w:val="left"/>
            </w:pPr>
            <w:r>
              <w:t xml:space="preserve">An automated finding that requires human and legal confirmation.</w:t>
            </w:r>
          </w:p>
        </w:tc>
      </w:tr>
      <w:tr>
        <w:tc>
          <w:tcPr/>
          <w:p>
            <w:pPr>
              <w:pStyle w:val="Compact"/>
              <w:jc w:val="left"/>
            </w:pPr>
            <w:r>
              <w:rPr>
                <w:bCs/>
                <w:b/>
              </w:rPr>
              <w:t xml:space="preserve">NIST AI RMF</w:t>
            </w:r>
          </w:p>
        </w:tc>
        <w:tc>
          <w:tcPr/>
          <w:p>
            <w:pPr>
              <w:pStyle w:val="Compact"/>
              <w:jc w:val="left"/>
            </w:pPr>
            <w:r>
              <w:t xml:space="preserve">The U.S. National Institute of Standards and Technology’s AI Risk Management Framework; the readiness profile’s backbone.</w:t>
            </w:r>
          </w:p>
        </w:tc>
      </w:tr>
      <w:tr>
        <w:tc>
          <w:tcPr/>
          <w:p>
            <w:pPr>
              <w:pStyle w:val="Compact"/>
              <w:jc w:val="left"/>
            </w:pPr>
            <w:r>
              <w:rPr>
                <w:bCs/>
                <w:b/>
              </w:rPr>
              <w:t xml:space="preserve">ISO/IEC 42001</w:t>
            </w:r>
          </w:p>
        </w:tc>
        <w:tc>
          <w:tcPr/>
          <w:p>
            <w:pPr>
              <w:pStyle w:val="Compact"/>
              <w:jc w:val="left"/>
            </w:pPr>
            <w:r>
              <w:t xml:space="preserve">The international standard for AI management systems; an optional framework lens.</w:t>
            </w:r>
          </w:p>
        </w:tc>
      </w:tr>
      <w:tr>
        <w:tc>
          <w:tcPr/>
          <w:p>
            <w:pPr>
              <w:pStyle w:val="Compact"/>
              <w:jc w:val="left"/>
            </w:pPr>
            <w:r>
              <w:rPr>
                <w:bCs/>
                <w:b/>
              </w:rPr>
              <w:t xml:space="preserve">WAF</w:t>
            </w:r>
          </w:p>
        </w:tc>
        <w:tc>
          <w:tcPr/>
          <w:p>
            <w:pPr>
              <w:pStyle w:val="Compact"/>
              <w:jc w:val="left"/>
            </w:pPr>
            <w:r>
              <w:t xml:space="preserve">Web application firewall; site protection that can block ordinary scanners.</w:t>
            </w:r>
          </w:p>
        </w:tc>
      </w:tr>
      <w:tr>
        <w:tc>
          <w:tcPr/>
          <w:p>
            <w:pPr>
              <w:pStyle w:val="Compact"/>
              <w:jc w:val="left"/>
            </w:pPr>
            <w:r>
              <w:rPr>
                <w:bCs/>
                <w:b/>
              </w:rPr>
              <w:t xml:space="preserve">Residential / render tier</w:t>
            </w:r>
          </w:p>
        </w:tc>
        <w:tc>
          <w:tcPr/>
          <w:p>
            <w:pPr>
              <w:pStyle w:val="Compact"/>
              <w:jc w:val="left"/>
            </w:pPr>
            <w:r>
              <w:t xml:space="preserve">Heavier scan paths used to reach firewall-protected sites.</w:t>
            </w:r>
          </w:p>
        </w:tc>
      </w:tr>
      <w:tr>
        <w:tc>
          <w:tcPr/>
          <w:p>
            <w:pPr>
              <w:pStyle w:val="Compact"/>
              <w:jc w:val="left"/>
            </w:pPr>
            <w:r>
              <w:rPr>
                <w:bCs/>
                <w:b/>
              </w:rPr>
              <w:t xml:space="preserve">Attestation</w:t>
            </w:r>
          </w:p>
        </w:tc>
        <w:tc>
          <w:tcPr/>
          <w:p>
            <w:pPr>
              <w:pStyle w:val="Compact"/>
              <w:jc w:val="left"/>
            </w:pPr>
            <w:r>
              <w:t xml:space="preserve">A human record marking a governance control as satisfied, with evidence and a timestamp.</w:t>
            </w:r>
          </w:p>
        </w:tc>
      </w:tr>
      <w:tr>
        <w:tc>
          <w:tcPr/>
          <w:p>
            <w:pPr>
              <w:pStyle w:val="Compact"/>
              <w:jc w:val="left"/>
            </w:pPr>
            <w:r>
              <w:rPr>
                <w:bCs/>
                <w:b/>
              </w:rPr>
              <w:t xml:space="preserve">Alignment Statement</w:t>
            </w:r>
          </w:p>
        </w:tc>
        <w:tc>
          <w:tcPr/>
          <w:p>
            <w:pPr>
              <w:pStyle w:val="Compact"/>
              <w:jc w:val="left"/>
            </w:pPr>
            <w:r>
              <w:t xml:space="preserve">The generated safe-harbor readiness document (requires counsel review).</w:t>
            </w:r>
          </w:p>
        </w:tc>
      </w:tr>
    </w:tbl>
    <w:bookmarkEnd w:id="46"/>
    <w:bookmarkStart w:id="47" w:name="important-disclaimers"/>
    <w:p>
      <w:pPr>
        <w:pStyle w:val="Heading1"/>
      </w:pPr>
      <w:r>
        <w:t xml:space="preserve">Important Disclaimers</w:t>
      </w:r>
    </w:p>
    <w:p>
      <w:pPr>
        <w:pStyle w:val="FirstParagraph"/>
      </w:pPr>
      <w:r>
        <w:t xml:space="preserve">TRAIGA Auditor is a governance and monitoring tool, not a substitute for legal counsel. Findings are candidate compliance signals derived from externally observable evidence and require human and legal review before any enforcement, representation, or public statement. Statutory citations reference Texas HB 149 / Tex. Bus. &amp; Com. Code Ch. 552; re-validate against the enrolled bill. Framework crosswalks (NIST, ISO/IEC 42001, and others) are design and positioning aids and are not legal advice. Generated documents, including the Alignment Statement and Compliance Report, require review by qualified counsel before use.</w:t>
      </w:r>
    </w:p>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TRAIGA Auditor — User Guide</dc:title>
  <dc:creator/>
  <cp:keywords/>
  <dcterms:created xsi:type="dcterms:W3CDTF">2026-08-23T19:54:20Z</dcterms:created>
  <dcterms:modified xsi:type="dcterms:W3CDTF">2026-08-23T19:54:20Z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August 23, 2026 · For City IT, CIO, and Compliance Staff</vt:lpwstr>
  </property>
  <property fmtid="{D5CDD505-2E9C-101B-9397-08002B2CF9AE}" pid="3" name="subtitle">
    <vt:lpwstr>AI Transparency &amp; Compliance for Texas Municipalities · Version 1.7</vt:lpwstr>
  </property>
</Properties>
</file>