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2B8A" w:rsidRPr="006245CB" w:rsidRDefault="000174F2" w:rsidP="00DF715E">
      <w:pPr>
        <w:pStyle w:val="11"/>
        <w:ind w:firstLine="0"/>
        <w:rPr>
          <w:lang w:val="ru-RU"/>
        </w:rPr>
      </w:pPr>
      <w:r w:rsidRPr="006245CB">
        <w:rPr>
          <w:lang w:val="ru-RU"/>
        </w:rPr>
        <w:t>Розділ 1</w:t>
      </w:r>
    </w:p>
    <w:p w:rsidR="000174F2" w:rsidRPr="001E2B8A" w:rsidRDefault="000174F2" w:rsidP="00DF715E">
      <w:pPr>
        <w:pStyle w:val="11"/>
        <w:ind w:firstLine="0"/>
        <w:rPr>
          <w:lang w:val="ru-RU"/>
        </w:rPr>
      </w:pPr>
      <w:r w:rsidRPr="001E2B8A">
        <w:rPr>
          <w:lang w:val="ru-RU"/>
        </w:rPr>
        <w:t>Теоретичні основи та нормативно</w:t>
      </w:r>
      <w:r w:rsidR="008C1BA0">
        <w:rPr>
          <w:lang w:val="ru-RU"/>
        </w:rPr>
        <w:t xml:space="preserve"> - </w:t>
      </w:r>
      <w:r w:rsidRPr="001E2B8A">
        <w:rPr>
          <w:lang w:val="ru-RU"/>
        </w:rPr>
        <w:t>правова база моніторингу атмосферного повітря</w:t>
      </w:r>
    </w:p>
    <w:p w:rsidR="000174F2" w:rsidRPr="0069347A" w:rsidRDefault="000174F2" w:rsidP="00DF715E">
      <w:pPr>
        <w:pStyle w:val="2"/>
        <w:numPr>
          <w:ilvl w:val="1"/>
          <w:numId w:val="11"/>
        </w:numPr>
        <w:ind w:left="0" w:firstLine="0"/>
        <w:rPr>
          <w:lang w:val="ru-RU"/>
        </w:rPr>
      </w:pPr>
      <w:r w:rsidRPr="0069347A">
        <w:rPr>
          <w:lang w:val="ru-RU"/>
        </w:rPr>
        <w:t>Якість атмосферного повітря як складова екологічної безпеки</w:t>
      </w:r>
    </w:p>
    <w:p w:rsidR="000174F2" w:rsidRDefault="000174F2" w:rsidP="000174F2">
      <w:pPr>
        <w:pStyle w:val="a7"/>
      </w:pPr>
      <w:r>
        <w:t>У національному праві екологічна безпека визначена як такий стан навколишнього природного середовища, за якого забезпечується попередження погіршення екологічної обстановки та виникнення небезпеки для здоров’я людей [1]. Це визначення має безпосередній методологічний наслідок для досліджень у сфері атмосферного повітря</w:t>
      </w:r>
      <w:r w:rsidR="008C1BA0">
        <w:rPr>
          <w:lang w:val="uk-UA"/>
        </w:rPr>
        <w:t>.</w:t>
      </w:r>
      <w:r>
        <w:t xml:space="preserve"> </w:t>
      </w:r>
      <w:r w:rsidR="008C1BA0">
        <w:t>Якість атмосферного повітря не лише технічний параметр вимірювань. Вона безпосередньо пов'язана з екологічною безпекою</w:t>
      </w:r>
      <w:r w:rsidR="00B93F5B">
        <w:rPr>
          <w:lang w:val="uk-UA"/>
        </w:rPr>
        <w:t xml:space="preserve"> і ч</w:t>
      </w:r>
      <w:r w:rsidR="008C1BA0">
        <w:t>им вище забруднення повітря</w:t>
      </w:r>
      <w:r w:rsidR="008C1BA0">
        <w:rPr>
          <w:lang w:val="uk-UA"/>
        </w:rPr>
        <w:t>,</w:t>
      </w:r>
      <w:r w:rsidR="008C1BA0">
        <w:t xml:space="preserve"> тим більша загроза для життя і здоров'я людей. Тому дослідження якості повітря є частиною </w:t>
      </w:r>
      <w:r w:rsidR="00B93F5B">
        <w:rPr>
          <w:lang w:val="uk-UA"/>
        </w:rPr>
        <w:t xml:space="preserve">більш </w:t>
      </w:r>
      <w:r w:rsidR="008C1BA0">
        <w:t>шир</w:t>
      </w:r>
      <w:r w:rsidR="00B93F5B">
        <w:rPr>
          <w:lang w:val="uk-UA"/>
        </w:rPr>
        <w:t>окої</w:t>
      </w:r>
      <w:r w:rsidR="008C1BA0">
        <w:t xml:space="preserve"> проблеми </w:t>
      </w:r>
      <w:r w:rsidR="00B93F5B">
        <w:rPr>
          <w:lang w:val="uk-UA"/>
        </w:rPr>
        <w:t xml:space="preserve">- </w:t>
      </w:r>
      <w:r w:rsidR="008C1BA0">
        <w:t>екологічної безпеки</w:t>
      </w:r>
      <w:r w:rsidR="00B93F5B">
        <w:rPr>
          <w:lang w:val="uk-UA"/>
        </w:rPr>
        <w:t xml:space="preserve"> </w:t>
      </w:r>
      <w:r w:rsidR="00B93F5B">
        <w:t>[1], [4]</w:t>
      </w:r>
      <w:r w:rsidR="00B93F5B">
        <w:rPr>
          <w:lang w:val="uk-UA"/>
        </w:rPr>
        <w:t>.</w:t>
      </w:r>
      <w:r>
        <w:t xml:space="preserve"> </w:t>
      </w:r>
      <w:r w:rsidR="00B93F5B">
        <w:t>Саме тому в цьому дослідженні оцінювання якості повітря розглядається як складова системи попередження екологічно зумовленої шкоди, а не як ізольована технічна задача</w:t>
      </w:r>
      <w:r w:rsidR="008C1BA0">
        <w:t>.</w:t>
      </w:r>
      <w:r>
        <w:t xml:space="preserve"> </w:t>
      </w:r>
    </w:p>
    <w:p w:rsidR="000174F2" w:rsidRDefault="005C167E" w:rsidP="000174F2">
      <w:pPr>
        <w:pStyle w:val="a7"/>
      </w:pPr>
      <w:r>
        <w:t>Ця позиція підкріплена міжнародним науковим консенсусом. ВООЗ відносить забруднення атмосферного повітря до найбільших екологічних загроз і пов'язує вплив зовнішнього повітря у 2019 році з 4,2 млн передчасних смертей у світі  переважно через вплив дрібнодисперсних частинок [2]. У 2021 році ВООЗ переглянула глобальні настанови з якості повітря і посилила рекомендовані рівні для PM₂.₅ та PM₁₀ [3]. Це рішення закріпило фракційні показники як основний інструмент оцінювання ризику і відповідно підвищило вимоги до достовірності їх вимірювання як необхідної умови екологічної безпеки.</w:t>
      </w:r>
    </w:p>
    <w:p w:rsidR="000174F2" w:rsidRDefault="005C167E" w:rsidP="000174F2">
      <w:pPr>
        <w:pStyle w:val="a7"/>
      </w:pPr>
      <w:r>
        <w:t xml:space="preserve">Для європейського нормативно-правового поля така логіка є загальноприйнятою. Європейське агентство з довкілля прямо визначає забруднення повітря як найбільший екологічний ризик для здоров'я в Європі і вказує, що саме </w:t>
      </w:r>
      <w:r>
        <w:lastRenderedPageBreak/>
        <w:t>PM₂.₅</w:t>
      </w:r>
      <w:r>
        <w:rPr>
          <w:lang w:val="uk-UA"/>
        </w:rPr>
        <w:t xml:space="preserve"> </w:t>
      </w:r>
      <w:r>
        <w:t>та PM₁₀ спричиня</w:t>
      </w:r>
      <w:r>
        <w:rPr>
          <w:lang w:val="uk-UA"/>
        </w:rPr>
        <w:t>ють</w:t>
      </w:r>
      <w:r>
        <w:t xml:space="preserve"> найістотніші негативні наслідки для населення [4]. Перехід від інтегральних показників до PM₂.₅ та PM₁₀ відображає зміну самої моделі оцінювання</w:t>
      </w:r>
      <w:r>
        <w:rPr>
          <w:lang w:val="uk-UA"/>
        </w:rPr>
        <w:t>.</w:t>
      </w:r>
      <w:r>
        <w:t xml:space="preserve"> </w:t>
      </w:r>
      <w:r>
        <w:rPr>
          <w:lang w:val="uk-UA"/>
        </w:rPr>
        <w:t>П</w:t>
      </w:r>
      <w:r>
        <w:t>ріоритет отримують параметри, доказово пов'язані з реальним ризиком. Якість атмосферного повітря стає індикатором не лише стану довкілля, а й рівня екологічної безпеки в широкому розумінні [2], [3], [4].</w:t>
      </w:r>
      <w:r w:rsidR="000174F2">
        <w:t xml:space="preserve"> </w:t>
      </w:r>
    </w:p>
    <w:p w:rsidR="000174F2" w:rsidRDefault="005C167E" w:rsidP="000174F2">
      <w:pPr>
        <w:pStyle w:val="a7"/>
      </w:pPr>
      <w:r>
        <w:t xml:space="preserve">Українське галузеве законодавство також фіксує такий зв'язок. Закон України «Про охорону атмосферного повітря» визначає моніторинг як систему спостережень, збирання, оброблення та аналізу інформації про стан атмосферного повітря і прямо покладає на Кабінет Міністрів України встановлення порядку такого моніторингу [5]. Отже, спостереження за повітрям виконують не </w:t>
      </w:r>
      <w:r w:rsidR="006A5BBD">
        <w:t>описову, а управлінську функцію</w:t>
      </w:r>
      <w:r w:rsidR="006A5BBD">
        <w:rPr>
          <w:lang w:val="uk-UA"/>
        </w:rPr>
        <w:t>. В</w:t>
      </w:r>
      <w:r>
        <w:t>они забезпечують рішення у сфері захисту населення та довкілля. Для цього дослідження звідси випливає принциповий висновок</w:t>
      </w:r>
      <w:r w:rsidR="006A5BBD">
        <w:rPr>
          <w:lang w:val="uk-UA"/>
        </w:rPr>
        <w:t>, що</w:t>
      </w:r>
      <w:r>
        <w:t xml:space="preserve"> будь-яка методична проблема у вимірюванні твердих частинок має оцінюватися насамперед через те, як вона знижує достовірність даних і, відповідно, рівень екологічної безпеки [1], [5]</w:t>
      </w:r>
      <w:r w:rsidR="000174F2">
        <w:t xml:space="preserve">. </w:t>
      </w:r>
    </w:p>
    <w:p w:rsidR="006A5BBD" w:rsidRPr="006A5BBD" w:rsidRDefault="006A5BBD" w:rsidP="006A5BBD">
      <w:pPr>
        <w:rPr>
          <w:lang w:val="ru-UA"/>
        </w:rPr>
      </w:pPr>
      <w:r w:rsidRPr="006A5BBD">
        <w:rPr>
          <w:lang w:val="ru-UA"/>
        </w:rPr>
        <w:t>У сучасній системі нормування і моніторингу головне місце належить фракційним характеристикам твердих частинок. Їх запровадження пов'язане не з відмовою від попередніх спостережень, а з переорієнтацією регулювання на показники, для яких накопичено найбільш переконливі епідеміологічні та токсикологічні докази. Проте в Україні ця переорієнтація відбулася швидше в нормативному полі, ніж у фактичній вимірювальній інфраструктурі. Ця асиметрія формує методичне протиріччя, що є предметом аналізу в наступних підрозділах [3], [5], [10].</w:t>
      </w:r>
    </w:p>
    <w:p w:rsidR="000174F2" w:rsidRPr="0069347A" w:rsidRDefault="000174F2" w:rsidP="006A5BBD">
      <w:pPr>
        <w:pStyle w:val="2"/>
        <w:numPr>
          <w:ilvl w:val="1"/>
          <w:numId w:val="11"/>
        </w:numPr>
        <w:ind w:left="0" w:firstLine="0"/>
        <w:rPr>
          <w:lang w:val="ru-RU"/>
        </w:rPr>
      </w:pPr>
      <w:r w:rsidRPr="0069347A">
        <w:rPr>
          <w:lang w:val="ru-RU"/>
        </w:rPr>
        <w:t>Нормативна архітектура моніторингу атмосферного повітря в Україні</w:t>
      </w:r>
    </w:p>
    <w:p w:rsidR="00270D76" w:rsidRDefault="00270D76" w:rsidP="000174F2">
      <w:pPr>
        <w:pStyle w:val="a7"/>
      </w:pPr>
      <w:r>
        <w:t xml:space="preserve">Сучасна нормативна база моніторингу довкілля в Україні суттєво оновилася у 2023–2024 роках. Закон № 2973-IX вніс зміни до низки законодавчих актів щодо державної системи моніторингу довкілля, екологічної інформації та </w:t>
      </w:r>
      <w:r>
        <w:lastRenderedPageBreak/>
        <w:t>інформаційного забезпечення управління у сфері довкілля [6]. На виконання цього закону Кабінет Міністрів України ухвалив постанову № 684 від 13.06.2024, яка пов'язує функціонування підсистеми моніторингу атмосферного повітря з оновленою державною системою моніторингу довкілля [11]. Отже, моніторинг атмосферного повітря в Україні є не ізольованим набором спостережень, а частиною інтегрованої інформаційної системи, що безпосередньо забезпечує управлінські рішення у сфері екологічної безпеки [6], [11].</w:t>
      </w:r>
    </w:p>
    <w:p w:rsidR="002764F6" w:rsidRDefault="00270D76" w:rsidP="000174F2">
      <w:pPr>
        <w:pStyle w:val="a7"/>
      </w:pPr>
      <w:r>
        <w:t xml:space="preserve">Спеціальним актом, що безпосередньо визначає механізм моніторингу атмосферного повітря, є постанова № 827 від 14.08.2019 [7]. У чинній редакції вона фіксує режими оцінювання, коло суб'єктів моніторингу, підходи до формування програм та цілі якості даних. Пункт 8 Порядку, затвердженого постановою № 827, розмежовує три режими: фіксованих вимірювань, комбінованого оцінювання та моделювання. Для фіксованих вимірювань обов'язковим є застосування референтних методів згідно з додатком 3, </w:t>
      </w:r>
      <w:r w:rsidR="002764F6">
        <w:rPr>
          <w:lang w:val="uk-UA"/>
        </w:rPr>
        <w:t>а</w:t>
      </w:r>
      <w:r>
        <w:t xml:space="preserve"> комбіноване оцінювання допускає поєднання фіксованих вимірювань з індикативними за умови дотримання цілей якості [7]. </w:t>
      </w:r>
      <w:r w:rsidR="002764F6">
        <w:rPr>
          <w:lang w:val="uk-UA"/>
        </w:rPr>
        <w:t>П</w:t>
      </w:r>
      <w:r>
        <w:t>останова № 827</w:t>
      </w:r>
      <w:r w:rsidR="002764F6">
        <w:rPr>
          <w:lang w:val="uk-UA"/>
        </w:rPr>
        <w:t xml:space="preserve"> і</w:t>
      </w:r>
      <w:r>
        <w:t xml:space="preserve"> закладає нормативне розрізнення між опорними та додатковими даними</w:t>
      </w:r>
      <w:r w:rsidR="002764F6">
        <w:rPr>
          <w:lang w:val="uk-UA"/>
        </w:rPr>
        <w:t>.</w:t>
      </w:r>
      <w:r>
        <w:t xml:space="preserve"> </w:t>
      </w:r>
      <w:r w:rsidR="002764F6">
        <w:rPr>
          <w:lang w:val="uk-UA"/>
        </w:rPr>
        <w:t>Тому</w:t>
      </w:r>
      <w:r>
        <w:t xml:space="preserve"> відповідність цілям якості визначає, чи можуть індикативні вимірювання PM₁₀ </w:t>
      </w:r>
      <w:r w:rsidR="002764F6">
        <w:rPr>
          <w:lang w:val="uk-UA"/>
        </w:rPr>
        <w:t>бути використані</w:t>
      </w:r>
      <w:r>
        <w:t xml:space="preserve"> для екологічно значущих управлінських рішень [7], [12].»</w:t>
      </w:r>
    </w:p>
    <w:p w:rsidR="002764F6" w:rsidRDefault="000174F2" w:rsidP="000174F2">
      <w:pPr>
        <w:pStyle w:val="a7"/>
        <w:rPr>
          <w:lang w:val="uk-UA"/>
        </w:rPr>
      </w:pPr>
      <w:r>
        <w:t xml:space="preserve">Постанова № 513 від 07.05.2024 внесла до постанови № 827 зміни, принципово важливі для цього дослідження [8]. </w:t>
      </w:r>
      <w:r w:rsidR="002764F6">
        <w:t>По-перше, список А розділу I додатка 2 доповнено пунктом 14 «Речовини у вигляді суспендованих твердих частинок, недиференційованих за складом (TSP)». По-друге, у додатку 3 уточнено правило приведення об'єму відібраної проби до нормальних умов для ТЧ₂.₅, ТЧ₁₀ та TSP [7], [8]. Отже, TSP набув чіткого нормативного статусу в системі моніторингу атмосферного повітря України</w:t>
      </w:r>
      <w:r w:rsidR="002764F6">
        <w:rPr>
          <w:lang w:val="uk-UA"/>
        </w:rPr>
        <w:t>,</w:t>
      </w:r>
      <w:r w:rsidR="002764F6">
        <w:t xml:space="preserve"> що робить питання його співвідношення з фракційними показниками PM₁₀ не лише науковим, а й регуляторно значущим [7], [8].</w:t>
      </w:r>
      <w:r w:rsidR="002764F6">
        <w:rPr>
          <w:lang w:val="uk-UA"/>
        </w:rPr>
        <w:t xml:space="preserve"> </w:t>
      </w:r>
    </w:p>
    <w:p w:rsidR="000174F2" w:rsidRDefault="000174F2" w:rsidP="000174F2">
      <w:pPr>
        <w:pStyle w:val="a7"/>
      </w:pPr>
      <w:r>
        <w:lastRenderedPageBreak/>
        <w:t xml:space="preserve">Функціональне забезпечення цієї системи деталізує наказ МВС України № 300 від 21.04.2021, яким затверджено Порядок розміщення пунктів спостережень за забрудненням атмосферного повітря в зонах та агломераціях [9]. Цей акт визначає основні вимоги та умови розміщення пунктів, їх мінімальну кількість для фіксованих вимірювань, а також правила кодування і документування. </w:t>
      </w:r>
      <w:r w:rsidR="002764F6">
        <w:rPr>
          <w:lang w:val="uk-UA"/>
        </w:rPr>
        <w:t>Я</w:t>
      </w:r>
      <w:r>
        <w:t xml:space="preserve">кщо постанова № 827 визначає логіку режимів оцінювання та цілей якості, то наказ № 300 задає просторово-організаційну основу, без якої референсні або індикативні вимірювання не можуть бути співставними на рівні зон і агломерацій [9]. </w:t>
      </w:r>
    </w:p>
    <w:p w:rsidR="000174F2" w:rsidRDefault="009F2D9B" w:rsidP="000174F2">
      <w:pPr>
        <w:pStyle w:val="a7"/>
      </w:pPr>
      <w:r>
        <w:t xml:space="preserve">Наказ Міндовкілля № 590 від 24.03.2025 затвердив Порядок інформування населення про якість повітря з використанням індексу якості повітря [10]. Для розрахунку індексу використовуються дані про ТЧ₂.₅, ТЧ₁₀, озон, діоксид азоту і діоксид сірки. Для самого </w:t>
      </w:r>
      <w:r>
        <w:rPr>
          <w:lang w:val="uk-UA"/>
        </w:rPr>
        <w:t>міністерсива</w:t>
      </w:r>
      <w:r>
        <w:t xml:space="preserve"> джерелом є поточні усереднені годинні значення з фіксованих пунктів спостережень із застосуванням референтних методів. Інші суб'єкти моніторингу можуть використовувати індикативні вимірювання за умови дотримання встановлених цілей якості [10]. Для транспортно-орієнтованих пунктів обов'язковими є дані про ТЧ₂.₅, ТЧ₁₀ та NO₂</w:t>
      </w:r>
      <w:r>
        <w:rPr>
          <w:lang w:val="uk-UA"/>
        </w:rPr>
        <w:t>.</w:t>
      </w:r>
      <w:r>
        <w:t xml:space="preserve"> </w:t>
      </w:r>
      <w:r>
        <w:rPr>
          <w:lang w:val="uk-UA"/>
        </w:rPr>
        <w:t>Д</w:t>
      </w:r>
      <w:r>
        <w:t xml:space="preserve">ля промислових і міських фонових </w:t>
      </w:r>
      <w:r>
        <w:rPr>
          <w:lang w:val="uk-UA"/>
        </w:rPr>
        <w:t>-</w:t>
      </w:r>
      <w:r>
        <w:t xml:space="preserve"> NO₂, O₃, ТЧ₂.₅ та/або ТЧ₁₀ [10]. Таким чином, оперативне інформування населення вже побудоване навколо фракційних показників і достовірність їх вимірювання стає безпосередньою умовою якості екологічно значущих рішень.</w:t>
      </w:r>
      <w:r>
        <w:rPr>
          <w:lang w:val="uk-UA"/>
        </w:rPr>
        <w:t xml:space="preserve"> </w:t>
      </w:r>
      <w:r w:rsidR="000174F2">
        <w:t xml:space="preserve">Таким чином, </w:t>
      </w:r>
      <w:r>
        <w:rPr>
          <w:lang w:val="uk-UA"/>
        </w:rPr>
        <w:t>з точки зору нормативних вимог</w:t>
      </w:r>
      <w:r w:rsidR="000174F2">
        <w:t xml:space="preserve"> українська система моніторингу атмосферного повітря сьогодні має фракційну орієнтацію</w:t>
      </w:r>
      <w:r>
        <w:rPr>
          <w:lang w:val="uk-UA"/>
        </w:rPr>
        <w:t>.</w:t>
      </w:r>
      <w:r w:rsidR="000174F2">
        <w:t xml:space="preserve"> PM₂.₅ і PM₁₀ займають центральне місце в оцінюванні якості повітря, у публічному інформуванні та в прив’язці до референсних методів. </w:t>
      </w:r>
      <w:r>
        <w:rPr>
          <w:lang w:val="uk-UA"/>
        </w:rPr>
        <w:t>Але</w:t>
      </w:r>
      <w:r w:rsidR="000174F2">
        <w:t xml:space="preserve"> ця ж система не вилучила інтегральні категорії  з правового поля. Навпаки, після змін 2024 року TSP уже не може розглядатися лише як історичний рудимент, </w:t>
      </w:r>
      <w:r>
        <w:rPr>
          <w:lang w:val="uk-UA"/>
        </w:rPr>
        <w:t xml:space="preserve">тому що </w:t>
      </w:r>
      <w:r w:rsidR="000174F2">
        <w:t xml:space="preserve">ця категорія прямо закріплена в чинній редакції постанови № 827 [7], [8], [10]. </w:t>
      </w:r>
    </w:p>
    <w:p w:rsidR="000174F2" w:rsidRPr="0069347A" w:rsidRDefault="000174F2" w:rsidP="0069347A">
      <w:pPr>
        <w:pStyle w:val="2"/>
        <w:numPr>
          <w:ilvl w:val="1"/>
          <w:numId w:val="11"/>
        </w:numPr>
        <w:ind w:left="0" w:firstLine="0"/>
        <w:rPr>
          <w:lang w:val="ru-RU"/>
        </w:rPr>
      </w:pPr>
      <w:r w:rsidRPr="0069347A">
        <w:rPr>
          <w:lang w:val="ru-RU"/>
        </w:rPr>
        <w:lastRenderedPageBreak/>
        <w:t>Методична суперечність між фракційними та інтегральними показниками твердих часток</w:t>
      </w:r>
    </w:p>
    <w:p w:rsidR="000174F2" w:rsidRDefault="00571E79" w:rsidP="000174F2">
      <w:pPr>
        <w:pStyle w:val="a7"/>
      </w:pPr>
      <w:r>
        <w:t>Ця суперечність має конкретний зміст. Регуляторна система дедалі жорсткіше орієнтується на PM₁₀ і PM₂.₅, тоді як національна вимірювальна інфраструктура</w:t>
      </w:r>
      <w:r w:rsidR="00F008EA">
        <w:rPr>
          <w:lang w:val="uk-UA"/>
        </w:rPr>
        <w:t xml:space="preserve"> (її технічна частина)</w:t>
      </w:r>
      <w:r>
        <w:t xml:space="preserve"> не була одномоментно перепрофільована під ці показники. Для наукової коректності тут важливо розрізнити два твердження. Перше повністю підтверджене: TSP прямо згадується в чинній редакції постанови № 827</w:t>
      </w:r>
      <w:r w:rsidR="00F008EA">
        <w:rPr>
          <w:lang w:val="uk-UA"/>
        </w:rPr>
        <w:t>,</w:t>
      </w:r>
      <w:r>
        <w:t xml:space="preserve"> але ця згадка локалізована в додатку 2, розділі I, списку А, пункті 14, а також у додатку 3 щодо приведення об'єму проби до нормальних умов</w:t>
      </w:r>
      <w:r w:rsidR="00F008EA">
        <w:rPr>
          <w:lang w:val="uk-UA"/>
        </w:rPr>
        <w:t>.</w:t>
      </w:r>
      <w:r>
        <w:t xml:space="preserve"> </w:t>
      </w:r>
      <w:r w:rsidR="00F008EA">
        <w:rPr>
          <w:lang w:val="uk-UA"/>
        </w:rPr>
        <w:t>О</w:t>
      </w:r>
      <w:r>
        <w:t>бидві норми введено або уточнено постановою № 513 від 07.05.2024 [7]. Друге пот</w:t>
      </w:r>
      <w:r w:rsidR="00F008EA">
        <w:t>ребує обережнішого формулювання</w:t>
      </w:r>
      <w:r w:rsidR="00F008EA">
        <w:rPr>
          <w:lang w:val="uk-UA"/>
        </w:rPr>
        <w:t>.</w:t>
      </w:r>
      <w:r>
        <w:t xml:space="preserve"> </w:t>
      </w:r>
      <w:r w:rsidR="00F008EA">
        <w:rPr>
          <w:lang w:val="uk-UA"/>
        </w:rPr>
        <w:t>Тому що н</w:t>
      </w:r>
      <w:r>
        <w:t>аявність TSP у правовому полі не означає, що він є основним нормативом</w:t>
      </w:r>
      <w:r w:rsidR="00F008EA">
        <w:rPr>
          <w:lang w:val="uk-UA"/>
        </w:rPr>
        <w:t xml:space="preserve"> для</w:t>
      </w:r>
      <w:r>
        <w:t xml:space="preserve"> оцінювання якості повітря</w:t>
      </w:r>
      <w:r w:rsidR="00F008EA">
        <w:rPr>
          <w:lang w:val="uk-UA"/>
        </w:rPr>
        <w:t xml:space="preserve"> і</w:t>
      </w:r>
      <w:r>
        <w:t xml:space="preserve"> для цілей захисту довкілля</w:t>
      </w:r>
      <w:r w:rsidR="00F008EA">
        <w:rPr>
          <w:lang w:val="uk-UA"/>
        </w:rPr>
        <w:t>.</w:t>
      </w:r>
      <w:r w:rsidR="00F008EA">
        <w:t xml:space="preserve"> </w:t>
      </w:r>
      <w:r w:rsidR="00F008EA">
        <w:rPr>
          <w:lang w:val="uk-UA"/>
        </w:rPr>
        <w:t>Ц</w:t>
      </w:r>
      <w:r>
        <w:t>я функція покладена передусім на PM₂.₅ та PM₁₀ [7], [8], [10].</w:t>
      </w:r>
      <w:r w:rsidR="000174F2">
        <w:t xml:space="preserve">. </w:t>
      </w:r>
    </w:p>
    <w:p w:rsidR="000174F2" w:rsidRDefault="000174F2" w:rsidP="000174F2">
      <w:pPr>
        <w:pStyle w:val="a7"/>
      </w:pPr>
      <w:r>
        <w:t>Методичний розрив між нормативною моделлю та вимірювальною практикою підтверджує офіційна аналітична записка Міндовкілля «Моніторинг довкілля» 2022 року. У цьому документі зазначено, що еталонні методи вимірювання для основних забруднюючих речовин, у тому числі ТЧ₁₀ і ТЧ₂.₅, уже передбачені у вітчизняному нормативному полі та відповідають підходам ЄС [12]. Одночасно в тій самій записці зафіксовано два критично важливі факти</w:t>
      </w:r>
      <w:r w:rsidR="00F008EA">
        <w:rPr>
          <w:lang w:val="uk-UA"/>
        </w:rPr>
        <w:t>.</w:t>
      </w:r>
      <w:r>
        <w:t xml:space="preserve"> </w:t>
      </w:r>
      <w:r w:rsidR="00F008EA">
        <w:rPr>
          <w:lang w:val="uk-UA"/>
        </w:rPr>
        <w:t>П</w:t>
      </w:r>
      <w:r>
        <w:t>о-перше, близько 85 % засобів вимірювальної техніки в лабораторіях мереж державного моніторингу довкілля мають строк експлуатації понад 10</w:t>
      </w:r>
      <w:r w:rsidR="00F008EA">
        <w:t xml:space="preserve"> років і є технічно застарілими</w:t>
      </w:r>
      <w:r w:rsidR="00F008EA">
        <w:rPr>
          <w:lang w:val="uk-UA"/>
        </w:rPr>
        <w:t>.</w:t>
      </w:r>
      <w:r>
        <w:t xml:space="preserve"> </w:t>
      </w:r>
      <w:r w:rsidR="00F008EA">
        <w:rPr>
          <w:lang w:val="uk-UA"/>
        </w:rPr>
        <w:t>П</w:t>
      </w:r>
      <w:r>
        <w:t xml:space="preserve">о-друге, у відповіді Український гідрометеорологічний центр, на яку посилається записка, прямо зазначено, що обладнання для проведення аналізу PM₂.₅, PM₁₀ та приземного озону в установі відсутнє [12]. </w:t>
      </w:r>
      <w:r w:rsidR="00F008EA">
        <w:t xml:space="preserve">Нормативна вимога є, </w:t>
      </w:r>
      <w:r w:rsidR="00F008EA">
        <w:rPr>
          <w:lang w:val="uk-UA"/>
        </w:rPr>
        <w:t xml:space="preserve">а </w:t>
      </w:r>
      <w:r w:rsidR="00F008EA">
        <w:t>технічна спроможність її виконати офіційно задокументован</w:t>
      </w:r>
      <w:r w:rsidR="00F008EA">
        <w:rPr>
          <w:lang w:val="uk-UA"/>
        </w:rPr>
        <w:t>а</w:t>
      </w:r>
      <w:r w:rsidR="00F008EA">
        <w:t xml:space="preserve"> як відсутня. </w:t>
      </w:r>
      <w:r w:rsidR="00F008EA">
        <w:rPr>
          <w:lang w:val="uk-UA"/>
        </w:rPr>
        <w:t>Ц</w:t>
      </w:r>
      <w:r w:rsidR="00F008EA">
        <w:t>я розбіжність і є реальним, а не декларативним предметом дисертаційної проблеми [12].</w:t>
      </w:r>
      <w:r>
        <w:t xml:space="preserve"> </w:t>
      </w:r>
    </w:p>
    <w:p w:rsidR="00DC4C47" w:rsidRPr="00DC4C47" w:rsidRDefault="00DC4C47" w:rsidP="00DC4C47">
      <w:pPr>
        <w:rPr>
          <w:lang w:val="ru-UA"/>
        </w:rPr>
      </w:pPr>
      <w:r w:rsidRPr="00DC4C47">
        <w:rPr>
          <w:lang w:val="ru-UA"/>
        </w:rPr>
        <w:lastRenderedPageBreak/>
        <w:t xml:space="preserve">Офіційна звітність гідрометеорологічної мережі підтверджує цю суперечність. У щорічному огляді стану забруднення навколишнього природного середовища за 2024 рік, підготовленому Центральною геофізичною обсерваторією імені Бориса Срезневського, у таблиці про вміст забруднювальних речовин в атмосферному повітрі міст України використовується показник «завислі речовини» із середньорічним вмістом, добовою ГДК та </w:t>
      </w:r>
      <w:r w:rsidR="00960151">
        <w:rPr>
          <w:lang w:val="uk-UA"/>
        </w:rPr>
        <w:t>переліком</w:t>
      </w:r>
      <w:r w:rsidRPr="00DC4C47">
        <w:rPr>
          <w:lang w:val="ru-UA"/>
        </w:rPr>
        <w:t xml:space="preserve"> міст із перевищеннями [13]. У звіті за перше півріччя 2025 року ЦГО повідомляє про перевищення ГДКс.д. за завислими речовинами у дев'яти містах і продовжує оперувати саме цією категорією [14]. Базова державна мережа</w:t>
      </w:r>
      <w:r w:rsidR="00960151">
        <w:rPr>
          <w:lang w:val="uk-UA"/>
        </w:rPr>
        <w:t xml:space="preserve"> спостережень</w:t>
      </w:r>
      <w:r w:rsidRPr="00DC4C47">
        <w:rPr>
          <w:lang w:val="ru-UA"/>
        </w:rPr>
        <w:t xml:space="preserve"> таким чином зберігає нефракційний формат</w:t>
      </w:r>
      <w:r w:rsidR="00960151">
        <w:rPr>
          <w:lang w:val="ru-UA"/>
        </w:rPr>
        <w:t xml:space="preserve"> представлення твердих частинок</w:t>
      </w:r>
      <w:r w:rsidR="00960151">
        <w:rPr>
          <w:lang w:val="uk-UA"/>
        </w:rPr>
        <w:t xml:space="preserve">, </w:t>
      </w:r>
      <w:r w:rsidRPr="00DC4C47">
        <w:rPr>
          <w:lang w:val="ru-UA"/>
        </w:rPr>
        <w:t>тоді як нормативна система вимагає фракційних даних для оцінювання якості повітря та прийняття екологі</w:t>
      </w:r>
      <w:r w:rsidR="00960151">
        <w:rPr>
          <w:lang w:val="ru-UA"/>
        </w:rPr>
        <w:t>чно значущих рішень [13], [14].</w:t>
      </w:r>
    </w:p>
    <w:p w:rsidR="000174F2" w:rsidRDefault="000174F2" w:rsidP="000174F2">
      <w:pPr>
        <w:pStyle w:val="a7"/>
      </w:pPr>
      <w:r>
        <w:t xml:space="preserve"> Водночас принципово важливо не підмінювати підтверджене непідтвердженим. З наведених офіційних оглядів ЦГО безпосередньо випливає факт використання показника «завислі </w:t>
      </w:r>
      <w:r w:rsidR="00960151">
        <w:t>речовини» у державній звітності</w:t>
      </w:r>
      <w:r w:rsidR="00960151">
        <w:rPr>
          <w:lang w:val="uk-UA"/>
        </w:rPr>
        <w:t>.</w:t>
      </w:r>
      <w:r>
        <w:t xml:space="preserve"> </w:t>
      </w:r>
      <w:r w:rsidR="00960151">
        <w:rPr>
          <w:lang w:val="uk-UA"/>
        </w:rPr>
        <w:t>А</w:t>
      </w:r>
      <w:r>
        <w:t xml:space="preserve">ле з цих фрагментів не випливає автоматична й формально доведена тотожність цього показника терміну TSP у значенні пункту 14 списку А розділу I додатка 2 до постанови № 827. </w:t>
      </w:r>
      <w:r w:rsidR="00BB5D0B">
        <w:rPr>
          <w:lang w:val="uk-UA"/>
        </w:rPr>
        <w:t>О</w:t>
      </w:r>
      <w:r>
        <w:t>фіційна звітність гідрометеорологічної мережі продовжує використовувати нефракційний показник для твердих частинок, однак повну нормативно-методичну еквівалентність між усіма історичними рядами «завислих речовин» і TSP у сенсі чинної постанови № 827 з перевірених</w:t>
      </w:r>
      <w:r w:rsidR="00BB5D0B">
        <w:t xml:space="preserve"> джерел прямо вивести не можна</w:t>
      </w:r>
      <w:r w:rsidR="00BB5D0B">
        <w:rPr>
          <w:lang w:val="uk-UA"/>
        </w:rPr>
        <w:t xml:space="preserve"> </w:t>
      </w:r>
      <w:r>
        <w:t xml:space="preserve">без окремої інвентаризації методик і масивів даних за всі роки спостережень [7], [13], [14]. </w:t>
      </w:r>
    </w:p>
    <w:p w:rsidR="00BB5D0B" w:rsidRDefault="00BB5D0B" w:rsidP="000174F2">
      <w:pPr>
        <w:pStyle w:val="a7"/>
      </w:pPr>
      <w:r>
        <w:t xml:space="preserve">У суміжному регуляторному полі </w:t>
      </w:r>
      <w:r w:rsidR="000174F2">
        <w:t xml:space="preserve">нефракційна технічна мова зберігається ще виразніше. </w:t>
      </w:r>
      <w:r>
        <w:t xml:space="preserve">Наказ Мінприроди № 309 від 27.06.2006 є чинним, а в його розділі 2.1 прямо встановлено нормативи гранично допустимих викидів «суспендованих твердих частинок, недиференційованих за складом» [20]. Цей акт підтверджує, що нефракційний опис твердих викидів зберігається в національній технічній мові та в </w:t>
      </w:r>
      <w:r>
        <w:lastRenderedPageBreak/>
        <w:t xml:space="preserve">нормативах щодо емісій. Проте він не встановлює нормативів якості атмосферного повітря і тому не може </w:t>
      </w:r>
      <w:r>
        <w:rPr>
          <w:lang w:val="uk-UA"/>
        </w:rPr>
        <w:t>бути</w:t>
      </w:r>
      <w:r>
        <w:t xml:space="preserve"> доказом того, що TSP або нефракційний пил мають у системі імісійного оцінювання той самий регуляторний статус, що PM₁₀ чи PM₂.₅ [20]. Емісійне і імісійне регулювання це різні нормативні </w:t>
      </w:r>
      <w:r w:rsidRPr="00BB5D0B">
        <w:rPr>
          <w:lang w:val="uk-UA"/>
        </w:rPr>
        <w:t>області</w:t>
      </w:r>
      <w:r>
        <w:t>, і змішувати їх аргументацію методично неприпустимо.</w:t>
      </w:r>
    </w:p>
    <w:p w:rsidR="000174F2" w:rsidRDefault="000174F2" w:rsidP="000174F2">
      <w:pPr>
        <w:pStyle w:val="a7"/>
      </w:pPr>
      <w:r>
        <w:t xml:space="preserve">У підсумку в правовому й практичному полі співіснують щонайменше два режими опису твердих частинок. Перший </w:t>
      </w:r>
      <w:r w:rsidR="00BB5D0B">
        <w:t>–</w:t>
      </w:r>
      <w:r>
        <w:t xml:space="preserve"> фракційний</w:t>
      </w:r>
      <w:r w:rsidR="00BB5D0B">
        <w:rPr>
          <w:lang w:val="uk-UA"/>
        </w:rPr>
        <w:t>,</w:t>
      </w:r>
      <w:r>
        <w:t xml:space="preserve">  застосовується в оцінюванні якості атмосферного повітря, у публічному інформуванні та в референсному нормуванні PM₂.₅ і PM₁₀. Другий –</w:t>
      </w:r>
      <w:r w:rsidR="00BB5D0B">
        <w:t xml:space="preserve"> нефракційний (інтегральний)</w:t>
      </w:r>
      <w:r w:rsidR="00BB5D0B">
        <w:rPr>
          <w:lang w:val="uk-UA"/>
        </w:rPr>
        <w:t>,</w:t>
      </w:r>
      <w:r>
        <w:t xml:space="preserve"> зберігається у частині суміжних регуляторних документів і в офіційній звітності базової мережі спостережень. </w:t>
      </w:r>
      <w:r w:rsidR="00C72D00">
        <w:t>З цього співіснування, а не з механічного протиставлення «старого» і «нового», випливає потреба у методі узгодження, коригування й трансформації даних між фракційними та нефракційними характеристиками твердих частинок [7], [10], [12], [13], [14], [20]</w:t>
      </w:r>
      <w:r>
        <w:t xml:space="preserve">. </w:t>
      </w:r>
    </w:p>
    <w:p w:rsidR="00C72D00" w:rsidRDefault="00C72D00" w:rsidP="000174F2">
      <w:pPr>
        <w:pStyle w:val="a7"/>
      </w:pPr>
      <w:r>
        <w:t>Наведене порівняння показує, що українське правове поле не є просто «застарілим» або «перехідним». Воно є змішаним: імісійно-орієнтована частина системи дедалі чіткіше повторює фракційну логіку ЄС, тоді як у суміжних і частково історично сформованих сегментах зберігаються нефракційні категорії. Порівняльну характеристику нормативних документів наведено в таблиці 1.1. Це змішане, а не однорідне регуляторне середовище створює передумову для науково обґрунтованого узгодження даних, а не для простого відкидання історичних рядів [7], [8], [10], [15], [16], [20].</w:t>
      </w:r>
    </w:p>
    <w:p w:rsidR="0069347A" w:rsidRDefault="000174F2" w:rsidP="000174F2">
      <w:pPr>
        <w:pStyle w:val="a7"/>
        <w:sectPr w:rsidR="0069347A" w:rsidSect="007E6460">
          <w:pgSz w:w="12240" w:h="15840"/>
          <w:pgMar w:top="1134" w:right="567" w:bottom="1134" w:left="1701" w:header="720" w:footer="720" w:gutter="0"/>
          <w:cols w:space="708"/>
          <w:docGrid w:linePitch="381"/>
        </w:sectPr>
      </w:pPr>
      <w:r>
        <w:t xml:space="preserve"> </w:t>
      </w:r>
    </w:p>
    <w:p w:rsidR="000174F2" w:rsidRPr="008C1BA0" w:rsidRDefault="000174F2" w:rsidP="0069347A">
      <w:pPr>
        <w:pStyle w:val="a4"/>
        <w:rPr>
          <w:rFonts w:cs="Times New Roman"/>
          <w:szCs w:val="28"/>
          <w:lang w:val="ru-UA"/>
        </w:rPr>
      </w:pPr>
      <w:r w:rsidRPr="008C1BA0">
        <w:rPr>
          <w:rFonts w:cs="Times New Roman"/>
          <w:szCs w:val="28"/>
          <w:lang w:val="ru-UA"/>
        </w:rPr>
        <w:lastRenderedPageBreak/>
        <w:t>Таблиця 1. Порівняння нормативних документів України та ЄС щодо використання PM₁₀/PM₂.₅ і TSP</w:t>
      </w:r>
    </w:p>
    <w:tbl>
      <w:tblPr>
        <w:tblStyle w:val="Table"/>
        <w:tblW w:w="1332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85"/>
        <w:gridCol w:w="1276"/>
        <w:gridCol w:w="2409"/>
        <w:gridCol w:w="1701"/>
        <w:gridCol w:w="1163"/>
        <w:gridCol w:w="4790"/>
      </w:tblGrid>
      <w:tr w:rsidR="0069347A" w:rsidRPr="00DF715E" w:rsidTr="00825F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5" w:type="dxa"/>
            <w:vAlign w:val="center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Документ</w:t>
            </w:r>
          </w:p>
        </w:tc>
        <w:tc>
          <w:tcPr>
            <w:tcW w:w="1276" w:type="dxa"/>
            <w:vAlign w:val="center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Рік</w:t>
            </w:r>
          </w:p>
        </w:tc>
        <w:tc>
          <w:tcPr>
            <w:tcW w:w="2409" w:type="dxa"/>
            <w:vAlign w:val="center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Предмет регулювання</w:t>
            </w:r>
          </w:p>
        </w:tc>
        <w:tc>
          <w:tcPr>
            <w:tcW w:w="1701" w:type="dxa"/>
            <w:vAlign w:val="center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Чи згадується PM₁₀/PM₂.₅</w:t>
            </w:r>
          </w:p>
        </w:tc>
        <w:tc>
          <w:tcPr>
            <w:tcW w:w="1163" w:type="dxa"/>
            <w:vAlign w:val="center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Чи згадується TSP</w:t>
            </w:r>
          </w:p>
        </w:tc>
        <w:tc>
          <w:tcPr>
            <w:tcW w:w="4790" w:type="dxa"/>
            <w:vAlign w:val="center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Примітки</w:t>
            </w:r>
          </w:p>
        </w:tc>
      </w:tr>
      <w:tr w:rsidR="0069347A" w:rsidRPr="002B5E2E" w:rsidTr="00825FBE">
        <w:tc>
          <w:tcPr>
            <w:tcW w:w="1985" w:type="dxa"/>
          </w:tcPr>
          <w:p w:rsidR="0069347A" w:rsidRPr="00DF715E" w:rsidRDefault="0069347A" w:rsidP="00825FBE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Закон України «Про охорону атмосферного повітря»</w:t>
            </w:r>
          </w:p>
        </w:tc>
        <w:tc>
          <w:tcPr>
            <w:tcW w:w="1276" w:type="dxa"/>
          </w:tcPr>
          <w:p w:rsidR="0069347A" w:rsidRPr="00DF715E" w:rsidRDefault="0069347A" w:rsidP="00825FBE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1992</w:t>
            </w:r>
          </w:p>
        </w:tc>
        <w:tc>
          <w:tcPr>
            <w:tcW w:w="2409" w:type="dxa"/>
          </w:tcPr>
          <w:p w:rsidR="0069347A" w:rsidRPr="00DF715E" w:rsidRDefault="0069347A" w:rsidP="00825FBE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Правові засади охорони атмосферного повітря та моніторингу</w:t>
            </w:r>
          </w:p>
        </w:tc>
        <w:tc>
          <w:tcPr>
            <w:tcW w:w="1701" w:type="dxa"/>
          </w:tcPr>
          <w:p w:rsidR="0069347A" w:rsidRPr="00DF715E" w:rsidRDefault="0069347A" w:rsidP="00825FBE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1163" w:type="dxa"/>
          </w:tcPr>
          <w:p w:rsidR="0069347A" w:rsidRPr="00DF715E" w:rsidRDefault="0069347A" w:rsidP="00825FBE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4790" w:type="dxa"/>
          </w:tcPr>
          <w:p w:rsidR="0069347A" w:rsidRPr="00DF715E" w:rsidRDefault="0069347A" w:rsidP="00825FBE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Визначає правову основу моніторингу, але не деталізує фракційні індикатори [5]</w:t>
            </w:r>
          </w:p>
        </w:tc>
      </w:tr>
      <w:tr w:rsidR="0069347A" w:rsidRPr="002B5E2E" w:rsidTr="00825FBE">
        <w:trPr>
          <w:trHeight w:val="4141"/>
        </w:trPr>
        <w:tc>
          <w:tcPr>
            <w:tcW w:w="1985" w:type="dxa"/>
          </w:tcPr>
          <w:p w:rsidR="0069347A" w:rsidRPr="00DF715E" w:rsidRDefault="0069347A" w:rsidP="00825FBE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Закон України № 2973-IX</w:t>
            </w:r>
          </w:p>
        </w:tc>
        <w:tc>
          <w:tcPr>
            <w:tcW w:w="1276" w:type="dxa"/>
          </w:tcPr>
          <w:p w:rsidR="0069347A" w:rsidRPr="00DF715E" w:rsidRDefault="0069347A" w:rsidP="00825FBE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2023</w:t>
            </w:r>
          </w:p>
        </w:tc>
        <w:tc>
          <w:tcPr>
            <w:tcW w:w="2409" w:type="dxa"/>
          </w:tcPr>
          <w:p w:rsidR="0069347A" w:rsidRPr="00DF715E" w:rsidRDefault="0069347A" w:rsidP="00825FBE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Рамкове оновлення державної системи моніторингу довкілля та екологічної інформації</w:t>
            </w:r>
          </w:p>
        </w:tc>
        <w:tc>
          <w:tcPr>
            <w:tcW w:w="1701" w:type="dxa"/>
          </w:tcPr>
          <w:p w:rsidR="0069347A" w:rsidRPr="00DF715E" w:rsidRDefault="0069347A" w:rsidP="00825FBE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1163" w:type="dxa"/>
          </w:tcPr>
          <w:p w:rsidR="0069347A" w:rsidRPr="00DF715E" w:rsidRDefault="0069347A" w:rsidP="00825FBE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4790" w:type="dxa"/>
          </w:tcPr>
          <w:p w:rsidR="0069347A" w:rsidRPr="00DF715E" w:rsidRDefault="0069347A" w:rsidP="00825FBE">
            <w:pPr>
              <w:pStyle w:val="Compact"/>
              <w:spacing w:before="0"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Системний рамковий акт, що створює інституційну основу інтегрованого моніторингу [6]</w:t>
            </w:r>
          </w:p>
        </w:tc>
      </w:tr>
      <w:tr w:rsidR="0069347A" w:rsidRPr="002B5E2E" w:rsidTr="00825FBE">
        <w:trPr>
          <w:trHeight w:val="3675"/>
        </w:trPr>
        <w:tc>
          <w:tcPr>
            <w:tcW w:w="1985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Постанова КМУ № 827</w:t>
            </w:r>
          </w:p>
        </w:tc>
        <w:tc>
          <w:tcPr>
            <w:tcW w:w="1276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ind w:left="216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2019, чинна редакція після змін 2024</w:t>
            </w:r>
          </w:p>
        </w:tc>
        <w:tc>
          <w:tcPr>
            <w:tcW w:w="2409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Порядок здійснення державного моніторингу атмосферного повітря</w:t>
            </w:r>
          </w:p>
        </w:tc>
        <w:tc>
          <w:tcPr>
            <w:tcW w:w="1701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163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4790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Після змін 2024 року TSP прямо закріплено в додатку 2, розділі I, списку А, пункті 14; у додатку 3 міститься правило приведення об’єму проби до нормальних умов для ТЧ₂.₅, ТЧ₁₀ і TSP [7], [8]</w:t>
            </w:r>
          </w:p>
        </w:tc>
      </w:tr>
      <w:tr w:rsidR="0069347A" w:rsidRPr="002B5E2E" w:rsidTr="00825FBE">
        <w:trPr>
          <w:trHeight w:val="2268"/>
        </w:trPr>
        <w:tc>
          <w:tcPr>
            <w:tcW w:w="1985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Постанова КМУ № 513</w:t>
            </w:r>
          </w:p>
        </w:tc>
        <w:tc>
          <w:tcPr>
            <w:tcW w:w="1276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2024</w:t>
            </w:r>
          </w:p>
        </w:tc>
        <w:tc>
          <w:tcPr>
            <w:tcW w:w="2409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Зміни до постанов № 827 і № 614</w:t>
            </w:r>
          </w:p>
        </w:tc>
        <w:tc>
          <w:tcPr>
            <w:tcW w:w="1701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163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4790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Саме цим актом до постанови № 827 додано пункт 14 про TSP і уточнено норму додатка 3 [8]</w:t>
            </w:r>
          </w:p>
        </w:tc>
      </w:tr>
      <w:tr w:rsidR="0069347A" w:rsidRPr="002B5E2E" w:rsidTr="00825FBE">
        <w:tc>
          <w:tcPr>
            <w:tcW w:w="1985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Наказ МВС № 300</w:t>
            </w:r>
          </w:p>
        </w:tc>
        <w:tc>
          <w:tcPr>
            <w:tcW w:w="1276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2021</w:t>
            </w:r>
          </w:p>
        </w:tc>
        <w:tc>
          <w:tcPr>
            <w:tcW w:w="2409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Розміщення пунктів спостережень у зонах та агломераціях</w:t>
            </w:r>
          </w:p>
        </w:tc>
        <w:tc>
          <w:tcPr>
            <w:tcW w:w="1701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1163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4790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Регулює просторову організацію мережі, а не перелік показників [9]</w:t>
            </w:r>
          </w:p>
        </w:tc>
      </w:tr>
      <w:tr w:rsidR="0069347A" w:rsidRPr="002B5E2E" w:rsidTr="00825FBE">
        <w:tc>
          <w:tcPr>
            <w:tcW w:w="1985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Наказ Міндовкілля № 590</w:t>
            </w:r>
          </w:p>
        </w:tc>
        <w:tc>
          <w:tcPr>
            <w:tcW w:w="1276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2025</w:t>
            </w:r>
          </w:p>
        </w:tc>
        <w:tc>
          <w:tcPr>
            <w:tcW w:w="2409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Індекс якості повітря та інформування населення</w:t>
            </w:r>
          </w:p>
        </w:tc>
        <w:tc>
          <w:tcPr>
            <w:tcW w:w="1701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163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4790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Використовує ТЧ₂.₅, ТЧ₁₀, O₃, NO₂, SO₂; для Міндовкілля вимагає референсні фіксовані вимірювання, для інших суб’єктів допускає також індикативні [10]</w:t>
            </w:r>
          </w:p>
        </w:tc>
      </w:tr>
      <w:tr w:rsidR="0069347A" w:rsidRPr="002B5E2E" w:rsidTr="00825FBE">
        <w:tc>
          <w:tcPr>
            <w:tcW w:w="1985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Постанова КМУ № 684</w:t>
            </w:r>
          </w:p>
        </w:tc>
        <w:tc>
          <w:tcPr>
            <w:tcW w:w="1276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2024</w:t>
            </w:r>
          </w:p>
        </w:tc>
        <w:tc>
          <w:tcPr>
            <w:tcW w:w="2409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Функціонування державної системи моніторингу довкілля та підсистем</w:t>
            </w:r>
          </w:p>
        </w:tc>
        <w:tc>
          <w:tcPr>
            <w:tcW w:w="1701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1163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4790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Інтеграційний акт для державної системи моніторингу довкілля [11]</w:t>
            </w:r>
          </w:p>
        </w:tc>
      </w:tr>
      <w:tr w:rsidR="0069347A" w:rsidRPr="002B5E2E" w:rsidTr="00825FBE">
        <w:tc>
          <w:tcPr>
            <w:tcW w:w="1985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Наказ Мінприроди № 309</w:t>
            </w:r>
          </w:p>
        </w:tc>
        <w:tc>
          <w:tcPr>
            <w:tcW w:w="1276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2006, чинна редакція</w:t>
            </w:r>
          </w:p>
        </w:tc>
        <w:tc>
          <w:tcPr>
            <w:tcW w:w="2409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Нормативи граничнодопустимих викидів із стаціонарних джерел</w:t>
            </w:r>
          </w:p>
        </w:tc>
        <w:tc>
          <w:tcPr>
            <w:tcW w:w="1701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1163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4790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Оперує «суспендованими твердими частинками, недиференційованими за складом»; належить до сфери емісій, а не оцінки якості атмосферного повітря [20]</w:t>
            </w:r>
          </w:p>
        </w:tc>
      </w:tr>
      <w:tr w:rsidR="0069347A" w:rsidRPr="002B5E2E" w:rsidTr="00825FBE">
        <w:tc>
          <w:tcPr>
            <w:tcW w:w="1985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Directive 2008/50/EC</w:t>
            </w:r>
          </w:p>
        </w:tc>
        <w:tc>
          <w:tcPr>
            <w:tcW w:w="1276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2008</w:t>
            </w:r>
          </w:p>
        </w:tc>
        <w:tc>
          <w:tcPr>
            <w:tcW w:w="2409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Якість атмосферного повітря та чистіше повітря для Європи</w:t>
            </w:r>
          </w:p>
        </w:tc>
        <w:tc>
          <w:tcPr>
            <w:tcW w:w="1701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163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4790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Закріплює PM₁₀ і PM₂.₅ як нормативні показники для оцінювання та встановлює референсні методи й умови еквівалентності інших методів [15]</w:t>
            </w:r>
          </w:p>
        </w:tc>
      </w:tr>
      <w:tr w:rsidR="0069347A" w:rsidRPr="002B5E2E" w:rsidTr="00825FBE">
        <w:tc>
          <w:tcPr>
            <w:tcW w:w="1985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Directive (EU) 2024/2881</w:t>
            </w:r>
          </w:p>
        </w:tc>
        <w:tc>
          <w:tcPr>
            <w:tcW w:w="1276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2024</w:t>
            </w:r>
          </w:p>
        </w:tc>
        <w:tc>
          <w:tcPr>
            <w:tcW w:w="2409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Переглянута система норм якості атмосферного повітря ЄС</w:t>
            </w:r>
          </w:p>
        </w:tc>
        <w:tc>
          <w:tcPr>
            <w:tcW w:w="1701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Так</w:t>
            </w:r>
          </w:p>
        </w:tc>
        <w:tc>
          <w:tcPr>
            <w:tcW w:w="1163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Ні</w:t>
            </w:r>
          </w:p>
        </w:tc>
        <w:tc>
          <w:tcPr>
            <w:tcW w:w="4790" w:type="dxa"/>
          </w:tcPr>
          <w:p w:rsidR="0069347A" w:rsidRPr="00DF715E" w:rsidRDefault="0069347A" w:rsidP="00825FBE">
            <w:pPr>
              <w:pStyle w:val="Compact"/>
              <w:spacing w:before="0" w:after="0" w:line="28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F715E">
              <w:rPr>
                <w:rFonts w:ascii="Times New Roman" w:hAnsi="Times New Roman" w:cs="Times New Roman"/>
                <w:sz w:val="28"/>
                <w:szCs w:val="28"/>
              </w:rPr>
              <w:t>Посилює граничні значення з 2030 року, зберігає фракційну модель і вводить додаткові вимоги до supersites та нових показників [16], [17]</w:t>
            </w:r>
          </w:p>
        </w:tc>
      </w:tr>
    </w:tbl>
    <w:p w:rsidR="000174F2" w:rsidRPr="00DF715E" w:rsidRDefault="000174F2" w:rsidP="000174F2">
      <w:pPr>
        <w:pStyle w:val="a7"/>
        <w:rPr>
          <w:rFonts w:cs="Times New Roman"/>
          <w:szCs w:val="28"/>
        </w:rPr>
      </w:pPr>
      <w:r w:rsidRPr="00DF715E">
        <w:rPr>
          <w:rFonts w:cs="Times New Roman"/>
          <w:szCs w:val="28"/>
        </w:rPr>
        <w:t xml:space="preserve"> </w:t>
      </w:r>
    </w:p>
    <w:p w:rsidR="0069347A" w:rsidRDefault="000174F2" w:rsidP="000174F2">
      <w:pPr>
        <w:pStyle w:val="a7"/>
        <w:sectPr w:rsidR="0069347A" w:rsidSect="00DF715E">
          <w:pgSz w:w="15840" w:h="12240" w:orient="landscape"/>
          <w:pgMar w:top="1134" w:right="567" w:bottom="1134" w:left="1701" w:header="720" w:footer="720" w:gutter="0"/>
          <w:cols w:space="708"/>
          <w:docGrid w:linePitch="381"/>
        </w:sectPr>
      </w:pPr>
      <w:r>
        <w:t xml:space="preserve"> </w:t>
      </w:r>
    </w:p>
    <w:p w:rsidR="000174F2" w:rsidRPr="0069347A" w:rsidRDefault="000174F2" w:rsidP="0069347A">
      <w:pPr>
        <w:pStyle w:val="2"/>
        <w:numPr>
          <w:ilvl w:val="1"/>
          <w:numId w:val="11"/>
        </w:numPr>
        <w:ind w:left="0" w:firstLine="0"/>
        <w:rPr>
          <w:lang w:val="ru-RU"/>
        </w:rPr>
      </w:pPr>
      <w:r w:rsidRPr="0069347A">
        <w:rPr>
          <w:lang w:val="ru-RU"/>
        </w:rPr>
        <w:lastRenderedPageBreak/>
        <w:t>Референтні та індикативні методи вимірювання твердих часток</w:t>
      </w:r>
    </w:p>
    <w:p w:rsidR="000174F2" w:rsidRDefault="00EF46B1" w:rsidP="000174F2">
      <w:pPr>
        <w:pStyle w:val="a7"/>
      </w:pPr>
      <w:r>
        <w:t>Постанова № 827 розмежовує референтні та індикативні методи вимірювання</w:t>
      </w:r>
      <w:r w:rsidR="00C046BE">
        <w:rPr>
          <w:lang w:val="uk-UA"/>
        </w:rPr>
        <w:t>,</w:t>
      </w:r>
      <w:r>
        <w:t xml:space="preserve"> і це розмежування має не описовий, а правовий характер. Фіксовані вимірювання застосовуються, коли рівень забруднюючої речовини перевищує верхній поріг оцінювання, і проводяться на фіксованих пунктах спостережень із застосуванням референтних методів, визначених у додатку 3. Для ТЧ₁₀ і ТЧ₂.₅ як референтний </w:t>
      </w:r>
      <w:r w:rsidR="00C046BE">
        <w:rPr>
          <w:lang w:val="uk-UA"/>
        </w:rPr>
        <w:t>визначено</w:t>
      </w:r>
      <w:r>
        <w:t xml:space="preserve"> ДСТУ EN 12341:2018</w:t>
      </w:r>
      <w:r w:rsidR="00C046BE">
        <w:rPr>
          <w:lang w:val="uk-UA"/>
        </w:rPr>
        <w:t>.</w:t>
      </w:r>
      <w:r>
        <w:t xml:space="preserve"> </w:t>
      </w:r>
      <w:r w:rsidR="00C046BE">
        <w:rPr>
          <w:lang w:val="uk-UA"/>
        </w:rPr>
        <w:t>Це</w:t>
      </w:r>
      <w:r>
        <w:t xml:space="preserve"> стандартний гравіметричний метод вимірювання масової концентрації аерозольних частинок PM₁₀ або PM₂.₅ [7]. Таким чином, в українському праві референтність щодо основних фракцій пилу прямо прив'язана</w:t>
      </w:r>
      <w:r w:rsidR="00C046BE">
        <w:t xml:space="preserve"> до гравіметричного вимірювання</w:t>
      </w:r>
      <w:r w:rsidR="00C046BE">
        <w:rPr>
          <w:lang w:val="uk-UA"/>
        </w:rPr>
        <w:t>. Ц</w:t>
      </w:r>
      <w:r>
        <w:t xml:space="preserve">е </w:t>
      </w:r>
      <w:r w:rsidR="00C046BE">
        <w:rPr>
          <w:lang w:val="uk-UA"/>
        </w:rPr>
        <w:t xml:space="preserve">і </w:t>
      </w:r>
      <w:r>
        <w:t>визначає методичний статус будь-якого альтернативного засобу вимірювання [7].</w:t>
      </w:r>
      <w:r w:rsidR="000174F2">
        <w:t xml:space="preserve"> </w:t>
      </w:r>
    </w:p>
    <w:p w:rsidR="000174F2" w:rsidRDefault="000174F2" w:rsidP="000174F2">
      <w:pPr>
        <w:pStyle w:val="a7"/>
      </w:pPr>
      <w:r>
        <w:t>Той самий додаток 3 до постанови № 827 дає можливість кількісно побачити відмінність між двома режимами. Для твердих часток (ТЧ₁₀/ТЧ₂.₅) у фіксованих вимірюваннях ціль щодо похибки встановлена на рівні 25 %, тоді як для індикативних вимірювань -</w:t>
      </w:r>
      <w:r w:rsidR="00C046BE">
        <w:rPr>
          <w:lang w:val="uk-UA"/>
        </w:rPr>
        <w:t xml:space="preserve"> </w:t>
      </w:r>
      <w:r>
        <w:t>50 % [7]. Крім того, в постанові прямо зазначено, що для бензолу, свинцю, ТЧ₂.₅ та ТЧ₁₀ можуть застосовуватися випадкові вимірювання замість постійних, якщо похибка відповідає цілям якості 25 % і час вимірювань перевищує мінімальний час для індикативних</w:t>
      </w:r>
      <w:r w:rsidR="00C046BE">
        <w:t xml:space="preserve"> вимірювань</w:t>
      </w:r>
      <w:r w:rsidR="00C046BE">
        <w:rPr>
          <w:lang w:val="uk-UA"/>
        </w:rPr>
        <w:t>.</w:t>
      </w:r>
      <w:r>
        <w:t xml:space="preserve"> </w:t>
      </w:r>
      <w:r w:rsidR="00C046BE">
        <w:rPr>
          <w:lang w:val="uk-UA"/>
        </w:rPr>
        <w:t>П</w:t>
      </w:r>
      <w:r>
        <w:t xml:space="preserve">охибка, зумовлена випадковим відбором проб, може визначатися за процедурою ISO 11222:2002 [7], [19]. </w:t>
      </w:r>
      <w:r w:rsidR="00C046BE">
        <w:t>У нормативному сенсі різниця між референтними і індикативними вимірюваннями полягає не лише в типі приладу</w:t>
      </w:r>
      <w:r w:rsidR="00C046BE">
        <w:rPr>
          <w:lang w:val="uk-UA"/>
        </w:rPr>
        <w:t xml:space="preserve">, </w:t>
      </w:r>
      <w:r w:rsidR="00C046BE">
        <w:t>вона визначає статус даних і допустимий рівень невизначеності. А від цього залежить, наскільки обґрунтованими є екологічно значущі рішення, що спираються на ці дані [7], [19].</w:t>
      </w:r>
      <w:r>
        <w:t xml:space="preserve"> </w:t>
      </w:r>
    </w:p>
    <w:p w:rsidR="000174F2" w:rsidRDefault="000121A3" w:rsidP="000174F2">
      <w:pPr>
        <w:pStyle w:val="a7"/>
      </w:pPr>
      <w:r>
        <w:t>Право Європейського Союзу формулює аналогічну логіку. Директива 2008/50/EC у додатку VI визначала референтні методи для PM₁₀ та PM₂.₅, але одночасно передбачала можливість використання інших методів</w:t>
      </w:r>
      <w:r>
        <w:rPr>
          <w:lang w:val="uk-UA"/>
        </w:rPr>
        <w:t xml:space="preserve">, </w:t>
      </w:r>
      <w:r>
        <w:t xml:space="preserve">за умови доведення їх еквівалентності референтним або наявності сталої залежності з </w:t>
      </w:r>
      <w:r>
        <w:lastRenderedPageBreak/>
        <w:t>референтним методом. У такому разі результати повинні бути скориговані до еквівалентних тим, що були б отримані референтним методом [15]. Для цього дос</w:t>
      </w:r>
      <w:r w:rsidR="00E26B30">
        <w:t>лідження ця норма є принциповою</w:t>
      </w:r>
      <w:r w:rsidR="00E26B30">
        <w:rPr>
          <w:lang w:val="uk-UA"/>
        </w:rPr>
        <w:t>.</w:t>
      </w:r>
      <w:r>
        <w:t xml:space="preserve"> </w:t>
      </w:r>
      <w:r w:rsidR="00E26B30">
        <w:rPr>
          <w:lang w:val="uk-UA"/>
        </w:rPr>
        <w:t>Є</w:t>
      </w:r>
      <w:r>
        <w:t>вропейський підхід не забороняє використання альтернативних вимірювальних форматів, але вимагає доведеної залежності та процедур коригування до референтного рівня. Саме це і є методичною основою програмно-алгоритмічного методу, що розробляється в цій роботі [15].</w:t>
      </w:r>
      <w:r w:rsidR="00E26B30">
        <w:rPr>
          <w:lang w:val="uk-UA"/>
        </w:rPr>
        <w:t xml:space="preserve"> </w:t>
      </w:r>
      <w:r w:rsidR="000174F2">
        <w:t xml:space="preserve">Нова Директива (EU) 2024/2881 зберегла цей фракційний і референсно орієнтований підхід, але оновила його технічну основу. Для PM₁₀ і PM₂.₅ як референсний у ній уже використано EN 12341:2023 [16]. Це означає, що європейська система й надалі пов’язує нормативно значимі оцінки допустимості забруднення з гравіметричним стандартом, а не з будь-яким довільним автоматизованим або сенсорним рішенням [16]. </w:t>
      </w:r>
      <w:r w:rsidR="00E26B30">
        <w:rPr>
          <w:lang w:val="uk-UA"/>
        </w:rPr>
        <w:t>Т</w:t>
      </w:r>
      <w:r w:rsidR="000174F2">
        <w:t xml:space="preserve">ому у практиці моніторингу оперативні автоматизовані системи можуть бути дуже корисними, але їх дані набувають регуляторної сили лише за наявності процедур доведення співставності та якості [15], [16]. </w:t>
      </w:r>
    </w:p>
    <w:p w:rsidR="000174F2" w:rsidRDefault="00E26B30" w:rsidP="000174F2">
      <w:pPr>
        <w:pStyle w:val="a7"/>
      </w:pPr>
      <w:r>
        <w:t xml:space="preserve">Термінологічне спрощення, коли індикативні вимірювання ототожнюють з оптичними, є неточним. З опису EN 16450:2017 випливає, що автоматизовані вимірювальні системи для PM₁₀ і PM₂.₅ охоплюють різні технологічні рішення осциляційні мікроваги, бета-абсорбційні системи та оптичні методи in-situ і саме ці системи </w:t>
      </w:r>
      <w:r w:rsidRPr="00E26B30">
        <w:rPr>
          <w:lang w:val="uk-UA"/>
        </w:rPr>
        <w:t>зазвичай</w:t>
      </w:r>
      <w:r>
        <w:t xml:space="preserve"> використовуються в рутинних мережах моніторингу замість референтних методів [18]. З цього випливає два практичних наслідки. По-перше, оптичні системи є лише одним із різновидів автоматизованих систем і не вичерпують категорії індикативних вимірювань. По-друге, автоматизація або оперативність самі по собі не надають даним референтного статусу</w:t>
      </w:r>
      <w:r>
        <w:rPr>
          <w:lang w:val="uk-UA"/>
        </w:rPr>
        <w:t>. Д</w:t>
      </w:r>
      <w:r>
        <w:t>ля цього потрібна процедура доведення еквівалентності або дотримання нормативно встановлених цілей якості [7], [15], [18].</w:t>
      </w:r>
      <w:r w:rsidR="000174F2">
        <w:t xml:space="preserve"> </w:t>
      </w:r>
    </w:p>
    <w:p w:rsidR="000174F2" w:rsidRDefault="00E26B30" w:rsidP="000174F2">
      <w:pPr>
        <w:pStyle w:val="a7"/>
      </w:pPr>
      <w:r>
        <w:t xml:space="preserve">У контексті української практики це розмежування має особливу вагу. Наказ № 590 допускає використання індикативних вимірювань для розрахунку індексу </w:t>
      </w:r>
      <w:r>
        <w:lastRenderedPageBreak/>
        <w:t>якості повітря іншими суб'єктами моніторингу</w:t>
      </w:r>
      <w:r>
        <w:rPr>
          <w:lang w:val="uk-UA"/>
        </w:rPr>
        <w:t>, а</w:t>
      </w:r>
      <w:r>
        <w:t xml:space="preserve"> не лише фіксованих референтних даних [10]. Для оперативного інформування населення це відкриває можливість застосування швидших і дешевших систем контролю. Проте ця норма не скасовує вимоги дотримання цілей якості, встановлених у додатку 3 до постанови № 827</w:t>
      </w:r>
      <w:r>
        <w:rPr>
          <w:lang w:val="uk-UA"/>
        </w:rPr>
        <w:t>.</w:t>
      </w:r>
      <w:r>
        <w:t xml:space="preserve"> </w:t>
      </w:r>
      <w:r>
        <w:rPr>
          <w:lang w:val="uk-UA"/>
        </w:rPr>
        <w:t>Норма</w:t>
      </w:r>
      <w:r>
        <w:t xml:space="preserve"> не звільняє від перевірки збіжності, похибки та коригування [7], [10]. Індикативні, у тому числі оптичні, системи є необхідними для оперативного спостереження</w:t>
      </w:r>
      <w:r>
        <w:rPr>
          <w:lang w:val="uk-UA"/>
        </w:rPr>
        <w:t xml:space="preserve">, </w:t>
      </w:r>
      <w:r>
        <w:t>але методично недостатніми як єдине джерело для побудови довготривалих порівнюваних рядів без окремої процедури валідації [7], [10], [18]</w:t>
      </w:r>
    </w:p>
    <w:p w:rsidR="000174F2" w:rsidRDefault="00E26B30" w:rsidP="000174F2">
      <w:pPr>
        <w:pStyle w:val="a7"/>
      </w:pPr>
      <w:r>
        <w:rPr>
          <w:lang w:val="uk-UA"/>
        </w:rPr>
        <w:t>Р</w:t>
      </w:r>
      <w:r w:rsidR="000174F2">
        <w:t xml:space="preserve">ізниця між референтними та індикативними вимірюваннями має щонайменше чотири виміри: технологічний, метрологічний, правовий і аналітичний. Технологічно референтні методи для PM базуються на стандартизованому гравіметричному відборі та зважуванні, тоді як індикативні системи можуть бути автоматизованими й включати різні фізичні принципи, у тому числі оптичні [7], [16], [18]. Метрологічно для них встановлено різні допустимі похибки [7]. Правово вони мають різний статус у прийнятті регуляторних рішень [7], [15]. Аналітично ж саме ця різниця вимагає процедур узгодження та валідації, коли різні типи даних мають бути зіставлені в межах однієї задачі оцінювання [7], [15], [19]. </w:t>
      </w:r>
    </w:p>
    <w:p w:rsidR="000174F2" w:rsidRPr="00B128EE" w:rsidRDefault="000174F2" w:rsidP="00B128EE">
      <w:pPr>
        <w:pStyle w:val="2"/>
        <w:numPr>
          <w:ilvl w:val="1"/>
          <w:numId w:val="11"/>
        </w:numPr>
        <w:ind w:left="0" w:firstLine="0"/>
        <w:rPr>
          <w:lang w:val="ru-RU"/>
        </w:rPr>
      </w:pPr>
      <w:r w:rsidRPr="0069347A">
        <w:rPr>
          <w:lang w:val="ru-RU"/>
        </w:rPr>
        <w:t>Європейська модель регулювання та науково-методичні наслідки для України</w:t>
      </w:r>
    </w:p>
    <w:p w:rsidR="000174F2" w:rsidRDefault="00B128EE" w:rsidP="000174F2">
      <w:pPr>
        <w:pStyle w:val="a7"/>
      </w:pPr>
      <w:r>
        <w:t>Європейська система нормування атмосферного повітря побудована навколо фракційних характеристик твердих частинок. Директива 2008/50/EC встановила для PM₁₀ добову граничну величину 50 мкг/м³</w:t>
      </w:r>
      <w:r>
        <w:rPr>
          <w:lang w:val="uk-UA"/>
        </w:rPr>
        <w:t xml:space="preserve"> і </w:t>
      </w:r>
      <w:r>
        <w:t>не більше 35 перевищень на календарний рік</w:t>
      </w:r>
      <w:r>
        <w:rPr>
          <w:lang w:val="uk-UA"/>
        </w:rPr>
        <w:t>,</w:t>
      </w:r>
      <w:r>
        <w:t xml:space="preserve"> та річну граничну величину 40 мкг/м³</w:t>
      </w:r>
      <w:r>
        <w:rPr>
          <w:lang w:val="uk-UA"/>
        </w:rPr>
        <w:t>.</w:t>
      </w:r>
      <w:r>
        <w:t xml:space="preserve"> </w:t>
      </w:r>
      <w:r>
        <w:rPr>
          <w:lang w:val="uk-UA"/>
        </w:rPr>
        <w:t>Д</w:t>
      </w:r>
      <w:r>
        <w:t xml:space="preserve">ля PM₂.₅ </w:t>
      </w:r>
      <w:r>
        <w:rPr>
          <w:lang w:val="uk-UA"/>
        </w:rPr>
        <w:t>-</w:t>
      </w:r>
      <w:r>
        <w:t xml:space="preserve"> річну граничну величину 25 мкг/м³ [15]. Та</w:t>
      </w:r>
      <w:r>
        <w:rPr>
          <w:lang w:val="uk-UA"/>
        </w:rPr>
        <w:t xml:space="preserve">кож ця </w:t>
      </w:r>
      <w:r>
        <w:t xml:space="preserve"> директива допускала зменшення мінімальної кількості пунктів фіксованих вимірювань до 50 %, якщо інформація доповнювалася індикативними вимірюваннями або моделюванням за умови дотримання цілей </w:t>
      </w:r>
      <w:r>
        <w:lastRenderedPageBreak/>
        <w:t>якості даних [15]. У європейській моделі індикативні вимірювання не протиставляються фіксованим, а функціонально доповнюють їх</w:t>
      </w:r>
      <w:r>
        <w:rPr>
          <w:lang w:val="uk-UA"/>
        </w:rPr>
        <w:t>,</w:t>
      </w:r>
      <w:r>
        <w:t xml:space="preserve"> </w:t>
      </w:r>
      <w:r>
        <w:rPr>
          <w:lang w:val="uk-UA"/>
        </w:rPr>
        <w:t>а</w:t>
      </w:r>
      <w:r>
        <w:t xml:space="preserve"> еталоном для порівняння залишається референтний фракційний показник [15]</w:t>
      </w:r>
      <w:r w:rsidR="000174F2">
        <w:t xml:space="preserve">. </w:t>
      </w:r>
    </w:p>
    <w:p w:rsidR="000174F2" w:rsidRDefault="00B128EE" w:rsidP="000174F2">
      <w:pPr>
        <w:pStyle w:val="a7"/>
      </w:pPr>
      <w:r>
        <w:t>Директива (EU) 2024/2881 суттєво п</w:t>
      </w:r>
      <w:r>
        <w:rPr>
          <w:lang w:val="uk-UA"/>
        </w:rPr>
        <w:t>ідсилила</w:t>
      </w:r>
      <w:r>
        <w:t xml:space="preserve"> вимоги. З 1 січня 2030 року вст</w:t>
      </w:r>
      <w:r w:rsidR="002225FF">
        <w:t>ановлено нові граничні значення</w:t>
      </w:r>
      <w:r w:rsidR="002225FF">
        <w:rPr>
          <w:lang w:val="uk-UA"/>
        </w:rPr>
        <w:t>.</w:t>
      </w:r>
      <w:r>
        <w:t xml:space="preserve"> </w:t>
      </w:r>
      <w:r w:rsidR="002225FF">
        <w:rPr>
          <w:lang w:val="uk-UA"/>
        </w:rPr>
        <w:t>Д</w:t>
      </w:r>
      <w:r>
        <w:t xml:space="preserve">ля PM₂.₅ </w:t>
      </w:r>
      <w:r w:rsidR="002225FF">
        <w:rPr>
          <w:lang w:val="uk-UA"/>
        </w:rPr>
        <w:t>-</w:t>
      </w:r>
      <w:r>
        <w:t xml:space="preserve"> 25 мкг/м³ за добу з не більше 18 перевищеннями на рік </w:t>
      </w:r>
      <w:r w:rsidR="002225FF">
        <w:t>та 10 мкг/м³ як річний показник</w:t>
      </w:r>
      <w:r w:rsidR="002225FF">
        <w:rPr>
          <w:lang w:val="uk-UA"/>
        </w:rPr>
        <w:t>. Д</w:t>
      </w:r>
      <w:r>
        <w:t xml:space="preserve">ля PM₁₀ </w:t>
      </w:r>
      <w:r w:rsidR="002225FF">
        <w:rPr>
          <w:lang w:val="uk-UA"/>
        </w:rPr>
        <w:t>-</w:t>
      </w:r>
      <w:r>
        <w:t xml:space="preserve"> 45 мкг/м³ за добу </w:t>
      </w:r>
      <w:r w:rsidR="002225FF">
        <w:rPr>
          <w:lang w:val="uk-UA"/>
        </w:rPr>
        <w:t>і</w:t>
      </w:r>
      <w:r>
        <w:t xml:space="preserve"> не більше 18 перевищен</w:t>
      </w:r>
      <w:r w:rsidR="002225FF">
        <w:rPr>
          <w:lang w:val="uk-UA"/>
        </w:rPr>
        <w:t>ь</w:t>
      </w:r>
      <w:r>
        <w:t xml:space="preserve"> на рік</w:t>
      </w:r>
      <w:r w:rsidR="002225FF">
        <w:rPr>
          <w:lang w:val="uk-UA"/>
        </w:rPr>
        <w:t>,</w:t>
      </w:r>
      <w:r>
        <w:t xml:space="preserve"> та 20 мкг/м³ як річний показник [16]. Директива також передбачила розгортання суперсайтів моніторингу, де поряд із PM₁₀ та PM₂.₅ контролюються ультрадрібні частинки, чорний вуглець, аміак та інші показники для поглибленого аналізу джерел і впливів аерозольного забруднення [16]. За оцінкою EEA, переглянута директива істотно наблизила європейські норми до рекомендацій ВООЗ [17].</w:t>
      </w:r>
      <w:r w:rsidR="000174F2">
        <w:t xml:space="preserve"> </w:t>
      </w:r>
    </w:p>
    <w:p w:rsidR="002225FF" w:rsidRDefault="002225FF" w:rsidP="000174F2">
      <w:pPr>
        <w:pStyle w:val="a7"/>
      </w:pPr>
      <w:r>
        <w:t>Ні Директива 2008/50/EC, ні Директива (EU) 2024/2881 не використовують TSP як показник відповідності стандартам якості атмосферного повітря для захисту здоров'я [15], [16]. У цьому полягає фундаментальна різниця між сучасною європейською моделлю та змішаною українською практикою, де TSP повернуто до чинного нормативного поля моніторингу, а нефракційні показники продовжують існувати в офіційній звітності та суміжному регулюванні [7], [8], [13], [14], [20]. Проблема для України полягає не в тому, що TSP є «забороненим» або «неправильним»</w:t>
      </w:r>
      <w:r>
        <w:rPr>
          <w:lang w:val="uk-UA"/>
        </w:rPr>
        <w:t xml:space="preserve">, </w:t>
      </w:r>
      <w:r>
        <w:t>а в тому, що він не є основним показником сучасної системи оцінювання ризику, тоді як значна частина історично накопиченої інформації та фактичної практики спостережень залишається нефракційною [7], [15], [16].</w:t>
      </w:r>
    </w:p>
    <w:p w:rsidR="004619D1" w:rsidRDefault="002225FF" w:rsidP="000174F2">
      <w:pPr>
        <w:pStyle w:val="a7"/>
      </w:pPr>
      <w:r>
        <w:t>Рекомендації ВООЗ задають ще жорсткіші орієнтири. Рекомендовані середньорічні рівні становлять менше 5 мкг/м³ для PM₂.₅ і менше 15 мкг/м³ для PM₁₀</w:t>
      </w:r>
      <w:r>
        <w:rPr>
          <w:lang w:val="uk-UA"/>
        </w:rPr>
        <w:t>.</w:t>
      </w:r>
      <w:r>
        <w:t xml:space="preserve"> </w:t>
      </w:r>
      <w:r>
        <w:rPr>
          <w:lang w:val="uk-UA"/>
        </w:rPr>
        <w:t>Д</w:t>
      </w:r>
      <w:r>
        <w:t xml:space="preserve">ля 24-годинних середніх </w:t>
      </w:r>
      <w:r>
        <w:rPr>
          <w:lang w:val="uk-UA"/>
        </w:rPr>
        <w:t>відповідно</w:t>
      </w:r>
      <w:r>
        <w:t xml:space="preserve"> 15 мкг/м³ для PM₂.₅ та 45 мкг/м³ для PM₁₀ [3]. За даними EEA, саме PM₂.₅ продовжує зумовлювати найбільший внесок у тягар захворюваності й передчасної смертності, пов'язаної із забрудненням повітря в Європі [4]. Науково та нормативно обґрунтована система оцінювання якості повітря </w:t>
      </w:r>
      <w:r>
        <w:lastRenderedPageBreak/>
        <w:t>має залишатися фракційно орієнтованою. Для країн, де тривалий час накопичувались нефракційні спостереження, це не скасовує цінності історичних рядів</w:t>
      </w:r>
      <w:r>
        <w:rPr>
          <w:lang w:val="uk-UA"/>
        </w:rPr>
        <w:t>, а</w:t>
      </w:r>
      <w:r>
        <w:t xml:space="preserve"> навпаки, ставить завдання їх коректної інтерпретації та трансформації [3], [4].</w:t>
      </w:r>
    </w:p>
    <w:p w:rsidR="000174F2" w:rsidRDefault="004619D1" w:rsidP="000174F2">
      <w:pPr>
        <w:pStyle w:val="a7"/>
      </w:pPr>
      <w:r>
        <w:t>Саме тут формується логіка наступних розділів. Регуляторна система оцінювання побудована навколо PM₁₀ і PM₂.₅</w:t>
      </w:r>
      <w:r>
        <w:rPr>
          <w:lang w:val="uk-UA"/>
        </w:rPr>
        <w:t xml:space="preserve">, </w:t>
      </w:r>
      <w:r>
        <w:t>але офіційні українські джерела одночасно документують технічний дефіцит оснащення, збереження нефракційної звітності та присутність TSP у чинному нормативному полі [7], [8], [10], [12], [13], [14]. За цих умов науково виправданим є не вибір між двома режимами вимірювання, а розроблення методу їх узгодження. PM₁₀ залишається нормативно цільовим орієнтиром, тоді як нефракційні історичні ряди не відкидаються</w:t>
      </w:r>
      <w:r>
        <w:rPr>
          <w:lang w:val="uk-UA"/>
        </w:rPr>
        <w:t>,</w:t>
      </w:r>
      <w:r>
        <w:t xml:space="preserve"> </w:t>
      </w:r>
      <w:r>
        <w:rPr>
          <w:lang w:val="uk-UA"/>
        </w:rPr>
        <w:t>а</w:t>
      </w:r>
      <w:r>
        <w:t xml:space="preserve"> залучаються як емпірична база, що потребує каліброваного перетворення та коригування [12], [15]</w:t>
      </w:r>
      <w:r w:rsidR="000174F2">
        <w:t xml:space="preserve">. </w:t>
      </w:r>
    </w:p>
    <w:p w:rsidR="00A72752" w:rsidRDefault="00A72752" w:rsidP="000174F2">
      <w:pPr>
        <w:pStyle w:val="a7"/>
      </w:pPr>
      <w:r>
        <w:t>Індикативні вимірювання PM₁₀ в сучасних умовах не є другорядними. Вони необхідні для оперативного моніторингу, швидкого інформування населення, локального просторового покриття та виявлення короткочасних епізодів забруднення [10], [15]. В Україні це набуває особливої ваги</w:t>
      </w:r>
      <w:r>
        <w:rPr>
          <w:lang w:val="uk-UA"/>
        </w:rPr>
        <w:t>.</w:t>
      </w:r>
      <w:r>
        <w:t xml:space="preserve"> </w:t>
      </w:r>
      <w:r>
        <w:rPr>
          <w:lang w:val="uk-UA"/>
        </w:rPr>
        <w:t>З</w:t>
      </w:r>
      <w:r>
        <w:t>гідно з затвердженими програмами екологічного моніторингу мережа індикативних міні-станцій для вимірювання фракційних значень твердих частинок вже суттєво зросла і продовжуватиме розширюватися</w:t>
      </w:r>
      <w:r>
        <w:rPr>
          <w:lang w:val="uk-UA"/>
        </w:rPr>
        <w:t>,</w:t>
      </w:r>
      <w:r>
        <w:t xml:space="preserve">  тоді як референтні ряди фракційних вимірювань залишаються обмеженими. Водночас індикативні вимірювання мають обмеження щодо невизначеності та правового статусу і потребують валідації відносно референтної бази [7], [15], [18]. За відсутності повних і тривалих референтних рядів PM₁₀ у публічно доступному загальнонаціональному масштабі завдання побудови методу узгодження PM₁₀</w:t>
      </w:r>
      <w:r>
        <w:rPr>
          <w:lang w:val="uk-UA"/>
        </w:rPr>
        <w:t xml:space="preserve"> і </w:t>
      </w:r>
      <w:r>
        <w:t>TSP набуває не факультативного, а системного значення</w:t>
      </w:r>
      <w:r>
        <w:rPr>
          <w:lang w:val="uk-UA"/>
        </w:rPr>
        <w:t>.</w:t>
      </w:r>
      <w:r>
        <w:t xml:space="preserve"> </w:t>
      </w:r>
      <w:r>
        <w:rPr>
          <w:lang w:val="uk-UA"/>
        </w:rPr>
        <w:t>Ц</w:t>
      </w:r>
      <w:r>
        <w:t xml:space="preserve">е </w:t>
      </w:r>
      <w:r>
        <w:rPr>
          <w:lang w:val="uk-UA"/>
        </w:rPr>
        <w:t xml:space="preserve">і </w:t>
      </w:r>
      <w:r>
        <w:t>є методичним підґрунтям подальшого дослідження [7], [10], [12], [13], [14], [15], [18].</w:t>
      </w:r>
    </w:p>
    <w:p w:rsidR="000174F2" w:rsidRPr="00A72752" w:rsidRDefault="000174F2" w:rsidP="00A72752">
      <w:pPr>
        <w:pStyle w:val="2"/>
        <w:ind w:firstLine="0"/>
        <w:rPr>
          <w:lang w:val="ru-RU"/>
        </w:rPr>
      </w:pPr>
      <w:r w:rsidRPr="00A72752">
        <w:rPr>
          <w:lang w:val="ru-RU"/>
        </w:rPr>
        <w:lastRenderedPageBreak/>
        <w:t>Висновки до Розділу1</w:t>
      </w:r>
    </w:p>
    <w:p w:rsidR="000174F2" w:rsidRDefault="00A72752" w:rsidP="000174F2">
      <w:pPr>
        <w:pStyle w:val="a7"/>
      </w:pPr>
      <w:r>
        <w:t>Аналіз нормативно-правової бази та офіційних джерел дає підстави для таких висновків.</w:t>
      </w:r>
      <w:r w:rsidR="000174F2">
        <w:t xml:space="preserve"> </w:t>
      </w:r>
    </w:p>
    <w:p w:rsidR="000174F2" w:rsidRDefault="00A72752" w:rsidP="000174F2">
      <w:pPr>
        <w:pStyle w:val="a7"/>
      </w:pPr>
      <w:r>
        <w:t>По-перше, якість атмосферного повітря належить до предметного поля екологічної безпеки. Національне законодавство прямо пов'язує екологічну безпеку зі станом довкілля та небезпекою для здоров'я людей [1]. Міжнародні та європейські джерела визначають забруднення повітря  насамперед дрібнодисперсними частинками</w:t>
      </w:r>
      <w:r>
        <w:rPr>
          <w:lang w:val="uk-UA"/>
        </w:rPr>
        <w:t>,</w:t>
      </w:r>
      <w:r>
        <w:t xml:space="preserve"> як один із головних екологічних чинників ризику [2], [3], [4], [5].</w:t>
      </w:r>
      <w:r w:rsidR="000174F2">
        <w:t xml:space="preserve"> </w:t>
      </w:r>
    </w:p>
    <w:p w:rsidR="000174F2" w:rsidRDefault="00A72752" w:rsidP="000174F2">
      <w:pPr>
        <w:pStyle w:val="a7"/>
      </w:pPr>
      <w:r>
        <w:t xml:space="preserve">По-друге, чинна українська нормативна система моніторингу атмосферного повітря побудована переважно навколо фракційних показників PM₁₀ і PM₂.₅. Це випливає з постанови № 827, наказу </w:t>
      </w:r>
      <w:r w:rsidR="002B5E2E">
        <w:rPr>
          <w:lang w:val="uk-UA"/>
        </w:rPr>
        <w:t>МВ</w:t>
      </w:r>
      <w:bookmarkStart w:id="0" w:name="_GoBack"/>
      <w:bookmarkEnd w:id="0"/>
      <w:r w:rsidR="00857B37">
        <w:rPr>
          <w:lang w:val="uk-UA"/>
        </w:rPr>
        <w:t xml:space="preserve">С </w:t>
      </w:r>
      <w:r w:rsidR="00857B37">
        <w:t>№ 300</w:t>
      </w:r>
      <w:r w:rsidR="00857B37">
        <w:rPr>
          <w:lang w:val="uk-UA"/>
        </w:rPr>
        <w:t xml:space="preserve"> </w:t>
      </w:r>
      <w:r>
        <w:t>про розміщення пунктів спостереження та наказу № 590 про індекс якості повітря у якому саме ТЧ₂.₅ і ТЧ₁₀ є базовими показниками для оперативного інформування населення [7], [9], [10]. Водночас TSP прямо згадується в постанові № 827 в додатку 2, розділі I, списку А, пункті 14, а також у додатку 3 щодо приведення об'єму проби до нормальних умов</w:t>
      </w:r>
      <w:r w:rsidR="00857B37">
        <w:rPr>
          <w:lang w:val="uk-UA"/>
        </w:rPr>
        <w:t>.</w:t>
      </w:r>
      <w:r w:rsidR="00857B37">
        <w:t xml:space="preserve"> </w:t>
      </w:r>
      <w:r w:rsidR="00857B37">
        <w:rPr>
          <w:lang w:val="uk-UA"/>
        </w:rPr>
        <w:t>Ц</w:t>
      </w:r>
      <w:r>
        <w:t>і положення введені або уточнені постановою № 513 від 07.05.2024 [7], [8].</w:t>
      </w:r>
      <w:r w:rsidR="000174F2">
        <w:t xml:space="preserve"> </w:t>
      </w:r>
    </w:p>
    <w:p w:rsidR="000174F2" w:rsidRDefault="000174F2" w:rsidP="000174F2">
      <w:pPr>
        <w:pStyle w:val="a7"/>
      </w:pPr>
      <w:r>
        <w:t xml:space="preserve">По-третє, співіснування фракційних і нефракційних режимів вимірювання концентрацій твердих частинок в Україні є реальним, але потребує точного формулювання меж доказовості. Чинний наказ № 309 продовжує оперувати суспендованими твердими частинками, недиференційованими за складом, однак він належить до сфери нормування викидів із стаціонарних джерел і не може використовуватися як безпосередня імісійна основа оцінки якості атмосферного повітря [20]. Офіційні звіти ЦГО за 2024 рік і за перше півріччя 2025 року продовжують використовувати показник «завислі речовини», що підтверджує збереження нефракційної практики звітування в гідрометеорологічній мережі [13], [14]. </w:t>
      </w:r>
    </w:p>
    <w:p w:rsidR="000174F2" w:rsidRDefault="000174F2" w:rsidP="000174F2">
      <w:pPr>
        <w:pStyle w:val="a7"/>
      </w:pPr>
      <w:r>
        <w:t xml:space="preserve">По-четверте, розмежування між референтними та індикативними вимірюваннями в українському й європейському праві є чітким і має безпосередній </w:t>
      </w:r>
      <w:r>
        <w:lastRenderedPageBreak/>
        <w:t xml:space="preserve">методичний наслідок. Референтні вимірювання PM пов’язані зі стандартизованим гравіметричним методом EN 12341, тоді як індикативні дані мають вищу допустиму похибку, можуть доповнювати мережу спостережень, але потребують перевірки якості та, у разі використання нереферентних систем, доведення еквівалентності або сталої залежності з референсним методом [7], [15], [16], [18], [19]. </w:t>
      </w:r>
      <w:r w:rsidR="00857B37">
        <w:rPr>
          <w:lang w:val="uk-UA"/>
        </w:rPr>
        <w:t>І</w:t>
      </w:r>
      <w:r>
        <w:t xml:space="preserve">ндикативні, у тому числі оптичні, системи слід розглядати як необхідний елемент оперативного моніторингу, але не як самодостатню заміну референтним рядам без окремої процедури валідації [7], [10], [15], [18]. </w:t>
      </w:r>
    </w:p>
    <w:p w:rsidR="000174F2" w:rsidRDefault="000174F2" w:rsidP="000174F2">
      <w:pPr>
        <w:pStyle w:val="a7"/>
      </w:pPr>
      <w:r>
        <w:t xml:space="preserve">По-п’яте, європейська модель регулювання залишається послідовно фракційною, а переглянута Директива (EU) 2024/2881 додатково посилює цей курс, наближаючи нормативи до рекомендацій ВООЗ [3], [16], [17]. За цих умов науково коректним продовженням даного розділу є не дублювання результатів валідації чи власних експериментів, а постановка задачі побудови методу узгодження між PM₁₀ та нефракційними рядами спостережень, який у наступних розділах має бути обґрунтований, перевірений і валідаційно оцінений. </w:t>
      </w:r>
      <w:r w:rsidR="00857B37">
        <w:t>Цей перехід логічно випливає з проаналізованих нормативних і методичних джерел і визначає структуру наступних розділів дисертації [7], [10], [12], [15], [16].</w:t>
      </w:r>
    </w:p>
    <w:p w:rsidR="000174F2" w:rsidRDefault="000174F2" w:rsidP="000174F2">
      <w:pPr>
        <w:pStyle w:val="a7"/>
      </w:pPr>
    </w:p>
    <w:p w:rsidR="000174F2" w:rsidRPr="008C1BA0" w:rsidRDefault="000174F2" w:rsidP="0069347A">
      <w:pPr>
        <w:pStyle w:val="11"/>
        <w:rPr>
          <w:lang w:val="ru-RU"/>
        </w:rPr>
      </w:pPr>
      <w:r w:rsidRPr="008C1BA0">
        <w:rPr>
          <w:lang w:val="ru-RU"/>
        </w:rPr>
        <w:t>Список джерел</w:t>
      </w:r>
    </w:p>
    <w:p w:rsidR="000174F2" w:rsidRDefault="000174F2" w:rsidP="000174F2">
      <w:pPr>
        <w:pStyle w:val="a7"/>
      </w:pPr>
      <w:r>
        <w:t>1.</w:t>
      </w:r>
      <w:r>
        <w:tab/>
        <w:t xml:space="preserve">[1] Про охорону навколишнього природного середовища: Закон України від 25.06.1991 № 1264-XII. URL: https://zakon.rada.gov.ua/go/1264-12 </w:t>
      </w:r>
    </w:p>
    <w:p w:rsidR="000174F2" w:rsidRDefault="000174F2" w:rsidP="000174F2">
      <w:pPr>
        <w:pStyle w:val="a7"/>
      </w:pPr>
      <w:r>
        <w:t>2.</w:t>
      </w:r>
      <w:r>
        <w:tab/>
        <w:t>[2] Ambient (outdoor) air pollution. World Health Organization. URL: https://www.who.int/news-room/fact-sheets/detail/ambient-%28outdoor%29-air-quality-and-health</w:t>
      </w:r>
    </w:p>
    <w:p w:rsidR="000174F2" w:rsidRDefault="000174F2" w:rsidP="000174F2">
      <w:pPr>
        <w:pStyle w:val="a7"/>
      </w:pPr>
      <w:r>
        <w:t>3.</w:t>
      </w:r>
      <w:r>
        <w:tab/>
        <w:t xml:space="preserve">[3] WHO global air quality guidelines: particulate matter (PM2.5 and PM10), ozone, nitrogen dioxide, sulfur dioxide and carbon monoxide. World Health Organization. URL: https://www.who.int/publications/i/item/9789240034228 </w:t>
      </w:r>
    </w:p>
    <w:p w:rsidR="000174F2" w:rsidRDefault="000174F2" w:rsidP="000174F2">
      <w:pPr>
        <w:pStyle w:val="a7"/>
      </w:pPr>
      <w:r>
        <w:lastRenderedPageBreak/>
        <w:t>4.</w:t>
      </w:r>
      <w:r>
        <w:tab/>
        <w:t xml:space="preserve">[4] How air pollution affects our health. European Environment Agency. URL: https://www.eea.europa.eu/en/topics/in-depth/air-pollution/how-it-affects-our-health </w:t>
      </w:r>
    </w:p>
    <w:p w:rsidR="000174F2" w:rsidRDefault="000174F2" w:rsidP="000174F2">
      <w:pPr>
        <w:pStyle w:val="a7"/>
      </w:pPr>
      <w:r>
        <w:t>5.</w:t>
      </w:r>
      <w:r>
        <w:tab/>
        <w:t>[5] Про охорону атмосферного повітря: Закон України від 16.10.1992 № 2707-XII. URL: https://zakon.rada.gov.ua/go/2707-12</w:t>
      </w:r>
    </w:p>
    <w:p w:rsidR="000174F2" w:rsidRDefault="000174F2" w:rsidP="000174F2">
      <w:pPr>
        <w:pStyle w:val="a7"/>
      </w:pPr>
      <w:r>
        <w:t>6.</w:t>
      </w:r>
      <w:r>
        <w:tab/>
        <w:t>[6] Про внесення змін до деяких законодавчих актів України щодо державної системи моніторингу довкілля, інформації про стан довкілля (екологічної інформації) та інформаційного забезпечення управління у сфері довкілля: Закон України від 20.03.2023 № 2973-IX. URL: https://zakon.rada.gov.ua/go/2973-20</w:t>
      </w:r>
    </w:p>
    <w:p w:rsidR="000174F2" w:rsidRDefault="000174F2" w:rsidP="000174F2">
      <w:pPr>
        <w:pStyle w:val="a7"/>
      </w:pPr>
      <w:r>
        <w:t>7.</w:t>
      </w:r>
      <w:r>
        <w:tab/>
        <w:t xml:space="preserve">[7] Деякі питання здійснення державного моніторингу в галузі охорони атмосферного повітря: Постанова Кабінету Міністрів України від 14.08.2019 № 827. URL: https://zakon.rada.gov.ua/go/827-2019-%D0%BF </w:t>
      </w:r>
    </w:p>
    <w:p w:rsidR="000174F2" w:rsidRDefault="000174F2" w:rsidP="000174F2">
      <w:pPr>
        <w:pStyle w:val="a7"/>
      </w:pPr>
      <w:r>
        <w:t>8.</w:t>
      </w:r>
      <w:r>
        <w:tab/>
        <w:t xml:space="preserve">[8] Про внесення змін до постанов Кабінету Міністрів України від 14 серпня 2019 р. № 827 і від 25 червня 2020 р. № 614: Постанова Кабінету Міністрів України від 07.05.2024 № 513. URL: https://zakon.rada.gov.ua/go/513-2024-%D0%BF </w:t>
      </w:r>
    </w:p>
    <w:p w:rsidR="000174F2" w:rsidRDefault="000174F2" w:rsidP="000174F2">
      <w:pPr>
        <w:pStyle w:val="a7"/>
      </w:pPr>
      <w:r>
        <w:t>9.</w:t>
      </w:r>
      <w:r>
        <w:tab/>
        <w:t>[9] Про затвердження Порядку розміщення пунктів спостережень за забрудненням атмосферного повітря в зонах та агломераціях: Наказ МВС України від 21.04.2021 № 300. URL: https://zakon.rada.gov.ua/go/z0635-21</w:t>
      </w:r>
    </w:p>
    <w:p w:rsidR="000174F2" w:rsidRDefault="000174F2" w:rsidP="000174F2">
      <w:pPr>
        <w:pStyle w:val="a7"/>
      </w:pPr>
      <w:r>
        <w:t>10.</w:t>
      </w:r>
      <w:r>
        <w:tab/>
        <w:t xml:space="preserve">[10] Про затвердження Порядку інформування населення про якість повітря за основними показниками з використанням індексу якості повітря в Україні: Наказ Міндовкілля від 24.03.2025 № 590. URL: https://zakon.rada.gov.ua/go/z0536-25 </w:t>
      </w:r>
    </w:p>
    <w:p w:rsidR="000174F2" w:rsidRDefault="000174F2" w:rsidP="000174F2">
      <w:pPr>
        <w:pStyle w:val="a7"/>
      </w:pPr>
      <w:r>
        <w:t>11.</w:t>
      </w:r>
      <w:r>
        <w:tab/>
        <w:t xml:space="preserve">[11] Деякі питання функціонування державної системи моніторингу довкілля та її підсистем: Постанова Кабінету Міністрів України від 13.06.2024 № 684. URL: https://zakon.rada.gov.ua/go/684-2024-%D0%BF </w:t>
      </w:r>
    </w:p>
    <w:p w:rsidR="000174F2" w:rsidRDefault="000174F2" w:rsidP="000174F2">
      <w:pPr>
        <w:pStyle w:val="a7"/>
      </w:pPr>
      <w:r>
        <w:t>12.</w:t>
      </w:r>
      <w:r>
        <w:tab/>
        <w:t xml:space="preserve">[12] Моніторинг довкілля. Аналітична записка щодо стану та перспектив розвитку державної системи моніторингу довкілля. Міністерство </w:t>
      </w:r>
      <w:r>
        <w:lastRenderedPageBreak/>
        <w:t xml:space="preserve">захисту довкілля та природних ресурсів України, 2022. URL: https://mepr.gov.ua/wp-content/uploads/2023/02/Monitoring-Green-Paper_15_02_2022.pdf </w:t>
      </w:r>
    </w:p>
    <w:p w:rsidR="000174F2" w:rsidRDefault="000174F2" w:rsidP="000174F2">
      <w:pPr>
        <w:pStyle w:val="a7"/>
      </w:pPr>
      <w:r>
        <w:t>13.</w:t>
      </w:r>
      <w:r>
        <w:tab/>
        <w:t xml:space="preserve">[13] Огляд стану забруднення навколишнього природного середовища на території України у 2024 році. Центральна геофізична обсерваторія імені Бориса Срезневського. URL: https://cgo-sreznevskyi.kyiv.ua/images/%D0%9E%D0%93%D0%9B%D0%AF%D0%94_2024_%D0%BF%D0%BE%D0%B2%D0%BD%D0%B8%D0%B9_%D0%B2%D0%B0%D1%80%D1%96%D0%B0%D0%BD%D1%82doc_1-%D1%81%D0%B6%D0%B0%D1%82%D1%8B%D0%B9.pdf </w:t>
      </w:r>
    </w:p>
    <w:p w:rsidR="000174F2" w:rsidRDefault="000174F2" w:rsidP="000174F2">
      <w:pPr>
        <w:pStyle w:val="a7"/>
      </w:pPr>
      <w:r>
        <w:t>14.</w:t>
      </w:r>
      <w:r>
        <w:tab/>
        <w:t xml:space="preserve">[14] Огляд стану забруднення навколишнього природного середовища на території України за І півріччя 2025 року. Центральна геофізична обсерваторія імені Бориса Срезневського. URL: https://cgo-sreznevskyi.kyiv.ua/images/oglyad-stanu-zabrudnennya_-%D0%86_-2025.pdf </w:t>
      </w:r>
    </w:p>
    <w:p w:rsidR="000174F2" w:rsidRDefault="000174F2" w:rsidP="000174F2">
      <w:pPr>
        <w:pStyle w:val="a7"/>
      </w:pPr>
      <w:r>
        <w:t>15.</w:t>
      </w:r>
      <w:r>
        <w:tab/>
        <w:t xml:space="preserve">[15] Directive 2008/50/EC of the European Parliament and of the Council of 21 May 2008 on ambient air quality and cleaner air for Europe. EUR-Lex. URL: https://eur-lex.europa.eu/legal-content/EN/TXT/PDF/?uri=OJ%3AL%3A2008%3A152%3AFULL </w:t>
      </w:r>
    </w:p>
    <w:p w:rsidR="000174F2" w:rsidRDefault="000174F2" w:rsidP="000174F2">
      <w:pPr>
        <w:pStyle w:val="a7"/>
      </w:pPr>
      <w:r>
        <w:t>16.</w:t>
      </w:r>
      <w:r>
        <w:tab/>
        <w:t>[16] Directive (EU) 2024/2881 of the European Parliament and of the Council of 23 October 2024 on ambient air quality and cleaner air for Europe (recast). EUR-Lex. URL: https://eur-lex.europa.eu/legal-content/EN/TXT/PDF/?uri=OJ%3AL_202402881</w:t>
      </w:r>
    </w:p>
    <w:p w:rsidR="000174F2" w:rsidRDefault="000174F2" w:rsidP="000174F2">
      <w:pPr>
        <w:pStyle w:val="a7"/>
      </w:pPr>
      <w:r>
        <w:t>17.</w:t>
      </w:r>
      <w:r>
        <w:tab/>
        <w:t xml:space="preserve">[17] Benchmark analysis against the standards in the revised directive (EU) 2024/2881. European Environment Agency, 2025. URL: https://www.eea.europa.eu/en/analysis/publications/air-quality-status-report-2025/benchmark-analysis-against-the-standards-in-the-revised-directive-eu-2024-2881 </w:t>
      </w:r>
    </w:p>
    <w:p w:rsidR="000174F2" w:rsidRDefault="000174F2" w:rsidP="000174F2">
      <w:pPr>
        <w:pStyle w:val="a7"/>
      </w:pPr>
      <w:r>
        <w:t>18.</w:t>
      </w:r>
      <w:r>
        <w:tab/>
        <w:t xml:space="preserve">[18] EN 16450:2017 Ambient air -Automated measuring systems for the measurement of the concentration of particulate matter (PM10; PM2,5). Standard </w:t>
      </w:r>
      <w:r>
        <w:lastRenderedPageBreak/>
        <w:t xml:space="preserve">catalogue entry. URL: https://standards.iteh.ai/catalog/standards/cen/21722c9a-74b9-4f47-901c-40ecec95dcfe/en-16450-2017 </w:t>
      </w:r>
    </w:p>
    <w:p w:rsidR="000174F2" w:rsidRDefault="000174F2" w:rsidP="000174F2">
      <w:pPr>
        <w:pStyle w:val="a7"/>
      </w:pPr>
      <w:r>
        <w:t>19.</w:t>
      </w:r>
      <w:r>
        <w:tab/>
        <w:t xml:space="preserve">[19] ISO 11222:2002 Air quality -Determination of the uncertainty of the time average of air quality measurements. International Organization for Standardization. URL: https://www.iso.org/standard/32066.html </w:t>
      </w:r>
    </w:p>
    <w:p w:rsidR="00093EE9" w:rsidRPr="006473D9" w:rsidRDefault="000174F2" w:rsidP="000174F2">
      <w:pPr>
        <w:pStyle w:val="a7"/>
      </w:pPr>
      <w:r>
        <w:t>20.</w:t>
      </w:r>
      <w:r>
        <w:tab/>
        <w:t>[20] Про затвердження нормативів граничнодопустимих викидів забруднюючих речовин із стаціонарних джерел: Наказ Мінприроди України від 27.06.2006 № 309. URL: https://zakon.rada.gov.ua/go/z0912-06</w:t>
      </w:r>
    </w:p>
    <w:sectPr w:rsidR="00093EE9" w:rsidRPr="006473D9" w:rsidSect="0069347A">
      <w:pgSz w:w="12240" w:h="15840"/>
      <w:pgMar w:top="1134" w:right="567" w:bottom="1134" w:left="1701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A10E137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728846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8407F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4AAE59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9CA74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70064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3F02C2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F4A9C9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1507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6B63CA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36035FD"/>
    <w:multiLevelType w:val="multilevel"/>
    <w:tmpl w:val="05641496"/>
    <w:lvl w:ilvl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11" w15:restartNumberingAfterBreak="0">
    <w:nsid w:val="6C106D5F"/>
    <w:multiLevelType w:val="hybridMultilevel"/>
    <w:tmpl w:val="73564E90"/>
    <w:lvl w:ilvl="0" w:tplc="E0C8F5A6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2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4F2"/>
    <w:rsid w:val="000121A3"/>
    <w:rsid w:val="000174F2"/>
    <w:rsid w:val="000269ED"/>
    <w:rsid w:val="00084804"/>
    <w:rsid w:val="00093EE9"/>
    <w:rsid w:val="000C5712"/>
    <w:rsid w:val="00135ABA"/>
    <w:rsid w:val="001A0A81"/>
    <w:rsid w:val="001E2B8A"/>
    <w:rsid w:val="002225FF"/>
    <w:rsid w:val="00270D76"/>
    <w:rsid w:val="002764F6"/>
    <w:rsid w:val="002B5E2E"/>
    <w:rsid w:val="002C04F0"/>
    <w:rsid w:val="003201DF"/>
    <w:rsid w:val="0033559C"/>
    <w:rsid w:val="00354ACB"/>
    <w:rsid w:val="0036172B"/>
    <w:rsid w:val="003D7C82"/>
    <w:rsid w:val="003E4F05"/>
    <w:rsid w:val="004619D1"/>
    <w:rsid w:val="005331AF"/>
    <w:rsid w:val="00571E79"/>
    <w:rsid w:val="00576962"/>
    <w:rsid w:val="005C167E"/>
    <w:rsid w:val="0061593B"/>
    <w:rsid w:val="006245CB"/>
    <w:rsid w:val="00641ADE"/>
    <w:rsid w:val="006473D9"/>
    <w:rsid w:val="0069347A"/>
    <w:rsid w:val="006A1608"/>
    <w:rsid w:val="006A5BBD"/>
    <w:rsid w:val="007E6460"/>
    <w:rsid w:val="007F42C4"/>
    <w:rsid w:val="00832616"/>
    <w:rsid w:val="00857B37"/>
    <w:rsid w:val="008622CE"/>
    <w:rsid w:val="008750EF"/>
    <w:rsid w:val="008C1BA0"/>
    <w:rsid w:val="009302F8"/>
    <w:rsid w:val="00960151"/>
    <w:rsid w:val="00971D8F"/>
    <w:rsid w:val="009E4134"/>
    <w:rsid w:val="009F2D9B"/>
    <w:rsid w:val="00A07F95"/>
    <w:rsid w:val="00A456A0"/>
    <w:rsid w:val="00A71BDA"/>
    <w:rsid w:val="00A72752"/>
    <w:rsid w:val="00B128EE"/>
    <w:rsid w:val="00B24774"/>
    <w:rsid w:val="00B4470C"/>
    <w:rsid w:val="00B54184"/>
    <w:rsid w:val="00B93F5B"/>
    <w:rsid w:val="00BB5D0B"/>
    <w:rsid w:val="00BC4501"/>
    <w:rsid w:val="00BF231B"/>
    <w:rsid w:val="00C046BE"/>
    <w:rsid w:val="00C72D00"/>
    <w:rsid w:val="00D17C57"/>
    <w:rsid w:val="00DC4C47"/>
    <w:rsid w:val="00DF715E"/>
    <w:rsid w:val="00E2211B"/>
    <w:rsid w:val="00E26B30"/>
    <w:rsid w:val="00E730C5"/>
    <w:rsid w:val="00EF46B1"/>
    <w:rsid w:val="00F00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2C341"/>
  <w15:chartTrackingRefBased/>
  <w15:docId w15:val="{28598591-D31C-4D64-9791-0B8A36B30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-1" w:beforeAutospacing="1" w:after="-1" w:afterAutospacing="1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uiPriority="4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02F8"/>
    <w:pPr>
      <w:spacing w:before="0" w:beforeAutospacing="0" w:after="0" w:afterAutospacing="0" w:line="360" w:lineRule="auto"/>
      <w:ind w:firstLine="709"/>
      <w:jc w:val="both"/>
    </w:pPr>
    <w:rPr>
      <w:rFonts w:ascii="Times New Roman" w:eastAsiaTheme="minorEastAsia" w:hAnsi="Times New Roman"/>
      <w:sz w:val="28"/>
      <w:lang w:val="en-US"/>
    </w:rPr>
  </w:style>
  <w:style w:type="paragraph" w:styleId="1">
    <w:name w:val="heading 1"/>
    <w:basedOn w:val="a"/>
    <w:next w:val="a"/>
    <w:link w:val="10"/>
    <w:uiPriority w:val="8"/>
    <w:qFormat/>
    <w:rsid w:val="0061593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1"/>
    <w:qFormat/>
    <w:rsid w:val="00A71BDA"/>
    <w:pPr>
      <w:keepNext/>
      <w:keepLines/>
      <w:spacing w:before="240" w:after="12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4"/>
    <w:qFormat/>
    <w:rsid w:val="009E4134"/>
    <w:pPr>
      <w:keepNext/>
      <w:keepLines/>
      <w:spacing w:before="120" w:after="60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1"/>
    <w:basedOn w:val="a"/>
    <w:next w:val="a"/>
    <w:link w:val="12"/>
    <w:qFormat/>
    <w:rsid w:val="000C5712"/>
    <w:pPr>
      <w:spacing w:before="240" w:after="120"/>
      <w:jc w:val="center"/>
      <w:outlineLvl w:val="0"/>
    </w:pPr>
    <w:rPr>
      <w:rFonts w:eastAsiaTheme="majorEastAsia" w:cstheme="majorBidi"/>
      <w:b/>
      <w:bCs/>
      <w:caps/>
      <w:szCs w:val="28"/>
    </w:rPr>
  </w:style>
  <w:style w:type="character" w:customStyle="1" w:styleId="12">
    <w:name w:val="заголовок1 Знак"/>
    <w:basedOn w:val="10"/>
    <w:link w:val="11"/>
    <w:rsid w:val="000C5712"/>
    <w:rPr>
      <w:rFonts w:ascii="Times New Roman" w:eastAsiaTheme="majorEastAsia" w:hAnsi="Times New Roman" w:cstheme="majorBidi"/>
      <w:b/>
      <w:bCs/>
      <w:caps/>
      <w:color w:val="2E74B5" w:themeColor="accent1" w:themeShade="BF"/>
      <w:sz w:val="28"/>
      <w:szCs w:val="28"/>
      <w:lang w:val="uk-UA"/>
    </w:rPr>
  </w:style>
  <w:style w:type="character" w:customStyle="1" w:styleId="10">
    <w:name w:val="Заголовок 1 Знак"/>
    <w:basedOn w:val="a0"/>
    <w:link w:val="1"/>
    <w:uiPriority w:val="8"/>
    <w:rsid w:val="009302F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styleId="a3">
    <w:name w:val="Hyperlink"/>
    <w:basedOn w:val="a0"/>
    <w:uiPriority w:val="99"/>
    <w:unhideWhenUsed/>
    <w:rsid w:val="00E2211B"/>
    <w:rPr>
      <w:color w:val="000000" w:themeColor="text1"/>
      <w:u w:val="none"/>
    </w:rPr>
  </w:style>
  <w:style w:type="paragraph" w:customStyle="1" w:styleId="a4">
    <w:name w:val="Таблиця"/>
    <w:basedOn w:val="a"/>
    <w:next w:val="a"/>
    <w:link w:val="a5"/>
    <w:uiPriority w:val="4"/>
    <w:qFormat/>
    <w:rsid w:val="005331AF"/>
    <w:pPr>
      <w:spacing w:before="240" w:after="120"/>
      <w:ind w:firstLine="0"/>
      <w:jc w:val="center"/>
    </w:pPr>
    <w:rPr>
      <w:b/>
    </w:rPr>
  </w:style>
  <w:style w:type="character" w:customStyle="1" w:styleId="a5">
    <w:name w:val="Таблиця Знак"/>
    <w:basedOn w:val="a0"/>
    <w:link w:val="a4"/>
    <w:uiPriority w:val="4"/>
    <w:rsid w:val="005331AF"/>
    <w:rPr>
      <w:rFonts w:ascii="Times New Roman" w:hAnsi="Times New Roman"/>
      <w:b/>
      <w:sz w:val="28"/>
      <w:lang w:val="uk-UA"/>
    </w:rPr>
  </w:style>
  <w:style w:type="character" w:customStyle="1" w:styleId="20">
    <w:name w:val="Заголовок 2 Знак"/>
    <w:basedOn w:val="a0"/>
    <w:link w:val="2"/>
    <w:uiPriority w:val="1"/>
    <w:rsid w:val="00A71BDA"/>
    <w:rPr>
      <w:rFonts w:ascii="Times New Roman" w:eastAsiaTheme="majorEastAsia" w:hAnsi="Times New Roman" w:cstheme="majorBidi"/>
      <w:b/>
      <w:sz w:val="28"/>
      <w:szCs w:val="26"/>
      <w:lang w:val="uk-UA"/>
    </w:rPr>
  </w:style>
  <w:style w:type="character" w:customStyle="1" w:styleId="30">
    <w:name w:val="Заголовок 3 Знак"/>
    <w:basedOn w:val="a0"/>
    <w:link w:val="3"/>
    <w:uiPriority w:val="4"/>
    <w:rsid w:val="009E4134"/>
    <w:rPr>
      <w:rFonts w:ascii="Times New Roman" w:eastAsiaTheme="majorEastAsia" w:hAnsi="Times New Roman" w:cstheme="majorBidi"/>
      <w:b/>
      <w:sz w:val="28"/>
      <w:szCs w:val="24"/>
      <w:lang w:val="uk-UA"/>
    </w:rPr>
  </w:style>
  <w:style w:type="paragraph" w:customStyle="1" w:styleId="a6">
    <w:name w:val="Рисунок підпис"/>
    <w:basedOn w:val="a"/>
    <w:next w:val="a"/>
    <w:uiPriority w:val="4"/>
    <w:qFormat/>
    <w:rsid w:val="007F42C4"/>
    <w:pPr>
      <w:spacing w:before="120" w:after="240"/>
      <w:ind w:firstLine="0"/>
    </w:pPr>
  </w:style>
  <w:style w:type="paragraph" w:customStyle="1" w:styleId="a7">
    <w:name w:val="Перелік"/>
    <w:basedOn w:val="a"/>
    <w:qFormat/>
    <w:rsid w:val="00BF231B"/>
    <w:rPr>
      <w:lang w:val="ru-UA"/>
    </w:rPr>
  </w:style>
  <w:style w:type="paragraph" w:customStyle="1" w:styleId="Compact">
    <w:name w:val="Compact"/>
    <w:basedOn w:val="a8"/>
    <w:qFormat/>
    <w:rsid w:val="0069347A"/>
    <w:pPr>
      <w:spacing w:before="36" w:after="36" w:line="240" w:lineRule="auto"/>
      <w:ind w:firstLine="0"/>
      <w:jc w:val="left"/>
    </w:pPr>
    <w:rPr>
      <w:rFonts w:asciiTheme="minorHAnsi" w:eastAsiaTheme="minorHAnsi" w:hAnsiTheme="minorHAnsi"/>
      <w:sz w:val="24"/>
      <w:szCs w:val="24"/>
      <w:lang w:val="ru"/>
    </w:rPr>
  </w:style>
  <w:style w:type="table" w:customStyle="1" w:styleId="Table">
    <w:name w:val="Table"/>
    <w:semiHidden/>
    <w:unhideWhenUsed/>
    <w:qFormat/>
    <w:rsid w:val="0069347A"/>
    <w:pPr>
      <w:spacing w:before="0" w:beforeAutospacing="0" w:after="200" w:afterAutospacing="0" w:line="240" w:lineRule="auto"/>
    </w:pPr>
    <w:rPr>
      <w:sz w:val="24"/>
      <w:szCs w:val="24"/>
      <w:lang w:val="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a8">
    <w:name w:val="Body Text"/>
    <w:basedOn w:val="a"/>
    <w:link w:val="a9"/>
    <w:uiPriority w:val="99"/>
    <w:semiHidden/>
    <w:unhideWhenUsed/>
    <w:rsid w:val="0069347A"/>
    <w:pPr>
      <w:spacing w:after="120"/>
    </w:pPr>
  </w:style>
  <w:style w:type="character" w:customStyle="1" w:styleId="a9">
    <w:name w:val="Основной текст Знак"/>
    <w:basedOn w:val="a0"/>
    <w:link w:val="a8"/>
    <w:uiPriority w:val="99"/>
    <w:semiHidden/>
    <w:rsid w:val="0069347A"/>
    <w:rPr>
      <w:rFonts w:ascii="Times New Roman" w:eastAsiaTheme="minorEastAsia" w:hAnsi="Times New Roman"/>
      <w:sz w:val="28"/>
      <w:lang w:val="en-US"/>
    </w:rPr>
  </w:style>
  <w:style w:type="paragraph" w:customStyle="1" w:styleId="font-claude-response-body">
    <w:name w:val="font-claude-response-body"/>
    <w:basedOn w:val="a"/>
    <w:rsid w:val="00DC4C47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55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7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33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16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8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88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6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4916</Words>
  <Characters>28026</Characters>
  <Application>Microsoft Office Word</Application>
  <DocSecurity>0</DocSecurity>
  <Lines>233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Лебедкин</dc:creator>
  <cp:keywords/>
  <dc:description/>
  <cp:lastModifiedBy>Александр Лебедкин</cp:lastModifiedBy>
  <cp:revision>2</cp:revision>
  <dcterms:created xsi:type="dcterms:W3CDTF">2026-05-01T10:39:00Z</dcterms:created>
  <dcterms:modified xsi:type="dcterms:W3CDTF">2026-05-01T10:39:00Z</dcterms:modified>
</cp:coreProperties>
</file>