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97D"/>
          <w:sz w:val="32"/>
        </w:rPr>
        <w:t>ПЛАН КОРИГУВАННЯ ДИСЕРТАЦІЇ</w:t>
      </w:r>
    </w:p>
    <w:p>
      <w:pPr>
        <w:spacing w:after="320"/>
        <w:jc w:val="center"/>
      </w:pPr>
      <w:r>
        <w:rPr>
          <w:color w:val="707070"/>
          <w:sz w:val="20"/>
        </w:rPr>
        <w:t>Робочий документ. Версія 1.0 — червень 2026</w:t>
      </w:r>
    </w:p>
    <w:p>
      <w:pPr>
        <w:spacing w:after="40"/>
        <w:pBdr>
          <w:bottom w:val="single" w:sz="4" w:space="1" w:color="CCCCCC"/>
        </w:pBdr>
      </w:pPr>
    </w:p>
    <w:p>
      <w:pPr>
        <w:spacing w:before="240" w:after="120"/>
        <w:jc w:val="left"/>
      </w:pPr>
      <w:r>
        <w:rPr>
          <w:b/>
          <w:color w:val="1F497D"/>
          <w:sz w:val="28"/>
        </w:rPr>
        <w:t>1. НОВА НАЗВА ДИСЕРТАЦІЇ</w:t>
      </w:r>
    </w:p>
    <w:p>
      <w:pPr>
        <w:spacing w:after="60"/>
      </w:pPr>
      <w:r>
        <w:rPr>
          <w:sz w:val="22"/>
        </w:rPr>
        <w:t>Стара назва (містить помилки і не відповідає змісту):</w:t>
      </w:r>
    </w:p>
    <w:p>
      <w:pPr>
        <w:ind w:left="425"/>
      </w:pPr>
      <w:r>
        <w:rPr>
          <w:i/>
          <w:color w:val="C00000"/>
          <w:sz w:val="22"/>
        </w:rPr>
        <w:t>"Підвищення екологічної безпеки моніторингу атмосферного повітря шляхом впровадження програмо-алгоритмічного методу оптичного аналізу дніпродисперсних чатинок"</w:t>
      </w:r>
    </w:p>
    <w:p/>
    <w:p>
      <w:pPr>
        <w:spacing w:after="60"/>
      </w:pPr>
      <w:r>
        <w:rPr>
          <w:sz w:val="22"/>
        </w:rPr>
        <w:t>НОВА НАЗВА (16 слів, кафедра Е2, відповідає КМУ №827 та Наказу №590):</w:t>
      </w:r>
    </w:p>
    <w:p>
      <w:pPr>
        <w:ind w:left="425"/>
      </w:pPr>
      <w:r>
        <w:rPr>
          <w:b/>
          <w:color w:val="007000"/>
          <w:sz w:val="24"/>
        </w:rPr>
        <w:t>"Підвищення екологічної безпеки моніторингу атмосферного повітря шляхом програмно-алгоритмічної корекції індикативних вимірювань PM₁₀ за синхронізованими даними TSP"</w:t>
      </w:r>
    </w:p>
    <w:p/>
    <w:p>
      <w:pPr>
        <w:spacing w:after="60"/>
      </w:pPr>
      <w:r>
        <w:rPr>
          <w:sz w:val="22"/>
        </w:rPr>
        <w:t>Чому ця назва точна:</w:t>
      </w:r>
    </w:p>
    <w:p>
      <w:pPr>
        <w:pStyle w:val="ListBullet"/>
        <w:spacing w:after="60"/>
      </w:pPr>
      <w:r>
        <w:rPr>
          <w:sz w:val="22"/>
        </w:rPr>
        <w:t>"підвищення екологічної безпеки" — відповідає кафедрі Е2, пов'язано з Наказом №590 та КМУ №827</w:t>
      </w:r>
    </w:p>
    <w:p>
      <w:pPr>
        <w:pStyle w:val="ListBullet"/>
        <w:spacing w:after="60"/>
      </w:pPr>
      <w:r>
        <w:rPr>
          <w:sz w:val="22"/>
        </w:rPr>
        <w:t>"програмно-алгоритмічної корекції" — відображає обидві моделі RF</w:t>
      </w:r>
    </w:p>
    <w:p>
      <w:pPr>
        <w:pStyle w:val="ListBullet"/>
        <w:spacing w:after="60"/>
      </w:pPr>
      <w:r>
        <w:rPr>
          <w:sz w:val="22"/>
        </w:rPr>
        <w:t>"індикативних вимірювань PM₁₀" — чітко визначає що коригуємо</w:t>
      </w:r>
    </w:p>
    <w:p>
      <w:pPr>
        <w:pStyle w:val="ListBullet"/>
        <w:spacing w:after="60"/>
      </w:pPr>
      <w:r>
        <w:rPr>
          <w:sz w:val="22"/>
        </w:rPr>
        <w:t>"за синхронізованими даними TSP" — ключовий інструмент корекції та основа Моделі 2</w:t>
      </w:r>
    </w:p>
    <w:p>
      <w:pPr>
        <w:pStyle w:val="ListBullet"/>
        <w:spacing w:after="60"/>
      </w:pPr>
      <w:r>
        <w:rPr>
          <w:sz w:val="22"/>
        </w:rPr>
        <w:t>Усі написані розділи 1–5 вписуються без змін у суті</w:t>
      </w:r>
    </w:p>
    <w:p>
      <w:pPr>
        <w:spacing w:after="40"/>
        <w:pBdr>
          <w:bottom w:val="single" w:sz="4" w:space="1" w:color="CCCCCC"/>
        </w:pBdr>
      </w:pPr>
    </w:p>
    <w:p>
      <w:pPr>
        <w:spacing w:before="240" w:after="120"/>
        <w:jc w:val="left"/>
      </w:pPr>
      <w:r>
        <w:rPr>
          <w:b/>
          <w:color w:val="1F497D"/>
          <w:sz w:val="28"/>
        </w:rPr>
        <w:t>2. ДВІ МОДЕЛІ — НАЗВИ ТА СУТЬ</w:t>
      </w:r>
    </w:p>
    <w:p>
      <w:pPr>
        <w:spacing w:after="60"/>
      </w:pPr>
      <w:r>
        <w:rPr>
          <w:sz w:val="22"/>
        </w:rPr>
        <w:t>Дисертація побудована на двоступеневому підході, що реалізується через дві взаємопов'язані моделі:</w:t>
      </w:r>
    </w:p>
    <w:p/>
    <w:p>
      <w:pPr>
        <w:spacing w:before="160" w:after="80"/>
      </w:pPr>
      <w:r>
        <w:rPr>
          <w:b/>
          <w:color w:val="2E74B5"/>
          <w:sz w:val="24"/>
        </w:rPr>
        <w:t>МОДЕЛЬ 1 — "Модель корекції індикативних вимірювань PM₁₀"</w:t>
      </w:r>
    </w:p>
    <w:p>
      <w:pPr>
        <w:spacing w:after="60"/>
      </w:pPr>
      <w:r>
        <w:rPr>
          <w:sz w:val="22"/>
        </w:rPr>
        <w:t>Повна назва: Програмно-алгоритмічна модель корекції індикативних вимірювань PM₁₀ на основі алгоритму Random Forest з урахуванням синхронізованих даних TSP та метеорологічних параметрів.</w:t>
      </w:r>
    </w:p>
    <w:p/>
    <w:p>
      <w:pPr>
        <w:spacing w:after="60"/>
        <w:ind w:left="425"/>
      </w:pPr>
      <w:r>
        <w:rPr>
          <w:sz w:val="22"/>
        </w:rPr>
        <w:t>Призначення:</w:t>
      </w:r>
    </w:p>
    <w:p>
      <w:pPr>
        <w:pStyle w:val="ListBullet"/>
        <w:spacing w:after="60"/>
      </w:pPr>
      <w:r>
        <w:rPr>
          <w:sz w:val="22"/>
        </w:rPr>
        <w:t>Наближення показань оптичного сенсора до референтної якості</w:t>
      </w:r>
    </w:p>
    <w:p>
      <w:pPr>
        <w:pStyle w:val="ListBullet"/>
        <w:spacing w:after="60"/>
      </w:pPr>
      <w:r>
        <w:rPr>
          <w:sz w:val="22"/>
        </w:rPr>
        <w:t>Усунення систематичної похибки спричиненої вологістю, температурою, сезонністю</w:t>
      </w:r>
    </w:p>
    <w:p>
      <w:pPr>
        <w:pStyle w:val="ListBullet"/>
        <w:spacing w:after="60"/>
      </w:pPr>
      <w:r>
        <w:rPr>
          <w:sz w:val="22"/>
        </w:rPr>
        <w:t>Досягнення невизначеності ≤ 25–30% (ціль якості КМУ №827)</w:t>
      </w:r>
    </w:p>
    <w:p/>
    <w:p>
      <w:pPr>
        <w:spacing w:after="60"/>
        <w:ind w:left="425"/>
      </w:pPr>
      <w:r>
        <w:rPr>
          <w:sz w:val="22"/>
        </w:rPr>
        <w:t>Принцип роботи:</w:t>
      </w:r>
    </w:p>
    <w:p>
      <w:pPr>
        <w:pStyle w:val="ListBullet"/>
        <w:spacing w:after="60"/>
      </w:pPr>
      <w:r>
        <w:rPr>
          <w:sz w:val="22"/>
        </w:rPr>
        <w:t>Вхід: PM₁₀ оптичний + RH + T + атм.тиск + швидкість вітру + місяць + час доби</w:t>
      </w:r>
    </w:p>
    <w:p>
      <w:pPr>
        <w:pStyle w:val="ListBullet"/>
        <w:spacing w:after="60"/>
      </w:pPr>
      <w:r>
        <w:rPr>
          <w:sz w:val="22"/>
        </w:rPr>
        <w:t>Навчання: на синхронізованих парах (PM₁₀ опт. / TSP реф.) з масиву Кривого Рогу</w:t>
      </w:r>
    </w:p>
    <w:p>
      <w:pPr>
        <w:pStyle w:val="ListBullet"/>
        <w:spacing w:after="60"/>
      </w:pPr>
      <w:r>
        <w:rPr>
          <w:sz w:val="22"/>
        </w:rPr>
        <w:t>Вихід: PM₁₀ скоригований ≈ референтна якість</w:t>
      </w:r>
    </w:p>
    <w:p>
      <w:pPr>
        <w:pStyle w:val="ListBullet"/>
        <w:spacing w:after="60"/>
      </w:pPr>
      <w:r>
        <w:rPr>
          <w:sz w:val="22"/>
        </w:rPr>
        <w:t>Один колокаційний пост (поряд з ТЗА) навчає модель для всієї мережі міста</w:t>
      </w:r>
    </w:p>
    <w:p/>
    <w:p>
      <w:pPr>
        <w:spacing w:before="160" w:after="80"/>
      </w:pPr>
      <w:r>
        <w:rPr>
          <w:b/>
          <w:color w:val="2E74B5"/>
          <w:sz w:val="24"/>
        </w:rPr>
        <w:t>МОДЕЛЬ 2 — "Модель локального коефіцієнта PM₁₀/TSP"</w:t>
      </w:r>
    </w:p>
    <w:p>
      <w:pPr>
        <w:spacing w:after="60"/>
      </w:pPr>
      <w:r>
        <w:rPr>
          <w:sz w:val="22"/>
        </w:rPr>
        <w:t>Повна назва: Модель розрахунку локального сезонно-метеозалежного коефіцієнта PM₁₀/TSP для зон та агломерацій на основі скоригованих індикативних даних.</w:t>
      </w:r>
    </w:p>
    <w:p/>
    <w:p>
      <w:pPr>
        <w:spacing w:after="60"/>
        <w:ind w:left="425"/>
      </w:pPr>
      <w:r>
        <w:rPr>
          <w:sz w:val="22"/>
        </w:rPr>
        <w:t>Призначення:</w:t>
      </w:r>
    </w:p>
    <w:p>
      <w:pPr>
        <w:pStyle w:val="ListBullet"/>
        <w:spacing w:after="60"/>
      </w:pPr>
      <w:r>
        <w:rPr>
          <w:sz w:val="22"/>
        </w:rPr>
        <w:t>Розрахунок PM₁₀ з наявних даних TSP мережі Гідромету (~120 постів)</w:t>
      </w:r>
    </w:p>
    <w:p>
      <w:pPr>
        <w:pStyle w:val="ListBullet"/>
        <w:spacing w:after="60"/>
      </w:pPr>
      <w:r>
        <w:rPr>
          <w:sz w:val="22"/>
        </w:rPr>
        <w:t>Розширення охоплення оцінки якості повітря на міста без PM₁₀ постів</w:t>
      </w:r>
    </w:p>
    <w:p>
      <w:pPr>
        <w:pStyle w:val="ListBullet"/>
        <w:spacing w:after="60"/>
      </w:pPr>
      <w:r>
        <w:rPr>
          <w:sz w:val="22"/>
        </w:rPr>
        <w:t>ВАЖЛИВО: Модель 2 можлива ТІЛЬКИ після Моделі 1 — скоригований PM₁₀ є обов'язковою вхідною умовою</w:t>
      </w:r>
    </w:p>
    <w:p/>
    <w:p>
      <w:pPr>
        <w:spacing w:after="60"/>
        <w:ind w:left="425"/>
      </w:pPr>
      <w:r>
        <w:rPr>
          <w:sz w:val="22"/>
        </w:rPr>
        <w:t>Принцип роботи:</w:t>
      </w:r>
    </w:p>
    <w:p>
      <w:pPr>
        <w:pStyle w:val="ListBullet"/>
        <w:spacing w:after="60"/>
      </w:pPr>
      <w:r>
        <w:rPr>
          <w:sz w:val="22"/>
        </w:rPr>
        <w:t>Вхід: TSP референтний (Гідромет) + PM₁₀ скоригований (Модель 1)</w:t>
      </w:r>
    </w:p>
    <w:p>
      <w:pPr>
        <w:pStyle w:val="ListBullet"/>
        <w:spacing w:after="60"/>
      </w:pPr>
      <w:r>
        <w:rPr>
          <w:sz w:val="22"/>
        </w:rPr>
        <w:t>Розрахунок: K(місяць, RH, T) = PM₁₀_скор / TSP</w:t>
      </w:r>
    </w:p>
    <w:p>
      <w:pPr>
        <w:pStyle w:val="ListBullet"/>
        <w:spacing w:after="60"/>
      </w:pPr>
      <w:r>
        <w:rPr>
          <w:sz w:val="22"/>
        </w:rPr>
        <w:t>Вихід: локальний коефіцієнт → PM₁₀ розрахунковий для всієї TSP мережі міста</w:t>
      </w:r>
    </w:p>
    <w:p/>
    <w:p>
      <w:pPr>
        <w:spacing w:after="60"/>
      </w:pPr>
      <w:r>
        <w:rPr>
          <w:sz w:val="22"/>
        </w:rPr>
        <w:t>Логічний ланцюг:</w:t>
      </w:r>
    </w:p>
    <w:p>
      <w:pPr>
        <w:ind w:left="425"/>
      </w:pPr>
      <w:r>
        <w:rPr>
          <w:color w:val="1F497D"/>
          <w:sz w:val="20"/>
        </w:rPr>
        <w:t>TSP реф. (Гідромет) + PM₁₀ опт. (Cairnet)  →  [Модель 1 RF]  →  PM₁₀ скор.  →  [Модель 2]  →  K локальний  →  PM₁₀ розрах. для всієї мережі</w:t>
      </w:r>
    </w:p>
    <w:p>
      <w:pPr>
        <w:spacing w:after="40"/>
        <w:pBdr>
          <w:bottom w:val="single" w:sz="4" w:space="1" w:color="CCCCCC"/>
        </w:pBdr>
      </w:pPr>
    </w:p>
    <w:p>
      <w:pPr>
        <w:spacing w:before="240" w:after="120"/>
        <w:jc w:val="left"/>
      </w:pPr>
      <w:r>
        <w:rPr>
          <w:b/>
          <w:color w:val="1F497D"/>
          <w:sz w:val="28"/>
        </w:rPr>
        <w:t>3. НАПИСАНІ РОЗДІЛИ 1–5: ЩО КОРИГУВАТИ</w:t>
      </w:r>
    </w:p>
    <w:p>
      <w:pPr>
        <w:spacing w:before="160" w:after="80"/>
      </w:pPr>
      <w:r>
        <w:rPr>
          <w:b/>
          <w:color w:val="2E74B5"/>
          <w:sz w:val="24"/>
        </w:rPr>
        <w:t>Розділ 1 — Теоретичні основи та нормативно-правова база</w:t>
      </w:r>
    </w:p>
    <w:p>
      <w:pPr>
        <w:spacing w:after="60"/>
      </w:pPr>
      <w:r>
        <w:rPr>
          <w:b/>
          <w:sz w:val="22"/>
        </w:rPr>
        <w:t xml:space="preserve">Оцінка: </w:t>
      </w:r>
      <w:r>
        <w:rPr>
          <w:sz w:val="22"/>
        </w:rPr>
        <w:t>ВІДМІННО. Нічого не міняти.</w:t>
      </w:r>
    </w:p>
    <w:p>
      <w:pPr>
        <w:spacing w:after="60"/>
      </w:pPr>
      <w:r>
        <w:rPr>
          <w:sz w:val="22"/>
        </w:rPr>
        <w:t>Весь зміст повністю відповідає новій темі. TSP вже має нормативний статус (КМУ №513/2024 — список А, розділ I, додаток 2 до №827). Індикативні вимірювання прив'язані до цілей якості. AQI через Наказ №590.</w:t>
      </w:r>
    </w:p>
    <w:p/>
    <w:p>
      <w:pPr>
        <w:spacing w:after="60"/>
      </w:pPr>
      <w:r>
        <w:rPr>
          <w:sz w:val="22"/>
        </w:rPr>
        <w:t>Дії:</w:t>
      </w:r>
    </w:p>
    <w:p>
      <w:pPr>
        <w:pStyle w:val="ListBullet"/>
        <w:spacing w:after="60"/>
      </w:pPr>
      <w:r>
        <w:rPr>
          <w:sz w:val="22"/>
        </w:rPr>
        <w:t>Жодних змін не потрібно</w:t>
      </w:r>
    </w:p>
    <w:p/>
    <w:p>
      <w:pPr>
        <w:spacing w:before="160" w:after="80"/>
      </w:pPr>
      <w:r>
        <w:rPr>
          <w:b/>
          <w:color w:val="2E74B5"/>
          <w:sz w:val="24"/>
        </w:rPr>
        <w:t>Розділ 2 — Аналіз співвідношення PM₁₀/TSP</w:t>
      </w:r>
    </w:p>
    <w:p>
      <w:pPr>
        <w:spacing w:after="60"/>
      </w:pPr>
      <w:r>
        <w:rPr>
          <w:b/>
          <w:sz w:val="22"/>
        </w:rPr>
        <w:t xml:space="preserve">Оцінка: </w:t>
      </w:r>
      <w:r>
        <w:rPr>
          <w:sz w:val="22"/>
        </w:rPr>
        <w:t>ВІДМІННО. Нічого не міняти.</w:t>
      </w:r>
    </w:p>
    <w:p>
      <w:pPr>
        <w:spacing w:after="60"/>
      </w:pPr>
      <w:r>
        <w:rPr>
          <w:sz w:val="22"/>
        </w:rPr>
        <w:t>Науково обґрунтовує обидві моделі: чому потрібна корекція оптичного сенсора (Модель 1), чому коефіцієнт локальний і не є константою (Модель 2), чому Random Forest є правильним інструментом (R²=0.73–0.89).</w:t>
      </w:r>
    </w:p>
    <w:p/>
    <w:p>
      <w:pPr>
        <w:spacing w:after="60"/>
      </w:pPr>
      <w:r>
        <w:rPr>
          <w:sz w:val="22"/>
        </w:rPr>
        <w:t>Дії:</w:t>
      </w:r>
    </w:p>
    <w:p>
      <w:pPr>
        <w:pStyle w:val="ListBullet"/>
        <w:spacing w:after="60"/>
      </w:pPr>
      <w:r>
        <w:rPr>
          <w:sz w:val="22"/>
        </w:rPr>
        <w:t>Жодних змін не потрібно</w:t>
      </w:r>
    </w:p>
    <w:p/>
    <w:p>
      <w:pPr>
        <w:spacing w:before="160" w:after="80"/>
      </w:pPr>
      <w:r>
        <w:rPr>
          <w:b/>
          <w:color w:val="2E74B5"/>
          <w:sz w:val="24"/>
        </w:rPr>
        <w:t>Розділ 3 — Обґрунтування об'єкта та схеми дослідження</w:t>
      </w:r>
    </w:p>
    <w:p>
      <w:pPr>
        <w:spacing w:after="60"/>
      </w:pPr>
      <w:r>
        <w:rPr>
          <w:b/>
          <w:sz w:val="22"/>
        </w:rPr>
        <w:t xml:space="preserve">Оцінка: </w:t>
      </w:r>
      <w:r>
        <w:rPr>
          <w:sz w:val="22"/>
        </w:rPr>
        <w:t>ДОБРЕ. Потребує невеликого доповнення.</w:t>
      </w:r>
    </w:p>
    <w:p>
      <w:pPr>
        <w:spacing w:after="60"/>
      </w:pPr>
      <w:r>
        <w:rPr>
          <w:sz w:val="22"/>
        </w:rPr>
        <w:t>Правильно обрано: Кривий Ріг, колокаційна точка pan2 + ТЗА_Пост3 (430 м), три пости мережі. Але роль трипостової схеми описана вузько.</w:t>
      </w:r>
    </w:p>
    <w:p/>
    <w:p>
      <w:pPr>
        <w:spacing w:after="60"/>
      </w:pPr>
      <w:r>
        <w:rPr>
          <w:sz w:val="22"/>
        </w:rPr>
        <w:t>Що додати (підрозділ 3.3):</w:t>
      </w:r>
    </w:p>
    <w:p>
      <w:pPr>
        <w:pStyle w:val="ListBullet"/>
        <w:spacing w:after="60"/>
      </w:pPr>
      <w:r>
        <w:rPr>
          <w:sz w:val="22"/>
        </w:rPr>
        <w:t>Явно сформулювати: один колокаційний пост (pan2 + ТЗА) є достатнім для навчання Моделі 1 для всієї мережі міста — за умови однорідності середовища</w:t>
      </w:r>
    </w:p>
    <w:p>
      <w:pPr>
        <w:pStyle w:val="ListBullet"/>
        <w:spacing w:after="60"/>
      </w:pPr>
      <w:r>
        <w:rPr>
          <w:sz w:val="22"/>
        </w:rPr>
        <w:t>Пояснити роль трипостової схеми (pan2, pan5, pan6): це не просто вимірювання, а інструмент валідації однорідності аерозольного середовища міста</w:t>
      </w:r>
    </w:p>
    <w:p>
      <w:pPr>
        <w:pStyle w:val="ListBullet"/>
        <w:spacing w:after="60"/>
      </w:pPr>
      <w:r>
        <w:rPr>
          <w:sz w:val="22"/>
        </w:rPr>
        <w:t>Зазначити що трипостова валідація є методологічним обґрунтуванням переносу моделі на всю мережу</w:t>
      </w:r>
    </w:p>
    <w:p>
      <w:pPr>
        <w:pStyle w:val="ListBullet"/>
        <w:spacing w:after="60"/>
      </w:pPr>
      <w:r>
        <w:rPr>
          <w:sz w:val="22"/>
        </w:rPr>
        <w:t>Додатково: обґрунтувати що валідація між постами Гідромету (TSP) підтверджує однорідність середовища з боку референтних вимірювань</w:t>
      </w:r>
    </w:p>
    <w:p/>
    <w:p>
      <w:pPr>
        <w:spacing w:before="160" w:after="80"/>
      </w:pPr>
      <w:r>
        <w:rPr>
          <w:b/>
          <w:color w:val="2E74B5"/>
          <w:sz w:val="24"/>
        </w:rPr>
        <w:t>Розділ 4 — Формування та валідація даних</w:t>
      </w:r>
    </w:p>
    <w:p>
      <w:pPr>
        <w:spacing w:after="60"/>
      </w:pPr>
      <w:r>
        <w:rPr>
          <w:b/>
          <w:sz w:val="22"/>
        </w:rPr>
        <w:t xml:space="preserve">Оцінка: </w:t>
      </w:r>
      <w:r>
        <w:rPr>
          <w:sz w:val="22"/>
        </w:rPr>
        <w:t>ВІДМІННО. Нічого не міняти.</w:t>
      </w:r>
    </w:p>
    <w:p>
      <w:pPr>
        <w:spacing w:after="60"/>
      </w:pPr>
      <w:r>
        <w:rPr>
          <w:sz w:val="22"/>
        </w:rPr>
        <w:t>Реальний річний масив даних 2025 р. Алгоритм синхронізації ±30 хв. QC-процедури. Три джерела похибок. Повнота 82.9%. Це фундамент для навчання обох моделей RF.</w:t>
      </w:r>
    </w:p>
    <w:p/>
    <w:p>
      <w:pPr>
        <w:spacing w:after="60"/>
      </w:pPr>
      <w:r>
        <w:rPr>
          <w:sz w:val="22"/>
        </w:rPr>
        <w:t>Дії:</w:t>
      </w:r>
    </w:p>
    <w:p>
      <w:pPr>
        <w:pStyle w:val="ListBullet"/>
        <w:spacing w:after="60"/>
      </w:pPr>
      <w:r>
        <w:rPr>
          <w:sz w:val="22"/>
        </w:rPr>
        <w:t>Жодних змін не потрібно</w:t>
      </w:r>
    </w:p>
    <w:p/>
    <w:p>
      <w:pPr>
        <w:spacing w:before="160" w:after="80"/>
      </w:pPr>
      <w:r>
        <w:rPr>
          <w:b/>
          <w:color w:val="2E74B5"/>
          <w:sz w:val="24"/>
        </w:rPr>
        <w:t>Розділ 5 — Валідація індикативних вимірювань PM₁₀</w:t>
      </w:r>
    </w:p>
    <w:p>
      <w:pPr>
        <w:spacing w:after="60"/>
      </w:pPr>
      <w:r>
        <w:rPr>
          <w:b/>
          <w:sz w:val="22"/>
        </w:rPr>
        <w:t xml:space="preserve">Оцінка: </w:t>
      </w:r>
      <w:r>
        <w:rPr>
          <w:sz w:val="22"/>
        </w:rPr>
        <w:t>ДУЖЕ СИЛЬНИЙ. Сам аналіз залишається — потрібно розширити ВИСНОВКИ.</w:t>
      </w:r>
    </w:p>
    <w:p>
      <w:pPr>
        <w:spacing w:after="60"/>
      </w:pPr>
      <w:r>
        <w:rPr>
          <w:sz w:val="22"/>
        </w:rPr>
        <w:t>Детальний трипостовий аналіз по місяцях (r=0.93 взимку, r=0.44–0.48 влітку). Доведено сезонну залежність узгодженості. Виявлено зони метеорологічної нестабільності.</w:t>
      </w:r>
    </w:p>
    <w:p/>
    <w:p>
      <w:pPr>
        <w:spacing w:after="60"/>
      </w:pPr>
      <w:r>
        <w:rPr>
          <w:sz w:val="22"/>
        </w:rPr>
        <w:t>Що додати у висновки до розділу 5:</w:t>
      </w:r>
    </w:p>
    <w:p>
      <w:pPr>
        <w:pStyle w:val="ListBullet"/>
        <w:spacing w:after="60"/>
      </w:pPr>
      <w:r>
        <w:rPr>
          <w:sz w:val="22"/>
        </w:rPr>
        <w:t>Явно сформулювати: трипостова валідація доводить достатню однорідність аерозольного середовища Кривого Рогу — модель, навчена на колокаційному посту pan2+ТЗА, правомірно застосовується до всієї мережі міста</w:t>
      </w:r>
    </w:p>
    <w:p>
      <w:pPr>
        <w:pStyle w:val="ListBullet"/>
        <w:spacing w:after="60"/>
      </w:pPr>
      <w:r>
        <w:rPr>
          <w:sz w:val="22"/>
        </w:rPr>
        <w:t>Додати: сезонна залежність узгодженості (r зимою &gt;&gt; r влітку) є прямим обґрунтуванням необхідності сезонних коефіцієнтів у Моделі 1 RF</w:t>
      </w:r>
    </w:p>
    <w:p>
      <w:pPr>
        <w:pStyle w:val="ListBullet"/>
        <w:spacing w:after="60"/>
      </w:pPr>
      <w:r>
        <w:rPr>
          <w:sz w:val="22"/>
        </w:rPr>
        <w:t>Додати: методологія трипостової валідації є масштабованою — для інших міст кількість постів може бути більшою, що посилює аргумент однорідності</w:t>
      </w:r>
    </w:p>
    <w:p>
      <w:pPr>
        <w:pStyle w:val="ListBullet"/>
        <w:spacing w:after="60"/>
      </w:pPr>
      <w:r>
        <w:rPr>
          <w:sz w:val="22"/>
        </w:rPr>
        <w:t>Додати: аналогічна валідація між постами Гідромету (TSP) в майбутньому дозволяє підтвердити однорідність з боку референтних вимірювань</w:t>
      </w:r>
    </w:p>
    <w:p>
      <w:pPr>
        <w:spacing w:after="40"/>
        <w:pBdr>
          <w:bottom w:val="single" w:sz="4" w:space="1" w:color="CCCCCC"/>
        </w:pBdr>
      </w:pPr>
    </w:p>
    <w:p>
      <w:pPr>
        <w:spacing w:before="240" w:after="120"/>
        <w:jc w:val="left"/>
      </w:pPr>
      <w:r>
        <w:rPr>
          <w:b/>
          <w:color w:val="1F497D"/>
          <w:sz w:val="28"/>
        </w:rPr>
        <w:t>4. НОВІ РОЗДІЛИ 6–8: ЩО ВІДОБРАЗИТИ</w:t>
      </w:r>
    </w:p>
    <w:p>
      <w:pPr>
        <w:spacing w:before="160" w:after="80"/>
      </w:pPr>
      <w:r>
        <w:rPr>
          <w:b/>
          <w:color w:val="2E74B5"/>
          <w:sz w:val="24"/>
        </w:rPr>
        <w:t>Розділ 6 — Розрахунок коефіцієнта PM₁₀/TSP</w:t>
      </w:r>
    </w:p>
    <w:p>
      <w:pPr>
        <w:spacing w:after="60"/>
      </w:pPr>
      <w:r>
        <w:rPr>
          <w:sz w:val="22"/>
        </w:rPr>
        <w:t>Це перехідний розділ між двома моделями. Основа для Моделі 2.</w:t>
      </w:r>
    </w:p>
    <w:p/>
    <w:p>
      <w:pPr>
        <w:spacing w:after="60"/>
      </w:pPr>
      <w:r>
        <w:rPr>
          <w:sz w:val="22"/>
        </w:rPr>
        <w:t>Що обов'язково відобразити:</w:t>
      </w:r>
    </w:p>
    <w:p>
      <w:pPr>
        <w:pStyle w:val="ListBullet"/>
        <w:spacing w:after="60"/>
      </w:pPr>
      <w:r>
        <w:rPr>
          <w:sz w:val="22"/>
        </w:rPr>
        <w:t>Розрахунок базового коефіцієнта K = PM₁₀/TSP по всьому масиву синхронізованих пар</w:t>
      </w:r>
    </w:p>
    <w:p>
      <w:pPr>
        <w:pStyle w:val="ListBullet"/>
        <w:spacing w:after="60"/>
      </w:pPr>
      <w:r>
        <w:rPr>
          <w:sz w:val="22"/>
        </w:rPr>
        <w:t>Сезонний аналіз K: зима / весна / літо / осінь — довести що K не є константою</w:t>
      </w:r>
    </w:p>
    <w:p>
      <w:pPr>
        <w:pStyle w:val="ListBullet"/>
        <w:spacing w:after="60"/>
      </w:pPr>
      <w:r>
        <w:rPr>
          <w:sz w:val="22"/>
        </w:rPr>
        <w:t>Метеозалежність K: вплив вологості (RH), температури (T), швидкості вітру</w:t>
      </w:r>
    </w:p>
    <w:p>
      <w:pPr>
        <w:pStyle w:val="ListBullet"/>
        <w:spacing w:after="60"/>
      </w:pPr>
      <w:r>
        <w:rPr>
          <w:sz w:val="22"/>
        </w:rPr>
        <w:t>Статистичний аналіз: медіана, усічене середнє, σ, довірчі інтервали</w:t>
      </w:r>
    </w:p>
    <w:p>
      <w:pPr>
        <w:pStyle w:val="ListBullet"/>
        <w:spacing w:after="60"/>
      </w:pPr>
      <w:r>
        <w:rPr>
          <w:sz w:val="22"/>
        </w:rPr>
        <w:t>Обґрунтування вибору коефіцієнтів для різних умов — основа для Моделі 2</w:t>
      </w:r>
    </w:p>
    <w:p>
      <w:pPr>
        <w:pStyle w:val="ListBullet"/>
        <w:spacing w:after="60"/>
      </w:pPr>
      <w:r>
        <w:rPr>
          <w:sz w:val="22"/>
        </w:rPr>
        <w:t>Порівняння з міжнародними даними (діапазон 0.32–0.91) — підтвердити що локальний K для Кривого Рогу обґрунтований</w:t>
      </w:r>
    </w:p>
    <w:p/>
    <w:p>
      <w:pPr>
        <w:spacing w:before="160" w:after="80"/>
      </w:pPr>
      <w:r>
        <w:rPr>
          <w:b/>
          <w:color w:val="2E74B5"/>
          <w:sz w:val="24"/>
        </w:rPr>
        <w:t>Розділ 7 — Програмно-алгоритмічний метод (обидві моделі)</w:t>
      </w:r>
    </w:p>
    <w:p>
      <w:pPr>
        <w:spacing w:after="60"/>
      </w:pPr>
      <w:r>
        <w:rPr>
          <w:sz w:val="22"/>
        </w:rPr>
        <w:t>Центральний технічний розділ дисертації. Описує реалізацію обох моделей.</w:t>
      </w:r>
    </w:p>
    <w:p/>
    <w:p>
      <w:pPr>
        <w:spacing w:after="60"/>
      </w:pPr>
      <w:r>
        <w:rPr>
          <w:sz w:val="22"/>
        </w:rPr>
        <w:t>Блок 7.1 — Модель 1 (корекція індикативних вимірювань):</w:t>
      </w:r>
    </w:p>
    <w:p>
      <w:pPr>
        <w:pStyle w:val="ListBullet"/>
        <w:spacing w:after="60"/>
      </w:pPr>
      <w:r>
        <w:rPr>
          <w:sz w:val="22"/>
        </w:rPr>
        <w:t>Архітектура моделі RF: вхідні параметри, структура дерев, гіперпараметри</w:t>
      </w:r>
    </w:p>
    <w:p>
      <w:pPr>
        <w:pStyle w:val="ListBullet"/>
        <w:spacing w:after="60"/>
      </w:pPr>
      <w:r>
        <w:rPr>
          <w:sz w:val="22"/>
        </w:rPr>
        <w:t>Алгоритм навчання на синхронізованих парах масиву Кривого Рогу</w:t>
      </w:r>
    </w:p>
    <w:p>
      <w:pPr>
        <w:pStyle w:val="ListBullet"/>
        <w:spacing w:after="60"/>
      </w:pPr>
      <w:r>
        <w:rPr>
          <w:sz w:val="22"/>
        </w:rPr>
        <w:t>Алгоритм корекції: PM₁₀_скор = f(PM₁₀_опт, RH, T, P, v_вітру, місяць, час)</w:t>
      </w:r>
    </w:p>
    <w:p>
      <w:pPr>
        <w:pStyle w:val="ListBullet"/>
        <w:spacing w:after="60"/>
      </w:pPr>
      <w:r>
        <w:rPr>
          <w:sz w:val="22"/>
        </w:rPr>
        <w:t>Валідація Моделі 1 на незалежній вибірці: невизначеність ≤ 25–30%?</w:t>
      </w:r>
    </w:p>
    <w:p>
      <w:pPr>
        <w:pStyle w:val="ListBullet"/>
        <w:spacing w:after="60"/>
      </w:pPr>
      <w:r>
        <w:rPr>
          <w:sz w:val="22"/>
        </w:rPr>
        <w:t>Межі застосування: діапазони концентрацій та метеопараметрів</w:t>
      </w:r>
    </w:p>
    <w:p/>
    <w:p>
      <w:pPr>
        <w:spacing w:after="60"/>
      </w:pPr>
      <w:r>
        <w:rPr>
          <w:sz w:val="22"/>
        </w:rPr>
        <w:t>Блок 7.2 — Модель 2 (локальний коефіцієнт PM₁₀/TSP):</w:t>
      </w:r>
    </w:p>
    <w:p>
      <w:pPr>
        <w:pStyle w:val="ListBullet"/>
        <w:spacing w:after="60"/>
      </w:pPr>
      <w:r>
        <w:rPr>
          <w:sz w:val="22"/>
        </w:rPr>
        <w:t>Алгоритм розрахунку локального K на основі скоригованого PM₁₀ (вихід Моделі 1)</w:t>
      </w:r>
    </w:p>
    <w:p>
      <w:pPr>
        <w:pStyle w:val="ListBullet"/>
        <w:spacing w:after="60"/>
      </w:pPr>
      <w:r>
        <w:rPr>
          <w:sz w:val="22"/>
        </w:rPr>
        <w:t>Сезонно-метеозалежна функція K(місяць, RH, T)</w:t>
      </w:r>
    </w:p>
    <w:p>
      <w:pPr>
        <w:pStyle w:val="ListBullet"/>
        <w:spacing w:after="60"/>
      </w:pPr>
      <w:r>
        <w:rPr>
          <w:sz w:val="22"/>
        </w:rPr>
        <w:t>Алгоритм застосування K до TSP даних Гідромету → розрахунковий PM₁₀</w:t>
      </w:r>
    </w:p>
    <w:p>
      <w:pPr>
        <w:pStyle w:val="ListBullet"/>
        <w:spacing w:after="60"/>
      </w:pPr>
      <w:r>
        <w:rPr>
          <w:sz w:val="22"/>
        </w:rPr>
        <w:t>Обґрунтування що Модель 2 вимагає Модель 1 як обов'язкову передумову</w:t>
      </w:r>
    </w:p>
    <w:p/>
    <w:p>
      <w:pPr>
        <w:spacing w:after="60"/>
      </w:pPr>
      <w:r>
        <w:rPr>
          <w:sz w:val="22"/>
        </w:rPr>
        <w:t>Блок 7.3 — Методологія масштабування на інші міста:</w:t>
      </w:r>
    </w:p>
    <w:p>
      <w:pPr>
        <w:pStyle w:val="ListBullet"/>
        <w:spacing w:after="60"/>
      </w:pPr>
      <w:r>
        <w:rPr>
          <w:sz w:val="22"/>
        </w:rPr>
        <w:t>Алгоритм для нового міста: встановити індикативний пост поряд з Гідрометом → зібрати дані → навчити Модель 1 → розрахувати K (Модель 2) → розповсюдити на мережу</w:t>
      </w:r>
    </w:p>
    <w:p>
      <w:pPr>
        <w:pStyle w:val="ListBullet"/>
        <w:spacing w:after="60"/>
      </w:pPr>
      <w:r>
        <w:rPr>
          <w:sz w:val="22"/>
        </w:rPr>
        <w:t>Роль трипостової (або більше) валідації для підтвердження однорідності середовища</w:t>
      </w:r>
    </w:p>
    <w:p>
      <w:pPr>
        <w:pStyle w:val="ListBullet"/>
        <w:spacing w:after="60"/>
      </w:pPr>
      <w:r>
        <w:rPr>
          <w:sz w:val="22"/>
        </w:rPr>
        <w:t>Можливість валідації між постами Гідромету (TSP) для оцінки однорідності з боку референтних вимірювань</w:t>
      </w:r>
    </w:p>
    <w:p>
      <w:pPr>
        <w:pStyle w:val="ListBullet"/>
        <w:spacing w:after="60"/>
      </w:pPr>
      <w:r>
        <w:rPr>
          <w:sz w:val="22"/>
        </w:rPr>
        <w:t>Мінімальна тривалість колокаційних вимірювань для надійного навчання моделі</w:t>
      </w:r>
    </w:p>
    <w:p/>
    <w:p>
      <w:pPr>
        <w:spacing w:before="160" w:after="80"/>
      </w:pPr>
      <w:r>
        <w:rPr>
          <w:b/>
          <w:color w:val="2E74B5"/>
          <w:sz w:val="24"/>
        </w:rPr>
        <w:t>Розділ 8 — Оцінка підвищення екологічної безпеки</w:t>
      </w:r>
    </w:p>
    <w:p>
      <w:pPr>
        <w:spacing w:after="60"/>
      </w:pPr>
      <w:r>
        <w:rPr>
          <w:sz w:val="22"/>
        </w:rPr>
        <w:t>Розділ практичного значення. Показує вплив методу на систему екологічної безпеки України.</w:t>
      </w:r>
    </w:p>
    <w:p/>
    <w:p>
      <w:pPr>
        <w:spacing w:after="60"/>
      </w:pPr>
      <w:r>
        <w:rPr>
          <w:sz w:val="22"/>
        </w:rPr>
        <w:t>Що обов'язково відобразити:</w:t>
      </w:r>
    </w:p>
    <w:p>
      <w:pPr>
        <w:pStyle w:val="ListBullet"/>
        <w:spacing w:after="60"/>
      </w:pPr>
      <w:r>
        <w:rPr>
          <w:sz w:val="22"/>
        </w:rPr>
        <w:t>Порівняння точності до і після корекції (Модель 1): зменшення невизначеності, кількість хибних перевищень норм PM₁₀</w:t>
      </w:r>
    </w:p>
    <w:p>
      <w:pPr>
        <w:pStyle w:val="ListBullet"/>
        <w:spacing w:after="60"/>
      </w:pPr>
      <w:r>
        <w:rPr>
          <w:sz w:val="22"/>
        </w:rPr>
        <w:t>Вплив на розрахунок AQI по Наказу №590: наскільки змінюється індекс після корекції</w:t>
      </w:r>
    </w:p>
    <w:p>
      <w:pPr>
        <w:pStyle w:val="ListBullet"/>
        <w:spacing w:after="60"/>
      </w:pPr>
      <w:r>
        <w:rPr>
          <w:sz w:val="22"/>
        </w:rPr>
        <w:t>Вплив на вибір режиму оцінювання по КМУ №827 (фіксований / комбінований / моделювання)</w:t>
      </w:r>
    </w:p>
    <w:p>
      <w:pPr>
        <w:pStyle w:val="ListBullet"/>
        <w:spacing w:after="60"/>
      </w:pPr>
      <w:r>
        <w:rPr>
          <w:sz w:val="22"/>
        </w:rPr>
        <w:t>Практичне значення Моделі 2: скільки міст України (з ~120 постів Гідромету) отримують можливість розраховувати PM₁₀ вперше</w:t>
      </w:r>
    </w:p>
    <w:p>
      <w:pPr>
        <w:pStyle w:val="ListBullet"/>
        <w:spacing w:after="60"/>
      </w:pPr>
      <w:r>
        <w:rPr>
          <w:sz w:val="22"/>
        </w:rPr>
        <w:t>Сценарний аналіз: 3–4 типові сценарії застосування методу в різних містах</w:t>
      </w:r>
    </w:p>
    <w:p>
      <w:pPr>
        <w:pStyle w:val="ListBullet"/>
        <w:spacing w:after="60"/>
      </w:pPr>
      <w:r>
        <w:rPr>
          <w:sz w:val="22"/>
        </w:rPr>
        <w:t>Рекомендації щодо впровадження: мінімальна конфігурація мережі, вимоги до колокаційного поста, тривалість навчання моделі</w:t>
      </w:r>
    </w:p>
    <w:p>
      <w:pPr>
        <w:pStyle w:val="ListBullet"/>
        <w:spacing w:after="60"/>
      </w:pPr>
      <w:r>
        <w:rPr>
          <w:sz w:val="22"/>
        </w:rPr>
        <w:t>Відповідність вимогам Директиви (ЄС) 2024/2881 — євроінтеграційний аспект</w:t>
      </w:r>
    </w:p>
    <w:p>
      <w:pPr>
        <w:spacing w:after="40"/>
        <w:pBdr>
          <w:bottom w:val="single" w:sz="4" w:space="1" w:color="CCCCCC"/>
        </w:pBdr>
      </w:pPr>
    </w:p>
    <w:p>
      <w:pPr>
        <w:spacing w:before="240" w:after="120"/>
        <w:jc w:val="left"/>
      </w:pPr>
      <w:r>
        <w:rPr>
          <w:b/>
          <w:color w:val="1F497D"/>
          <w:sz w:val="28"/>
        </w:rPr>
        <w:t>5. ВСТУП — ЩО СКОРИГУВАТИ</w:t>
      </w:r>
    </w:p>
    <w:p>
      <w:pPr>
        <w:spacing w:after="60"/>
      </w:pPr>
      <w:r>
        <w:rPr>
          <w:sz w:val="22"/>
        </w:rPr>
        <w:t>Вступ написаний якісно і в цілому відповідає новій темі. Потрібні точкові правки:</w:t>
      </w:r>
    </w:p>
    <w:p/>
    <w:p>
      <w:pPr>
        <w:pStyle w:val="ListBullet"/>
        <w:spacing w:after="60"/>
      </w:pPr>
      <w:r>
        <w:rPr>
          <w:sz w:val="22"/>
        </w:rPr>
        <w:t>Назва дослідження — замінити на нову (16 слів)</w:t>
      </w:r>
    </w:p>
    <w:p>
      <w:pPr>
        <w:pStyle w:val="ListBullet"/>
        <w:spacing w:after="60"/>
      </w:pPr>
      <w:r>
        <w:rPr>
          <w:sz w:val="22"/>
        </w:rPr>
        <w:t>Мета дослідження — уточнити: акцент на двоступеневому підході (Модель 1 + Модель 2)</w:t>
      </w:r>
    </w:p>
    <w:p>
      <w:pPr>
        <w:pStyle w:val="ListBullet"/>
        <w:spacing w:after="60"/>
      </w:pPr>
      <w:r>
        <w:rPr>
          <w:sz w:val="22"/>
        </w:rPr>
        <w:t>Наукова новизна — додати: вперше розроблено методологію масштабування методу корекції на мережу індикативних постів міста через єдину колокаційну точку</w:t>
      </w:r>
    </w:p>
    <w:p>
      <w:pPr>
        <w:pStyle w:val="ListBullet"/>
        <w:spacing w:after="60"/>
      </w:pPr>
      <w:r>
        <w:rPr>
          <w:sz w:val="22"/>
        </w:rPr>
        <w:t>Практичне значення — розширити: метод дозволяє розраховувати PM₁₀ з TSP даних ~120 постів Гідромету на всій території України</w:t>
      </w:r>
    </w:p>
    <w:p>
      <w:pPr>
        <w:pStyle w:val="ListBullet"/>
        <w:spacing w:after="60"/>
      </w:pPr>
      <w:r>
        <w:rPr>
          <w:sz w:val="22"/>
        </w:rPr>
        <w:t>Прибрати будь-які посилання на "важкі метали" та "оптичний аналіз дрібнодисперсних частинок" як самоціль</w:t>
      </w:r>
    </w:p>
    <w:p>
      <w:pPr>
        <w:spacing w:after="40"/>
        <w:pBdr>
          <w:bottom w:val="single" w:sz="4" w:space="1" w:color="CCCCCC"/>
        </w:pBdr>
      </w:pPr>
    </w:p>
    <w:p>
      <w:pPr>
        <w:spacing w:before="240" w:after="120"/>
        <w:jc w:val="left"/>
      </w:pPr>
      <w:r>
        <w:rPr>
          <w:b/>
          <w:color w:val="1F497D"/>
          <w:sz w:val="28"/>
        </w:rPr>
        <w:t>6. ОНОВЛЕНА СТРУКТУРА ДИСЕРТАЦІЇ</w:t>
      </w:r>
    </w:p>
    <w:p>
      <w:pPr>
        <w:spacing w:after="60"/>
      </w:pPr>
      <w:r>
        <w:rPr>
          <w:sz w:val="22"/>
        </w:rPr>
        <w:t>Структура залишається восьмирозділовою. Назви розділів потребують уточнення: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Розділ</w:t>
            </w:r>
          </w:p>
        </w:tc>
        <w:tc>
          <w:tcPr>
            <w:tcW w:type="dxa" w:w="340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Стара назва / статус</w:t>
            </w:r>
          </w:p>
        </w:tc>
        <w:tc>
          <w:tcPr>
            <w:tcW w:type="dxa" w:w="4819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Рекомендована назва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Теоретичні основи та нормативно-правова база ✅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БЕЗ ЗМІН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Аналіз співвідношення PM₁₀/TSP ✅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БЕЗ ЗМІН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Обґрунтування об'єкта та схеми дослідження ✅+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Доповнити 3.3: роль колокаційної точки та валідації однорідності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Формування та валідація даних ✅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БЕЗ ЗМІН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Валідація індикативних вимірювань PM₁₀ ✅+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Розширити висновки: однорідність середовища → перенос моделі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НЕ НАПИСАНО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Дослідження закономірностей коефіцієнта PM₁₀/TSP (основа Моделі 2)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НЕ НАПИСАНО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Програмно-алгоритмічний метод: Модель 1 (корекція) та Модель 2 (коефіцієнт)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НЕ НАПИСАНО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Оцінка підвищення екологічної безпеки та рекомендації щодо впровадження</w:t>
            </w:r>
          </w:p>
        </w:tc>
      </w:tr>
    </w:tbl>
    <w:p/>
    <w:p>
      <w:pPr>
        <w:spacing w:after="40"/>
        <w:pBdr>
          <w:bottom w:val="single" w:sz="4" w:space="1" w:color="CCCCCC"/>
        </w:pBdr>
      </w:pPr>
    </w:p>
    <w:p>
      <w:pPr>
        <w:jc w:val="center"/>
      </w:pPr>
      <w:r>
        <w:rPr>
          <w:i/>
          <w:color w:val="808080"/>
          <w:sz w:val="18"/>
        </w:rPr>
        <w:t>Документ підготовлено на основі аналізу матеріалів E:\TEMA. Дата: червень 2026.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