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97D"/>
          <w:sz w:val="32"/>
        </w:rPr>
        <w:t>ПЛАН КОРИГУВАННЯ ДИСЕРТАЦІЇ</w:t>
      </w:r>
    </w:p>
    <w:p>
      <w:pPr>
        <w:spacing w:after="320"/>
        <w:jc w:val="center"/>
      </w:pPr>
      <w:r>
        <w:rPr>
          <w:color w:val="707070"/>
          <w:sz w:val="20"/>
        </w:rPr>
        <w:t>Робочий документ. Версія 2.0 — червень 2026</w:t>
      </w:r>
    </w:p>
    <w:p>
      <w:pPr>
        <w:spacing w:after="4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F497D"/>
          <w:sz w:val="28"/>
        </w:rPr>
        <w:t>1. НОВА НАЗВА ДИСЕРТАЦІЇ</w:t>
      </w:r>
    </w:p>
    <w:p>
      <w:pPr>
        <w:spacing w:after="60"/>
      </w:pPr>
      <w:r>
        <w:rPr>
          <w:sz w:val="22"/>
        </w:rPr>
        <w:t>Стара назва (містить помилки і не відповідає змісту):</w:t>
      </w:r>
    </w:p>
    <w:p>
      <w:pPr>
        <w:ind w:left="425"/>
      </w:pPr>
      <w:r>
        <w:rPr>
          <w:i/>
          <w:color w:val="C00000"/>
          <w:sz w:val="22"/>
        </w:rPr>
        <w:t>"Підвищення екологічної безпеки моніторингу атмосферного повітря шляхом впровадження програмо-алгоритмічного методу оптичного аналізу дніпродисперсних чатинок"</w:t>
      </w:r>
    </w:p>
    <w:p/>
    <w:p>
      <w:pPr>
        <w:spacing w:after="60"/>
      </w:pPr>
      <w:r>
        <w:rPr>
          <w:sz w:val="22"/>
        </w:rPr>
        <w:t>НОВА НАЗВА (16 слів, кафедра Е2, відповідає КМУ №827 та Наказу №590):</w:t>
      </w:r>
    </w:p>
    <w:p>
      <w:pPr>
        <w:ind w:left="425"/>
      </w:pPr>
      <w:r>
        <w:rPr>
          <w:b/>
          <w:color w:val="007000"/>
          <w:sz w:val="24"/>
        </w:rPr>
        <w:t>"Підвищення екологічної безпеки моніторингу атмосферного повітря шляхом програмно-алгоритмічної корекції індикативних вимірювань PM₁₀ за синхронізованими даними TSP"</w:t>
      </w:r>
    </w:p>
    <w:p/>
    <w:p>
      <w:pPr>
        <w:spacing w:after="60"/>
      </w:pPr>
      <w:r>
        <w:rPr>
          <w:sz w:val="22"/>
        </w:rPr>
        <w:t>Чому ця назва точна:</w:t>
      </w:r>
    </w:p>
    <w:p>
      <w:pPr>
        <w:pStyle w:val="ListBullet"/>
        <w:spacing w:after="60"/>
      </w:pPr>
      <w:r>
        <w:rPr>
          <w:sz w:val="22"/>
        </w:rPr>
        <w:t>"підвищення екологічної безпеки" — кафедра Е2, пов'язано з Наказом №590 та КМУ №827</w:t>
      </w:r>
    </w:p>
    <w:p>
      <w:pPr>
        <w:pStyle w:val="ListBullet"/>
        <w:spacing w:after="60"/>
      </w:pPr>
      <w:r>
        <w:rPr>
          <w:sz w:val="22"/>
        </w:rPr>
        <w:t>"програмно-алгоритмічної корекції" — відображає обидві моделі</w:t>
      </w:r>
    </w:p>
    <w:p>
      <w:pPr>
        <w:pStyle w:val="ListBullet"/>
        <w:spacing w:after="60"/>
      </w:pPr>
      <w:r>
        <w:rPr>
          <w:sz w:val="22"/>
        </w:rPr>
        <w:t>"індикативних вимірювань PM₁₀" — чітко визначає що коригуємо</w:t>
      </w:r>
    </w:p>
    <w:p>
      <w:pPr>
        <w:pStyle w:val="ListBullet"/>
        <w:spacing w:after="60"/>
      </w:pPr>
      <w:r>
        <w:rPr>
          <w:sz w:val="22"/>
        </w:rPr>
        <w:t>"за синхронізованими даними TSP" — ключовий еталон і основа обох моделей</w:t>
      </w:r>
    </w:p>
    <w:p>
      <w:pPr>
        <w:pStyle w:val="ListBullet"/>
        <w:spacing w:after="60"/>
      </w:pPr>
      <w:r>
        <w:rPr>
          <w:sz w:val="22"/>
        </w:rPr>
        <w:t>Усі написані розділи 1–5 вписуються без змін у суті</w:t>
      </w:r>
    </w:p>
    <w:p>
      <w:pPr>
        <w:spacing w:after="4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F497D"/>
          <w:sz w:val="28"/>
        </w:rPr>
        <w:t>2. ДВІ МОДЕЛІ — УТОЧНЕНІ НАЗВИ ТА СУТЬ</w:t>
      </w:r>
    </w:p>
    <w:p>
      <w:pPr>
        <w:spacing w:before="160" w:after="80"/>
      </w:pPr>
      <w:r>
        <w:rPr>
          <w:b/>
          <w:color w:val="2E74B5"/>
          <w:sz w:val="24"/>
        </w:rPr>
        <w:t>МОДЕЛЬ 1 — "Програмно-алгоритмічна модель корекції індикативних вимірювань PM₁₀"</w:t>
      </w:r>
    </w:p>
    <w:p>
      <w:pPr>
        <w:spacing w:after="60"/>
      </w:pPr>
      <w:r>
        <w:rPr>
          <w:b/>
          <w:sz w:val="22"/>
        </w:rPr>
        <w:t xml:space="preserve">Повна назва: </w:t>
      </w:r>
      <w:r>
        <w:rPr>
          <w:sz w:val="22"/>
        </w:rPr>
        <w:t>Програмно-алгоритмічна модель корекції індикативних вимірювань PM₁₀ на основі алгоритму Random Forest з використанням синхронізованих даних TSP та метеорологічних параметрів.</w:t>
      </w:r>
    </w:p>
    <w:p/>
    <w:p>
      <w:pPr>
        <w:spacing w:before="80" w:after="80"/>
        <w:ind w:left="425" w:right="425"/>
        <w:pBdr>
          <w:top w:val="single" w:sz="4" w:space="4" w:color="2E74B5"/>
          <w:bottom w:val="single" w:sz="4" w:space="4" w:color="2E74B5"/>
          <w:left w:val="single" w:sz="4" w:space="4" w:color="2E74B5"/>
          <w:right w:val="single" w:sz="4" w:space="4" w:color="2E74B5"/>
        </w:pBdr>
      </w:pPr>
      <w:r>
        <w:rPr>
          <w:i/>
          <w:color w:val="1F497D"/>
          <w:sz w:val="20"/>
        </w:rPr>
        <w:t>ВАЖЛИВО: TSP є обов'язковим — але не як вхідний параметр роботи моделі, а як еталон для навчання. Без TSP модель не має цільової змінної і не може визначити похибку оптичного сенсора. Корекція без еталону — неможлива.</w:t>
      </w:r>
    </w:p>
    <w:p/>
    <w:p>
      <w:pPr>
        <w:spacing w:before="120" w:after="60"/>
      </w:pPr>
      <w:r>
        <w:rPr>
          <w:b/>
          <w:color w:val="404040"/>
          <w:sz w:val="22"/>
        </w:rPr>
        <w:t>Фаза 1 — Навчання (одноразово, на колокаційному посту):</w:t>
      </w:r>
    </w:p>
    <w:p>
      <w:pPr>
        <w:pStyle w:val="ListBullet"/>
        <w:spacing w:after="60"/>
      </w:pPr>
      <w:r>
        <w:rPr>
          <w:sz w:val="22"/>
        </w:rPr>
        <w:t>Вхід: PM₁₀ оптичний + TSP референтний + RH + T + тиск + вітер + місяць + час доби</w:t>
      </w:r>
    </w:p>
    <w:p>
      <w:pPr>
        <w:pStyle w:val="ListBullet"/>
        <w:spacing w:after="60"/>
      </w:pPr>
      <w:r>
        <w:rPr>
          <w:sz w:val="22"/>
        </w:rPr>
        <w:t>RF вчиться: "яка похибка оптичного сенсора при яких умовах"</w:t>
      </w:r>
    </w:p>
    <w:p>
      <w:pPr>
        <w:pStyle w:val="ListBullet"/>
        <w:spacing w:after="60"/>
      </w:pPr>
      <w:r>
        <w:rPr>
          <w:sz w:val="22"/>
        </w:rPr>
        <w:t>Цільова змінна: PM₁₀_еталон = f(TSP) — саме TSP дає еталон для навчання</w:t>
      </w:r>
    </w:p>
    <w:p>
      <w:pPr>
        <w:pStyle w:val="ListBullet"/>
        <w:spacing w:after="60"/>
      </w:pPr>
      <w:r>
        <w:rPr>
          <w:sz w:val="22"/>
        </w:rPr>
        <w:t>Умова: колокаційний пост (індикативний поряд з постом Гідромету TSP)</w:t>
      </w:r>
    </w:p>
    <w:p>
      <w:pPr>
        <w:spacing w:before="120" w:after="60"/>
      </w:pPr>
      <w:r>
        <w:rPr>
          <w:b/>
          <w:color w:val="404040"/>
          <w:sz w:val="22"/>
        </w:rPr>
        <w:t>Фаза 2 — Робота (постійно, на всій мережі міста):</w:t>
      </w:r>
    </w:p>
    <w:p>
      <w:pPr>
        <w:pStyle w:val="ListBullet"/>
        <w:spacing w:after="60"/>
      </w:pPr>
      <w:r>
        <w:rPr>
          <w:sz w:val="22"/>
        </w:rPr>
        <w:t>Вхід: PM₁₀ оптичний + RH + T + тиск + вітер + місяць + час доби</w:t>
      </w:r>
    </w:p>
    <w:p>
      <w:pPr>
        <w:pStyle w:val="ListBullet"/>
        <w:spacing w:after="60"/>
      </w:pPr>
      <w:r>
        <w:rPr>
          <w:sz w:val="22"/>
        </w:rPr>
        <w:t>TSP на цьому етапі НЕ потрібен — модель вже навчена</w:t>
      </w:r>
    </w:p>
    <w:p>
      <w:pPr>
        <w:pStyle w:val="ListBullet"/>
        <w:spacing w:after="60"/>
      </w:pPr>
      <w:r>
        <w:rPr>
          <w:sz w:val="22"/>
        </w:rPr>
        <w:t>Вихід: PM₁₀ скоригований ≈ референтна якість</w:t>
      </w:r>
    </w:p>
    <w:p>
      <w:pPr>
        <w:pStyle w:val="ListBullet"/>
        <w:spacing w:after="60"/>
      </w:pPr>
      <w:r>
        <w:rPr>
          <w:sz w:val="22"/>
        </w:rPr>
        <w:t>Ціль: невизначеність ≤ 25–30% (ціль якості КМУ №827)</w:t>
      </w:r>
    </w:p>
    <w:p/>
    <w:p>
      <w:pPr>
        <w:spacing w:before="80" w:after="80"/>
        <w:ind w:left="425" w:right="425"/>
        <w:pBdr>
          <w:top w:val="single" w:sz="4" w:space="4" w:color="2E74B5"/>
          <w:bottom w:val="single" w:sz="4" w:space="4" w:color="2E74B5"/>
          <w:left w:val="single" w:sz="4" w:space="4" w:color="2E74B5"/>
          <w:right w:val="single" w:sz="4" w:space="4" w:color="2E74B5"/>
        </w:pBdr>
      </w:pPr>
      <w:r>
        <w:rPr>
          <w:i/>
          <w:color w:val="1F497D"/>
          <w:sz w:val="20"/>
        </w:rPr>
        <w:t>Умова переносу моделі на всю мережу міста: підтверджена однорідність аерозольного середовища (розділ 5 — трипостова валідація + розділ 6 — валідація між постами Гідромету TSP).</w:t>
      </w:r>
    </w:p>
    <w:p/>
    <w:p>
      <w:pPr>
        <w:spacing w:before="160" w:after="80"/>
      </w:pPr>
      <w:r>
        <w:rPr>
          <w:b/>
          <w:color w:val="2E74B5"/>
          <w:sz w:val="24"/>
        </w:rPr>
        <w:t>МОДЕЛЬ 2 — "Модель розрахунку PM₁₀ на основі локального коефіцієнта PM₁₀/TSP"</w:t>
      </w:r>
    </w:p>
    <w:p>
      <w:pPr>
        <w:spacing w:after="60"/>
      </w:pPr>
      <w:r>
        <w:rPr>
          <w:b/>
          <w:sz w:val="22"/>
        </w:rPr>
        <w:t xml:space="preserve">Повна назва: </w:t>
      </w:r>
      <w:r>
        <w:rPr>
          <w:sz w:val="22"/>
        </w:rPr>
        <w:t>Модель розрахунку PM₁₀ на основі локального сезонно-метеозалежного коефіцієнта PM₁₀/TSP, визначеного з використанням скоригованих індикативних вимірювань.</w:t>
      </w:r>
    </w:p>
    <w:p/>
    <w:p>
      <w:pPr>
        <w:spacing w:before="80" w:after="80"/>
        <w:ind w:left="425" w:right="425"/>
        <w:pBdr>
          <w:top w:val="single" w:sz="4" w:space="4" w:color="2E74B5"/>
          <w:bottom w:val="single" w:sz="4" w:space="4" w:color="2E74B5"/>
          <w:left w:val="single" w:sz="4" w:space="4" w:color="2E74B5"/>
          <w:right w:val="single" w:sz="4" w:space="4" w:color="2E74B5"/>
        </w:pBdr>
      </w:pPr>
      <w:r>
        <w:rPr>
          <w:i/>
          <w:color w:val="1F497D"/>
          <w:sz w:val="20"/>
        </w:rPr>
        <w:t>КРИТИЧНА УМОВА: Модель 2 можлива ТІЛЬКИ після Моделі 1. Коефіцієнт K розраховується на основі PM₁₀ скоригованого (вихід Моделі 1) — якщо використати нескоригований PM₁₀, коефіцієнт буде спотворений і всі подальші розрахунки — хибними.</w:t>
      </w:r>
    </w:p>
    <w:p/>
    <w:p>
      <w:pPr>
        <w:spacing w:before="120" w:after="60"/>
      </w:pPr>
      <w:r>
        <w:rPr>
          <w:b/>
          <w:color w:val="404040"/>
          <w:sz w:val="22"/>
        </w:rPr>
        <w:t>Принцип роботи:</w:t>
      </w:r>
    </w:p>
    <w:p>
      <w:pPr>
        <w:pStyle w:val="ListBullet"/>
        <w:spacing w:after="60"/>
      </w:pPr>
      <w:r>
        <w:rPr>
          <w:sz w:val="22"/>
        </w:rPr>
        <w:t>Вхід: PM₁₀ скоригований (Модель 1) + TSP референтний (Гідромет)</w:t>
      </w:r>
    </w:p>
    <w:p>
      <w:pPr>
        <w:pStyle w:val="ListBullet"/>
        <w:spacing w:after="60"/>
      </w:pPr>
      <w:r>
        <w:rPr>
          <w:sz w:val="22"/>
        </w:rPr>
        <w:t>Розрахунок: K(місяць, RH, T) = PM₁₀_скор / TSP</w:t>
      </w:r>
    </w:p>
    <w:p>
      <w:pPr>
        <w:pStyle w:val="ListBullet"/>
        <w:spacing w:after="60"/>
      </w:pPr>
      <w:r>
        <w:rPr>
          <w:sz w:val="22"/>
        </w:rPr>
        <w:t>Застосування: TSP будь-якого поста Гідромету міста × K = PM₁₀ розрахунковий</w:t>
      </w:r>
    </w:p>
    <w:p>
      <w:pPr>
        <w:pStyle w:val="ListBullet"/>
        <w:spacing w:after="60"/>
      </w:pPr>
      <w:r>
        <w:rPr>
          <w:sz w:val="22"/>
        </w:rPr>
        <w:t>Результат: PM₁₀ по всій мережі Гідромету (~120 постів по Україні)</w:t>
      </w:r>
    </w:p>
    <w:p/>
    <w:p>
      <w:pPr>
        <w:spacing w:before="120" w:after="60"/>
      </w:pPr>
      <w:r>
        <w:rPr>
          <w:b/>
          <w:color w:val="404040"/>
          <w:sz w:val="22"/>
        </w:rPr>
        <w:t>Умова однорідності середовища — КЛЮЧОВА:</w:t>
      </w:r>
    </w:p>
    <w:p>
      <w:pPr>
        <w:spacing w:after="60"/>
      </w:pPr>
      <w:r>
        <w:rPr>
          <w:b/>
          <w:sz w:val="22"/>
        </w:rPr>
        <w:t xml:space="preserve">Якщо середовище ОДНОРІДНЕ </w:t>
      </w:r>
      <w:r>
        <w:rPr>
          <w:sz w:val="22"/>
        </w:rPr>
        <w:t>(підтверджено валідацією):</w:t>
      </w:r>
    </w:p>
    <w:p>
      <w:pPr>
        <w:pStyle w:val="ListBullet"/>
        <w:spacing w:after="60"/>
      </w:pPr>
      <w:r>
        <w:rPr>
          <w:color w:val="007000"/>
          <w:sz w:val="22"/>
        </w:rPr>
        <w:t>Єдиний K для всього міста</w:t>
      </w:r>
    </w:p>
    <w:p>
      <w:pPr>
        <w:pStyle w:val="ListBullet"/>
        <w:spacing w:after="60"/>
      </w:pPr>
      <w:r>
        <w:rPr>
          <w:color w:val="007000"/>
          <w:sz w:val="22"/>
        </w:rPr>
        <w:t>Один колокаційний пост достатній для всіх постів Гідромету міста</w:t>
      </w:r>
    </w:p>
    <w:p/>
    <w:p>
      <w:pPr>
        <w:spacing w:after="60"/>
      </w:pPr>
      <w:r>
        <w:rPr>
          <w:b/>
          <w:sz w:val="22"/>
        </w:rPr>
        <w:t xml:space="preserve">Якщо середовище НЕОДНОРІДНЕ </w:t>
      </w:r>
      <w:r>
        <w:rPr>
          <w:sz w:val="22"/>
        </w:rPr>
        <w:t>(виявлено зони різних аерозольних характеристик):</w:t>
      </w:r>
    </w:p>
    <w:p>
      <w:pPr>
        <w:pStyle w:val="ListBullet"/>
        <w:spacing w:after="60"/>
      </w:pPr>
      <w:r>
        <w:rPr>
          <w:color w:val="C06000"/>
          <w:sz w:val="22"/>
        </w:rPr>
        <w:t>K розраховується окремо для кожної виявленої зони міста</w:t>
      </w:r>
    </w:p>
    <w:p>
      <w:pPr>
        <w:pStyle w:val="ListBullet"/>
        <w:spacing w:after="60"/>
      </w:pPr>
      <w:r>
        <w:rPr>
          <w:color w:val="C06000"/>
          <w:sz w:val="22"/>
        </w:rPr>
        <w:t>Потрібен колокаційний пост у кожній зоні</w:t>
      </w:r>
    </w:p>
    <w:p>
      <w:pPr>
        <w:pStyle w:val="ListBullet"/>
        <w:spacing w:after="60"/>
      </w:pPr>
      <w:r>
        <w:rPr>
          <w:color w:val="C06000"/>
          <w:sz w:val="22"/>
        </w:rPr>
        <w:t>Метод сам діагностує скільки колокаційних точок потрібно місту</w:t>
      </w:r>
    </w:p>
    <w:p/>
    <w:p>
      <w:pPr>
        <w:spacing w:before="80" w:after="80"/>
        <w:ind w:left="425" w:right="425"/>
        <w:pBdr>
          <w:top w:val="single" w:sz="4" w:space="4" w:color="2E74B5"/>
          <w:bottom w:val="single" w:sz="4" w:space="4" w:color="2E74B5"/>
          <w:left w:val="single" w:sz="4" w:space="4" w:color="2E74B5"/>
          <w:right w:val="single" w:sz="4" w:space="4" w:color="2E74B5"/>
        </w:pBdr>
      </w:pPr>
      <w:r>
        <w:rPr>
          <w:i/>
          <w:color w:val="1F497D"/>
          <w:sz w:val="20"/>
        </w:rPr>
        <w:t>Наукова цінність: метод не просто розраховує PM₁₀, але і виявляє аерозольну зональність міста — що є самостійним науковим результатом для органів екологічного моніторингу.</w:t>
      </w:r>
    </w:p>
    <w:p/>
    <w:p>
      <w:pPr>
        <w:spacing w:before="120" w:after="60"/>
      </w:pPr>
      <w:r>
        <w:rPr>
          <w:b/>
          <w:color w:val="404040"/>
          <w:sz w:val="22"/>
        </w:rPr>
        <w:t>Повний логічний ланцюг обох моделей:</w:t>
      </w:r>
    </w:p>
    <w:p>
      <w:pPr>
        <w:ind w:left="283"/>
      </w:pPr>
      <w:r>
        <w:rPr>
          <w:color w:val="1F497D"/>
          <w:sz w:val="20"/>
        </w:rPr>
        <w:t>TSP реф. (Гідромет) + PM₁₀ опт. (Cairnet) + метео</w:t>
        <w:br/>
        <w:t xml:space="preserve">        ↓  [навчання Моделі 1]</w:t>
        <w:br/>
        <w:t>PM₁₀ скоригований (≈ референтна якість)</w:t>
        <w:br/>
        <w:t xml:space="preserve">        ↓  [Модель 2, за умови підтвердженої однорідності]</w:t>
        <w:br/>
        <w:t>K локальний (єдиний або по зонах)</w:t>
        <w:br/>
        <w:t xml:space="preserve">        ↓</w:t>
        <w:br/>
        <w:t>PM₁₀ розрахунковий для всіх постів Гідромету міста</w:t>
        <w:br/>
        <w:t xml:space="preserve">        ↓</w:t>
        <w:br/>
        <w:t>AQI (Наказ №590) + оцінка якості повітря (КМУ №827) по всій мережі</w:t>
      </w:r>
    </w:p>
    <w:p>
      <w:pPr>
        <w:spacing w:after="4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F497D"/>
          <w:sz w:val="28"/>
        </w:rPr>
        <w:t>3. НАПИСАНІ РОЗДІЛИ 1–5: КОНКРЕТНІ ПРАВКИ</w:t>
      </w:r>
    </w:p>
    <w:p>
      <w:pPr>
        <w:spacing w:before="160" w:after="80"/>
      </w:pPr>
      <w:r>
        <w:rPr>
          <w:b/>
          <w:color w:val="2E74B5"/>
          <w:sz w:val="24"/>
        </w:rPr>
        <w:t>Розділ 1 — Теоретичні основи та нормативно-правова база</w:t>
      </w:r>
    </w:p>
    <w:p>
      <w:pPr>
        <w:spacing w:after="60"/>
      </w:pPr>
      <w:r>
        <w:rPr>
          <w:b/>
          <w:color w:val="007000"/>
          <w:sz w:val="22"/>
        </w:rPr>
        <w:t xml:space="preserve">Оцінка: </w:t>
      </w:r>
      <w:r>
        <w:rPr>
          <w:sz w:val="22"/>
        </w:rPr>
        <w:t>ВІДМІННО</w:t>
      </w:r>
    </w:p>
    <w:p>
      <w:pPr>
        <w:spacing w:after="60"/>
      </w:pPr>
      <w:r>
        <w:rPr>
          <w:sz w:val="22"/>
        </w:rPr>
        <w:t>Повністю відповідає новій темі. TSP має нормативний статус (КМУ №513/2024). Цілі якості для індикативних вимірювань. AQI через Наказ №590.</w:t>
      </w:r>
    </w:p>
    <w:p>
      <w:pPr>
        <w:pStyle w:val="ListBullet"/>
        <w:spacing w:after="60"/>
      </w:pPr>
      <w:r>
        <w:rPr>
          <w:color w:val="007000"/>
          <w:sz w:val="22"/>
        </w:rPr>
        <w:t>Жодних змін не потрібно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2 — Аналіз співвідношення PM₁₀/TSP</w:t>
      </w:r>
    </w:p>
    <w:p>
      <w:pPr>
        <w:spacing w:after="60"/>
      </w:pPr>
      <w:r>
        <w:rPr>
          <w:b/>
          <w:color w:val="007000"/>
          <w:sz w:val="22"/>
        </w:rPr>
        <w:t xml:space="preserve">Оцінка: </w:t>
      </w:r>
      <w:r>
        <w:rPr>
          <w:sz w:val="22"/>
        </w:rPr>
        <w:t>ВІДМІННО</w:t>
      </w:r>
    </w:p>
    <w:p>
      <w:pPr>
        <w:spacing w:after="60"/>
      </w:pPr>
      <w:r>
        <w:rPr>
          <w:sz w:val="22"/>
        </w:rPr>
        <w:t>Науково обґрунтовує обидві моделі. Доведено що коефіцієнт не є константою (0.32–0.91). Random Forest є правильним інструментом.</w:t>
      </w:r>
    </w:p>
    <w:p>
      <w:pPr>
        <w:pStyle w:val="ListBullet"/>
        <w:spacing w:after="60"/>
      </w:pPr>
      <w:r>
        <w:rPr>
          <w:color w:val="007000"/>
          <w:sz w:val="22"/>
        </w:rPr>
        <w:t>Жодних змін не потрібно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3 — Обґрунтування об'єкта та схеми дослідження</w:t>
      </w:r>
    </w:p>
    <w:p>
      <w:pPr>
        <w:spacing w:after="60"/>
      </w:pPr>
      <w:r>
        <w:rPr>
          <w:b/>
          <w:color w:val="C06000"/>
          <w:sz w:val="22"/>
        </w:rPr>
        <w:t xml:space="preserve">Оцінка: </w:t>
      </w:r>
      <w:r>
        <w:rPr>
          <w:sz w:val="22"/>
        </w:rPr>
        <w:t>ДОБРЕ — потребує двох доповнень</w:t>
      </w:r>
    </w:p>
    <w:p/>
    <w:p>
      <w:pPr>
        <w:spacing w:before="120" w:after="60"/>
      </w:pPr>
      <w:r>
        <w:rPr>
          <w:b/>
          <w:color w:val="404040"/>
          <w:sz w:val="22"/>
        </w:rPr>
        <w:t>Доповнення до підрозділу 3.2 "Аналіз мережі постів":</w:t>
      </w:r>
    </w:p>
    <w:p>
      <w:pPr>
        <w:pStyle w:val="ListBullet"/>
        <w:spacing w:after="60"/>
      </w:pPr>
      <w:r>
        <w:rPr>
          <w:sz w:val="22"/>
        </w:rPr>
        <w:t>Явно зазначити: три пости (pan2, pan5, pan6) розміщені в різних частинах міста НАВМИСНО — для діагностики однорідності аерозольного середовища</w:t>
      </w:r>
    </w:p>
    <w:p>
      <w:pPr>
        <w:pStyle w:val="ListBullet"/>
        <w:spacing w:after="60"/>
      </w:pPr>
      <w:r>
        <w:rPr>
          <w:sz w:val="22"/>
        </w:rPr>
        <w:t>Обґрунтувати: Кривий Ріг як місто з різними промисловими зонами є показовим об'єктом для перевірки просторової однорідності</w:t>
      </w:r>
    </w:p>
    <w:p>
      <w:pPr>
        <w:pStyle w:val="ListBullet"/>
        <w:spacing w:after="60"/>
      </w:pPr>
      <w:r>
        <w:rPr>
          <w:sz w:val="22"/>
        </w:rPr>
        <w:t>Пояснити: просторова диференціація постів є методологічною основою для виявлення аерозольних зон міста</w:t>
      </w:r>
    </w:p>
    <w:p/>
    <w:p>
      <w:pPr>
        <w:spacing w:before="120" w:after="60"/>
      </w:pPr>
      <w:r>
        <w:rPr>
          <w:b/>
          <w:color w:val="404040"/>
          <w:sz w:val="22"/>
        </w:rPr>
        <w:t>Доповнення до підрозділу 3.3 "Обґрунтування паралельних вимірювань":</w:t>
      </w:r>
    </w:p>
    <w:p>
      <w:pPr>
        <w:pStyle w:val="ListBullet"/>
        <w:spacing w:after="60"/>
      </w:pPr>
      <w:r>
        <w:rPr>
          <w:sz w:val="22"/>
        </w:rPr>
        <w:t>Додати: колокаційний пост pan2+ТЗА є достатнім для всього міста ТІЛЬКИ за умови підтвердженої однорідності середовища</w:t>
      </w:r>
    </w:p>
    <w:p>
      <w:pPr>
        <w:pStyle w:val="ListBullet"/>
        <w:spacing w:after="60"/>
      </w:pPr>
      <w:r>
        <w:rPr>
          <w:sz w:val="22"/>
        </w:rPr>
        <w:t>Додати: якщо валідація виявляє зони — необхідні додаткові колокаційні точки в кожній зоні</w:t>
      </w:r>
    </w:p>
    <w:p>
      <w:pPr>
        <w:pStyle w:val="ListBullet"/>
        <w:spacing w:after="60"/>
      </w:pPr>
      <w:r>
        <w:rPr>
          <w:sz w:val="22"/>
        </w:rPr>
        <w:t>Додати: валідація між постами Гідромету (TSP) є обов'язковим кроком підтвердження однорідності з боку референтних вимірювань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4 — Формування та валідація даних</w:t>
      </w:r>
    </w:p>
    <w:p>
      <w:pPr>
        <w:spacing w:after="60"/>
      </w:pPr>
      <w:r>
        <w:rPr>
          <w:b/>
          <w:color w:val="007000"/>
          <w:sz w:val="22"/>
        </w:rPr>
        <w:t xml:space="preserve">Оцінка: </w:t>
      </w:r>
      <w:r>
        <w:rPr>
          <w:sz w:val="22"/>
        </w:rPr>
        <w:t>ВІДМІННО</w:t>
      </w:r>
    </w:p>
    <w:p>
      <w:pPr>
        <w:spacing w:after="60"/>
      </w:pPr>
      <w:r>
        <w:rPr>
          <w:sz w:val="22"/>
        </w:rPr>
        <w:t>Реальний річний масив даних 2025 р. Алгоритм синхронізації ±30 хв. QC-процедури. Повнота 82.9%. Фундамент для навчання обох моделей.</w:t>
      </w:r>
    </w:p>
    <w:p>
      <w:pPr>
        <w:pStyle w:val="ListBullet"/>
        <w:spacing w:after="60"/>
      </w:pPr>
      <w:r>
        <w:rPr>
          <w:color w:val="007000"/>
          <w:sz w:val="22"/>
        </w:rPr>
        <w:t>Жодних змін не потрібно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5 — Валідація індикативних вимірювань PM₁₀</w:t>
      </w:r>
    </w:p>
    <w:p>
      <w:pPr>
        <w:spacing w:after="60"/>
      </w:pPr>
      <w:r>
        <w:rPr>
          <w:b/>
          <w:color w:val="C06000"/>
          <w:sz w:val="22"/>
        </w:rPr>
        <w:t xml:space="preserve">Оцінка: </w:t>
      </w:r>
      <w:r>
        <w:rPr>
          <w:sz w:val="22"/>
        </w:rPr>
        <w:t>ДУЖЕ СИЛЬНИЙ — сам аналіз залишається, повністю переписати ВИСНОВКИ</w:t>
      </w:r>
    </w:p>
    <w:p>
      <w:pPr>
        <w:spacing w:after="60"/>
      </w:pPr>
      <w:r>
        <w:rPr>
          <w:sz w:val="22"/>
        </w:rPr>
        <w:t>Детальний трипостовий аналіз по місяцях (r=0.93 взимку, r=0.44–0.48 влітку). Pan5 систематично нижчий — це наукова знахідка, а не просто просторова мінливість.</w:t>
      </w:r>
    </w:p>
    <w:p/>
    <w:p>
      <w:pPr>
        <w:spacing w:before="120" w:after="60"/>
      </w:pPr>
      <w:r>
        <w:rPr>
          <w:b/>
          <w:color w:val="404040"/>
          <w:sz w:val="22"/>
        </w:rPr>
        <w:t>Висновки до розділу 5 — замінити на три чіткі висновки:</w:t>
      </w:r>
    </w:p>
    <w:p>
      <w:pPr>
        <w:spacing w:after="60"/>
      </w:pPr>
      <w:r>
        <w:rPr>
          <w:b/>
          <w:sz w:val="22"/>
        </w:rPr>
        <w:t>Висновок 1 — Однорідність з боку індикативних вимірювань:</w:t>
      </w:r>
      <w:r>
        <w:rPr>
          <w:sz w:val="22"/>
        </w:rPr>
      </w:r>
    </w:p>
    <w:p>
      <w:pPr>
        <w:spacing w:before="80" w:after="80"/>
        <w:ind w:left="425" w:right="425"/>
        <w:pBdr>
          <w:top w:val="single" w:sz="4" w:space="4" w:color="2E74B5"/>
          <w:bottom w:val="single" w:sz="4" w:space="4" w:color="2E74B5"/>
          <w:left w:val="single" w:sz="4" w:space="4" w:color="2E74B5"/>
          <w:right w:val="single" w:sz="4" w:space="4" w:color="2E74B5"/>
        </w:pBdr>
      </w:pPr>
      <w:r>
        <w:rPr>
          <w:i/>
          <w:color w:val="1F497D"/>
          <w:sz w:val="20"/>
        </w:rPr>
        <w:t>Трипостова валідація підтвердила достатню однорідність аерозольного середовища Кривого Рогу — особливо в холодний період (r=0.93). Часова динаміка PM₁₀ відтворюється на всіх трьох постах синхронно. Це доводить що Модель 1, навчена на колокаційному посту pan2+ТЗА, правомірно застосовується до всієї мережі міста.</w:t>
      </w:r>
    </w:p>
    <w:p/>
    <w:p>
      <w:pPr>
        <w:spacing w:after="60"/>
      </w:pPr>
      <w:r>
        <w:rPr>
          <w:b/>
          <w:sz w:val="22"/>
        </w:rPr>
        <w:t>Висновок 2 — Виявлена просторова зональність:</w:t>
      </w:r>
      <w:r>
        <w:rPr>
          <w:sz w:val="22"/>
        </w:rPr>
      </w:r>
    </w:p>
    <w:p>
      <w:pPr>
        <w:spacing w:before="80" w:after="80"/>
        <w:ind w:left="425" w:right="425"/>
        <w:pBdr>
          <w:top w:val="single" w:sz="4" w:space="4" w:color="2E74B5"/>
          <w:bottom w:val="single" w:sz="4" w:space="4" w:color="2E74B5"/>
          <w:left w:val="single" w:sz="4" w:space="4" w:color="2E74B5"/>
          <w:right w:val="single" w:sz="4" w:space="4" w:color="2E74B5"/>
        </w:pBdr>
      </w:pPr>
      <w:r>
        <w:rPr>
          <w:i/>
          <w:color w:val="1F497D"/>
          <w:sz w:val="20"/>
        </w:rPr>
        <w:t>Пост pan5 систематично демонструє нижчі абсолютні концентрації PM₁₀ протягом року. Це свідчить про наявність аерозольних зон з різними характеристиками в межах міста. Для Моделі 2 це означає необхідність розрахунку коефіцієнта K окремо для виявлених зон, а не єдиного K для всього міста. Підтвердження або спростування зональності потребує додаткової валідації між постами Гідромету (TSP) у розділі 6.</w:t>
      </w:r>
    </w:p>
    <w:p/>
    <w:p>
      <w:pPr>
        <w:spacing w:after="60"/>
      </w:pPr>
      <w:r>
        <w:rPr>
          <w:b/>
          <w:sz w:val="22"/>
        </w:rPr>
        <w:t>Висновок 3 — Масштабованість методу:</w:t>
      </w:r>
      <w:r>
        <w:rPr>
          <w:sz w:val="22"/>
        </w:rPr>
      </w:r>
    </w:p>
    <w:p>
      <w:pPr>
        <w:spacing w:before="80" w:after="80"/>
        <w:ind w:left="425" w:right="425"/>
        <w:pBdr>
          <w:top w:val="single" w:sz="4" w:space="4" w:color="2E74B5"/>
          <w:bottom w:val="single" w:sz="4" w:space="4" w:color="2E74B5"/>
          <w:left w:val="single" w:sz="4" w:space="4" w:color="2E74B5"/>
          <w:right w:val="single" w:sz="4" w:space="4" w:color="2E74B5"/>
        </w:pBdr>
      </w:pPr>
      <w:r>
        <w:rPr>
          <w:i/>
          <w:color w:val="1F497D"/>
          <w:sz w:val="20"/>
        </w:rPr>
        <w:t>Методологія трипостової валідації є масштабованою на інші міста України. Більша кількість постів посилює статистичну обґрунтованість висновку про однорідність. Додаткова валідація між постами Гідромету (TSP) є обов'язковою умовою застосування єдиного коефіцієнта K в Моделі 2 — і буде виконана в розділі 6.</w:t>
      </w:r>
    </w:p>
    <w:p>
      <w:pPr>
        <w:spacing w:after="4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F497D"/>
          <w:sz w:val="28"/>
        </w:rPr>
        <w:t>4. НОВІ РОЗДІЛИ 6–8: ЩО ВІДОБРАЗИТИ</w:t>
      </w:r>
    </w:p>
    <w:p>
      <w:pPr>
        <w:spacing w:before="160" w:after="80"/>
      </w:pPr>
      <w:r>
        <w:rPr>
          <w:b/>
          <w:color w:val="2E74B5"/>
          <w:sz w:val="24"/>
        </w:rPr>
        <w:t>Розділ 6 — Дослідження закономірностей коефіцієнта PM₁₀/TSP</w:t>
      </w:r>
    </w:p>
    <w:p>
      <w:pPr>
        <w:spacing w:after="60"/>
      </w:pPr>
      <w:r>
        <w:rPr>
          <w:sz w:val="22"/>
        </w:rPr>
        <w:t>Перехідний розділ між двома моделями. Містить два блоки.</w:t>
      </w:r>
    </w:p>
    <w:p/>
    <w:p>
      <w:pPr>
        <w:spacing w:before="120" w:after="60"/>
      </w:pPr>
      <w:r>
        <w:rPr>
          <w:b/>
          <w:color w:val="404040"/>
          <w:sz w:val="22"/>
        </w:rPr>
        <w:t>Блок 6.1 — Валідація однорідності між постами Гідромету (TSP):</w:t>
      </w:r>
    </w:p>
    <w:p>
      <w:pPr>
        <w:pStyle w:val="ListBullet"/>
        <w:spacing w:after="60"/>
      </w:pPr>
      <w:r>
        <w:rPr>
          <w:sz w:val="22"/>
        </w:rPr>
        <w:t>Порівняти TSP між наявними постами Гідромету Кривого Рогу</w:t>
      </w:r>
    </w:p>
    <w:p>
      <w:pPr>
        <w:pStyle w:val="ListBullet"/>
        <w:spacing w:after="60"/>
      </w:pPr>
      <w:r>
        <w:rPr>
          <w:sz w:val="22"/>
        </w:rPr>
        <w:t>Оцінити однорідність референтних вимірювань по місту і виявленим зонам</w:t>
      </w:r>
    </w:p>
    <w:p>
      <w:pPr>
        <w:pStyle w:val="ListBullet"/>
        <w:spacing w:after="60"/>
      </w:pPr>
      <w:r>
        <w:rPr>
          <w:sz w:val="22"/>
        </w:rPr>
        <w:t>Висновок: підтверджує або спростовує результат трипостової валідації розділу 5</w:t>
      </w:r>
    </w:p>
    <w:p>
      <w:pPr>
        <w:pStyle w:val="ListBullet"/>
        <w:spacing w:after="60"/>
      </w:pPr>
      <w:r>
        <w:rPr>
          <w:sz w:val="22"/>
        </w:rPr>
        <w:t>Якщо підтверджено однорідність → єдиний K; якщо ні → K по зонах</w:t>
      </w:r>
    </w:p>
    <w:p/>
    <w:p>
      <w:pPr>
        <w:spacing w:before="120" w:after="60"/>
      </w:pPr>
      <w:r>
        <w:rPr>
          <w:b/>
          <w:color w:val="404040"/>
          <w:sz w:val="22"/>
        </w:rPr>
        <w:t>Блок 6.2 — Розрахунок коефіцієнта K:</w:t>
      </w:r>
    </w:p>
    <w:p>
      <w:pPr>
        <w:pStyle w:val="ListBullet"/>
        <w:spacing w:after="60"/>
      </w:pPr>
      <w:r>
        <w:rPr>
          <w:sz w:val="22"/>
        </w:rPr>
        <w:t>Базовий K = PM₁₀_скоригований / TSP по всьому масиву</w:t>
      </w:r>
    </w:p>
    <w:p>
      <w:pPr>
        <w:pStyle w:val="ListBullet"/>
        <w:spacing w:after="60"/>
      </w:pPr>
      <w:r>
        <w:rPr>
          <w:sz w:val="22"/>
        </w:rPr>
        <w:t>Сезонний аналіз K: зима / весна / літо / осінь</w:t>
      </w:r>
    </w:p>
    <w:p>
      <w:pPr>
        <w:pStyle w:val="ListBullet"/>
        <w:spacing w:after="60"/>
      </w:pPr>
      <w:r>
        <w:rPr>
          <w:sz w:val="22"/>
        </w:rPr>
        <w:t>Метеозалежність: вплив RH, T, швидкості вітру на K</w:t>
      </w:r>
    </w:p>
    <w:p>
      <w:pPr>
        <w:pStyle w:val="ListBullet"/>
        <w:spacing w:after="60"/>
      </w:pPr>
      <w:r>
        <w:rPr>
          <w:sz w:val="22"/>
        </w:rPr>
        <w:t>Статистика: медіана, усічене середнє, σ, довірчі інтервали</w:t>
      </w:r>
    </w:p>
    <w:p>
      <w:pPr>
        <w:pStyle w:val="ListBullet"/>
        <w:spacing w:after="60"/>
      </w:pPr>
      <w:r>
        <w:rPr>
          <w:sz w:val="22"/>
        </w:rPr>
        <w:t>Якщо виявлено зони — K розраховується окремо для кожної зони</w:t>
      </w:r>
    </w:p>
    <w:p>
      <w:pPr>
        <w:pStyle w:val="ListBullet"/>
        <w:spacing w:after="60"/>
      </w:pPr>
      <w:r>
        <w:rPr>
          <w:sz w:val="22"/>
        </w:rPr>
        <w:t>Порівняння з міжнародними даними (0.32–0.91) — обґрунтованість локального K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7 — Програмно-алгоритмічний метод: Модель 1 та Модель 2</w:t>
      </w:r>
    </w:p>
    <w:p>
      <w:pPr>
        <w:spacing w:before="120" w:after="60"/>
      </w:pPr>
      <w:r>
        <w:rPr>
          <w:b/>
          <w:color w:val="404040"/>
          <w:sz w:val="22"/>
        </w:rPr>
        <w:t>Блок 7.1 — Модель 1 (корекція індикативних вимірювань):</w:t>
      </w:r>
    </w:p>
    <w:p>
      <w:pPr>
        <w:pStyle w:val="ListBullet"/>
        <w:spacing w:after="60"/>
      </w:pPr>
      <w:r>
        <w:rPr>
          <w:sz w:val="22"/>
        </w:rPr>
        <w:t>Архітектура RF: вхідні параметри навчання (PM₁₀ опт + TSP + метео), структура дерев, гіперпараметри</w:t>
      </w:r>
    </w:p>
    <w:p>
      <w:pPr>
        <w:pStyle w:val="ListBullet"/>
        <w:spacing w:after="60"/>
      </w:pPr>
      <w:r>
        <w:rPr>
          <w:sz w:val="22"/>
        </w:rPr>
        <w:t>Алгоритм навчання на синхронізованих парах масиву Кривого Рогу</w:t>
      </w:r>
    </w:p>
    <w:p>
      <w:pPr>
        <w:pStyle w:val="ListBullet"/>
        <w:spacing w:after="60"/>
      </w:pPr>
      <w:r>
        <w:rPr>
          <w:sz w:val="22"/>
        </w:rPr>
        <w:t>Алгоритм роботи: PM₁₀_скор = f(PM₁₀_опт, RH, T, P, вітер, місяць, час)</w:t>
      </w:r>
    </w:p>
    <w:p>
      <w:pPr>
        <w:pStyle w:val="ListBullet"/>
        <w:spacing w:after="60"/>
      </w:pPr>
      <w:r>
        <w:rPr>
          <w:sz w:val="22"/>
        </w:rPr>
        <w:t>Валідація на незалежній вибірці: невизначеність ≤ 25–30%?</w:t>
      </w:r>
    </w:p>
    <w:p>
      <w:pPr>
        <w:pStyle w:val="ListBullet"/>
        <w:spacing w:after="60"/>
      </w:pPr>
      <w:r>
        <w:rPr>
          <w:sz w:val="22"/>
        </w:rPr>
        <w:t>Межі застосування: діапазони концентрацій та метеопараметрів</w:t>
      </w:r>
    </w:p>
    <w:p/>
    <w:p>
      <w:pPr>
        <w:spacing w:before="120" w:after="60"/>
      </w:pPr>
      <w:r>
        <w:rPr>
          <w:b/>
          <w:color w:val="404040"/>
          <w:sz w:val="22"/>
        </w:rPr>
        <w:t>Блок 7.2 — Модель 2 (локальний коефіцієнт PM₁₀/TSP):</w:t>
      </w:r>
    </w:p>
    <w:p>
      <w:pPr>
        <w:pStyle w:val="ListBullet"/>
        <w:spacing w:after="60"/>
      </w:pPr>
      <w:r>
        <w:rPr>
          <w:sz w:val="22"/>
        </w:rPr>
        <w:t>Алгоритм розрахунку K на основі PM₁₀_скоригованого (вихід Моделі 1)</w:t>
      </w:r>
    </w:p>
    <w:p>
      <w:pPr>
        <w:pStyle w:val="ListBullet"/>
        <w:spacing w:after="60"/>
      </w:pPr>
      <w:r>
        <w:rPr>
          <w:sz w:val="22"/>
        </w:rPr>
        <w:t>Функція K(місяць, RH, T) — сезонно-метеозалежна</w:t>
      </w:r>
    </w:p>
    <w:p>
      <w:pPr>
        <w:pStyle w:val="ListBullet"/>
        <w:spacing w:after="60"/>
      </w:pPr>
      <w:r>
        <w:rPr>
          <w:sz w:val="22"/>
        </w:rPr>
        <w:t>Алгоритм застосування до TSP мережі Гідромету → PM₁₀ розрахунковий</w:t>
      </w:r>
    </w:p>
    <w:p>
      <w:pPr>
        <w:pStyle w:val="ListBullet"/>
        <w:spacing w:after="60"/>
      </w:pPr>
      <w:r>
        <w:rPr>
          <w:sz w:val="22"/>
        </w:rPr>
        <w:t>Реалізація для однорідного середовища (єдиний K) та для зон (K_зона)</w:t>
      </w:r>
    </w:p>
    <w:p/>
    <w:p>
      <w:pPr>
        <w:spacing w:before="120" w:after="60"/>
      </w:pPr>
      <w:r>
        <w:rPr>
          <w:b/>
          <w:color w:val="404040"/>
          <w:sz w:val="22"/>
        </w:rPr>
        <w:t>Блок 7.3 — Методологія масштабування на інші міста:</w:t>
      </w:r>
    </w:p>
    <w:p>
      <w:pPr>
        <w:pStyle w:val="ListBullet"/>
        <w:spacing w:after="60"/>
      </w:pPr>
      <w:r>
        <w:rPr>
          <w:sz w:val="22"/>
        </w:rPr>
        <w:t>Покроковий алгоритм для нового міста: встановити індикативний пост поряд з Гідрометом → зібрати дані → навчити Модель 1 → провести валідацію однорідності → розрахувати K (Модель 2) → застосувати до мережі</w:t>
      </w:r>
    </w:p>
    <w:p>
      <w:pPr>
        <w:pStyle w:val="ListBullet"/>
        <w:spacing w:after="60"/>
      </w:pPr>
      <w:r>
        <w:rPr>
          <w:sz w:val="22"/>
        </w:rPr>
        <w:t>Роль валідації між індикативними постами: діагностика однорідності з боку оптичних вимірювань</w:t>
      </w:r>
    </w:p>
    <w:p>
      <w:pPr>
        <w:pStyle w:val="ListBullet"/>
        <w:spacing w:after="60"/>
      </w:pPr>
      <w:r>
        <w:rPr>
          <w:sz w:val="22"/>
        </w:rPr>
        <w:t>Роль валідації між постами Гідромету: діагностика однорідності з боку референтних вимірювань</w:t>
      </w:r>
    </w:p>
    <w:p>
      <w:pPr>
        <w:pStyle w:val="ListBullet"/>
        <w:spacing w:after="60"/>
      </w:pPr>
      <w:r>
        <w:rPr>
          <w:sz w:val="22"/>
        </w:rPr>
        <w:t>Метод сам визначає скільки колокаційних точок потрібно місту</w:t>
      </w:r>
    </w:p>
    <w:p>
      <w:pPr>
        <w:pStyle w:val="ListBullet"/>
        <w:spacing w:after="60"/>
      </w:pPr>
      <w:r>
        <w:rPr>
          <w:sz w:val="22"/>
        </w:rPr>
        <w:t>Мінімальна тривалість колокаційних вимірювань для надійного навчання моделі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8 — Оцінка підвищення екологічної безпеки</w:t>
      </w:r>
    </w:p>
    <w:p>
      <w:pPr>
        <w:spacing w:before="120" w:after="60"/>
      </w:pPr>
      <w:r>
        <w:rPr>
          <w:b/>
          <w:color w:val="404040"/>
          <w:sz w:val="22"/>
        </w:rPr>
        <w:t>Блок 8.1 — Вплив Моделі 1 на якість моніторингу:</w:t>
      </w:r>
    </w:p>
    <w:p>
      <w:pPr>
        <w:pStyle w:val="ListBullet"/>
        <w:spacing w:after="60"/>
      </w:pPr>
      <w:r>
        <w:rPr>
          <w:sz w:val="22"/>
        </w:rPr>
        <w:t>Порівняння точності до і після корекції: зменшення невизначеності</w:t>
      </w:r>
    </w:p>
    <w:p>
      <w:pPr>
        <w:pStyle w:val="ListBullet"/>
        <w:spacing w:after="60"/>
      </w:pPr>
      <w:r>
        <w:rPr>
          <w:sz w:val="22"/>
        </w:rPr>
        <w:t>Кількість хибних перевищень норм PM₁₀ до і після корекції</w:t>
      </w:r>
    </w:p>
    <w:p>
      <w:pPr>
        <w:pStyle w:val="ListBullet"/>
        <w:spacing w:after="60"/>
      </w:pPr>
      <w:r>
        <w:rPr>
          <w:sz w:val="22"/>
        </w:rPr>
        <w:t>Вплив на розрахунок AQI по Наказу №590</w:t>
      </w:r>
    </w:p>
    <w:p>
      <w:pPr>
        <w:pStyle w:val="ListBullet"/>
        <w:spacing w:after="60"/>
      </w:pPr>
      <w:r>
        <w:rPr>
          <w:sz w:val="22"/>
        </w:rPr>
        <w:t>Відповідність цілям якості КМУ №827 після корекції</w:t>
      </w:r>
    </w:p>
    <w:p/>
    <w:p>
      <w:pPr>
        <w:spacing w:before="120" w:after="60"/>
      </w:pPr>
      <w:r>
        <w:rPr>
          <w:b/>
          <w:color w:val="404040"/>
          <w:sz w:val="22"/>
        </w:rPr>
        <w:t>Блок 8.2 — Вплив Моделі 2 на охоплення мережі:</w:t>
      </w:r>
    </w:p>
    <w:p>
      <w:pPr>
        <w:pStyle w:val="ListBullet"/>
        <w:spacing w:after="60"/>
      </w:pPr>
      <w:r>
        <w:rPr>
          <w:sz w:val="22"/>
        </w:rPr>
        <w:t>Скільки міст України (~120 постів Гідромету) отримують можливість розраховувати PM₁₀</w:t>
      </w:r>
    </w:p>
    <w:p>
      <w:pPr>
        <w:pStyle w:val="ListBullet"/>
        <w:spacing w:after="60"/>
      </w:pPr>
      <w:r>
        <w:rPr>
          <w:sz w:val="22"/>
        </w:rPr>
        <w:t>Розширення бази для визначення режиму оцінювання по КМУ №827</w:t>
      </w:r>
    </w:p>
    <w:p>
      <w:pPr>
        <w:pStyle w:val="ListBullet"/>
        <w:spacing w:after="60"/>
      </w:pPr>
      <w:r>
        <w:rPr>
          <w:sz w:val="22"/>
        </w:rPr>
        <w:t>Можливість ретроспективного аналізу якості повітря через наявну базу TSP</w:t>
      </w:r>
    </w:p>
    <w:p/>
    <w:p>
      <w:pPr>
        <w:spacing w:before="120" w:after="60"/>
      </w:pPr>
      <w:r>
        <w:rPr>
          <w:b/>
          <w:color w:val="404040"/>
          <w:sz w:val="22"/>
        </w:rPr>
        <w:t>Блок 8.3 — Практичні рекомендації:</w:t>
      </w:r>
    </w:p>
    <w:p>
      <w:pPr>
        <w:pStyle w:val="ListBullet"/>
        <w:spacing w:after="60"/>
      </w:pPr>
      <w:r>
        <w:rPr>
          <w:sz w:val="22"/>
        </w:rPr>
        <w:t>Мінімальна конфігурація мережі для впровадження методу</w:t>
      </w:r>
    </w:p>
    <w:p>
      <w:pPr>
        <w:pStyle w:val="ListBullet"/>
        <w:spacing w:after="60"/>
      </w:pPr>
      <w:r>
        <w:rPr>
          <w:sz w:val="22"/>
        </w:rPr>
        <w:t>Вимоги до колокаційного поста і тривалості навчального періоду</w:t>
      </w:r>
    </w:p>
    <w:p>
      <w:pPr>
        <w:pStyle w:val="ListBullet"/>
        <w:spacing w:after="60"/>
      </w:pPr>
      <w:r>
        <w:rPr>
          <w:sz w:val="22"/>
        </w:rPr>
        <w:t>Алгоритм діагностики однорідності та прийняття рішення про кількість зон</w:t>
      </w:r>
    </w:p>
    <w:p>
      <w:pPr>
        <w:pStyle w:val="ListBullet"/>
        <w:spacing w:after="60"/>
      </w:pPr>
      <w:r>
        <w:rPr>
          <w:sz w:val="22"/>
        </w:rPr>
        <w:t>Відповідність вимогам Директиви (ЄС) 2024/2881 — євроінтеграційний аспект</w:t>
      </w:r>
    </w:p>
    <w:p>
      <w:pPr>
        <w:spacing w:after="4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F497D"/>
          <w:sz w:val="28"/>
        </w:rPr>
        <w:t>5. ВСТУП — ТОЧКОВІ ПРАВКИ</w:t>
      </w:r>
    </w:p>
    <w:p>
      <w:pPr>
        <w:pStyle w:val="ListBullet"/>
        <w:spacing w:after="60"/>
      </w:pPr>
      <w:r>
        <w:rPr>
          <w:sz w:val="22"/>
        </w:rPr>
        <w:t>Назва дослідження — замінити на нову (16 слів)</w:t>
      </w:r>
    </w:p>
    <w:p>
      <w:pPr>
        <w:pStyle w:val="ListBullet"/>
        <w:spacing w:after="60"/>
      </w:pPr>
      <w:r>
        <w:rPr>
          <w:sz w:val="22"/>
        </w:rPr>
        <w:t>Мета дослідження — уточнити: двоступеневий підхід (Модель 1 корекція + Модель 2 розрахунок коефіцієнта)</w:t>
      </w:r>
    </w:p>
    <w:p>
      <w:pPr>
        <w:pStyle w:val="ListBullet"/>
        <w:spacing w:after="60"/>
      </w:pPr>
      <w:r>
        <w:rPr>
          <w:sz w:val="22"/>
        </w:rPr>
        <w:t>Наукова новизна — додати: вперше розроблено методологію діагностики однорідності аерозольного середовища міста як умову масштабування методу</w:t>
      </w:r>
    </w:p>
    <w:p>
      <w:pPr>
        <w:pStyle w:val="ListBullet"/>
        <w:spacing w:after="60"/>
      </w:pPr>
      <w:r>
        <w:rPr>
          <w:sz w:val="22"/>
        </w:rPr>
        <w:t>Наукова новизна — додати: метод самостійно визначає кількість колокаційних точок необхідних для міста залежно від його аерозольної зональності</w:t>
      </w:r>
    </w:p>
    <w:p>
      <w:pPr>
        <w:pStyle w:val="ListBullet"/>
        <w:spacing w:after="60"/>
      </w:pPr>
      <w:r>
        <w:rPr>
          <w:sz w:val="22"/>
        </w:rPr>
        <w:t>Практичне значення — розширити: метод дозволяє розраховувати PM₁₀ з TSP даних ~120 постів Гідромету по всій Україні</w:t>
      </w:r>
    </w:p>
    <w:p>
      <w:pPr>
        <w:pStyle w:val="ListBullet"/>
        <w:spacing w:after="60"/>
      </w:pPr>
      <w:r>
        <w:rPr>
          <w:sz w:val="22"/>
        </w:rPr>
        <w:t>Прибрати посилання на "важкі метали" та "оптичний аналіз дрібнодисперсних частинок" як самоціль</w:t>
      </w:r>
    </w:p>
    <w:p>
      <w:pPr>
        <w:spacing w:after="40"/>
        <w:pBdr>
          <w:bottom w:val="single" w:sz="4" w:space="1" w:color="CCCCCC"/>
        </w:pBdr>
      </w:pPr>
    </w:p>
    <w:p>
      <w:pPr>
        <w:spacing w:before="240" w:after="120"/>
      </w:pPr>
      <w:r>
        <w:rPr>
          <w:b/>
          <w:color w:val="1F497D"/>
          <w:sz w:val="28"/>
        </w:rPr>
        <w:t>6. ОНОВЛЕНА СТРУКТУРА ДИСЕРТАЦІЇ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685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Розділ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Дії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1. Теоретичні основи та нормативно-правова база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НАПИСАНО ✅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Без змін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2. Аналіз співвідношення PM₁₀/TSP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НАПИСАНО ✅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Без змін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3. Обґрунтування об'єкта та схеми дослідження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НАПИСАНО ⚠️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Доповнити 3.2 та 3.3: роль зональності та умова однорідності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4. Формування та валідація даних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НАПИСАНО ✅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Без змін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5. Валідація індикативних вимірювань PM₁₀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НАПИСАНО ⚠️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Переписати висновки: 3 чіткі висновки про однорідність, зони, масштабованість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6. Дослідження коефіцієнта PM₁₀/TSP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 НАПИСАНО 🔴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Два блоки: валідація TSP Гідромету + розрахунок K по зонах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7. Програмно-алгоритмічний метод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 НАПИСАНО 🔴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Три блоки: Модель 1 + Модель 2 + масштабування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8. Оцінка підвищення екологічної безпеки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 НАПИСАНО 🔴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Три блоки: вплив М1 + вплив М2 + рекомендації</w:t>
            </w:r>
          </w:p>
        </w:tc>
      </w:tr>
    </w:tbl>
    <w:p/>
    <w:p>
      <w:pPr>
        <w:spacing w:after="40"/>
        <w:pBdr>
          <w:bottom w:val="single" w:sz="4" w:space="1" w:color="CCCCCC"/>
        </w:pBdr>
      </w:pPr>
    </w:p>
    <w:p>
      <w:pPr>
        <w:jc w:val="center"/>
      </w:pPr>
      <w:r>
        <w:rPr>
          <w:i/>
          <w:color w:val="808080"/>
          <w:sz w:val="18"/>
        </w:rPr>
        <w:t>Документ підготовлено на основі аналізу матеріалів E:\TEMA. Версія 2.0. Червень 2026.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