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2"/>
        </w:rPr>
        <w:t>ПОВНА СТРУКТУРА ДИСЕРТАЦІЇ</w:t>
      </w:r>
    </w:p>
    <w:p>
      <w:pPr>
        <w:spacing w:after="240"/>
        <w:jc w:val="center"/>
      </w:pPr>
      <w:r>
        <w:rPr>
          <w:i/>
          <w:color w:val="007000"/>
          <w:sz w:val="22"/>
        </w:rPr>
        <w:t>"Підвищення екологічної безпеки моніторингу атмосферного повітря шляхом програмно-алгоритмічної корекції індикативних вимірювань PM₁₀ за синхронізованими даними TSP"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007000"/>
                <w:sz w:val="20"/>
              </w:rPr>
              <w:t>■  Написано — без змін</w:t>
            </w:r>
          </w:p>
        </w:tc>
        <w:tc>
          <w:tcPr>
            <w:tcW w:type="dxa" w:w="3118"/>
            <w:shd w:val="clear" w:color="auto" w:fill="FFF2CC"/>
          </w:tcPr>
          <w:p>
            <w:pPr>
              <w:jc w:val="center"/>
            </w:pPr>
            <w:r>
              <w:rPr>
                <w:b/>
                <w:color w:val="C06000"/>
                <w:sz w:val="20"/>
              </w:rPr>
              <w:t>■  Написано — потрібні правки</w:t>
            </w:r>
          </w:p>
        </w:tc>
        <w:tc>
          <w:tcPr>
            <w:tcW w:type="dxa" w:w="3118"/>
            <w:shd w:val="clear" w:color="auto" w:fill="DDEEFF"/>
          </w:tcPr>
          <w:p>
            <w:pPr>
              <w:jc w:val="center"/>
            </w:pPr>
            <w:r>
              <w:rPr>
                <w:b/>
                <w:color w:val="185FA5"/>
                <w:sz w:val="20"/>
              </w:rPr>
              <w:t>■  Новий розділ — створити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Розділ / підрозділ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Статус / примітка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b/>
                <w:color w:val="C06000"/>
                <w:sz w:val="22"/>
              </w:rPr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2"/>
              </w:rPr>
              <w:t>ВСТУП</w:t>
            </w:r>
          </w:p>
        </w:tc>
        <w:tc>
          <w:tcPr>
            <w:tcW w:type="dxa" w:w="1701"/>
            <w:shd w:val="clear" w:color="auto" w:fill="FFF2CC"/>
          </w:tcPr>
          <w:p>
            <w:pPr>
              <w:jc w:val="center"/>
            </w:pPr>
            <w:r>
              <w:rPr>
                <w:b/>
                <w:color w:val="C06000"/>
                <w:sz w:val="18"/>
              </w:rPr>
              <w:t>правки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Назва — замінити на нову (16 слів)</w:t>
            </w:r>
          </w:p>
        </w:tc>
        <w:tc>
          <w:tcPr>
            <w:tcW w:type="dxa" w:w="1701"/>
            <w:shd w:val="clear" w:color="auto" w:fill="FFF2CC"/>
          </w:tcPr>
          <w:p>
            <w:r>
              <w:rPr>
                <w:i/>
                <w:color w:val="808080"/>
                <w:sz w:val="18"/>
              </w:rPr>
              <w:t>нова назва затверджена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Мета — уточнити: RF_M1 + RF_M2</w:t>
            </w:r>
          </w:p>
        </w:tc>
        <w:tc>
          <w:tcPr>
            <w:tcW w:type="dxa" w:w="1701"/>
            <w:shd w:val="clear" w:color="auto" w:fill="FFF2CC"/>
          </w:tcPr>
          <w:p/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Наукова новизна — додати діагностику зональності + програмний комплекс</w:t>
            </w:r>
          </w:p>
        </w:tc>
        <w:tc>
          <w:tcPr>
            <w:tcW w:type="dxa" w:w="1701"/>
            <w:shd w:val="clear" w:color="auto" w:fill="FFF2CC"/>
          </w:tcPr>
          <w:p/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Практичне значення — ~120 постів Гідромету по Україні</w:t>
            </w:r>
          </w:p>
        </w:tc>
        <w:tc>
          <w:tcPr>
            <w:tcW w:type="dxa" w:w="1701"/>
            <w:shd w:val="clear" w:color="auto" w:fill="FFF2CC"/>
          </w:tcPr>
          <w:p/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Прибрати посилання на важкі метали</w:t>
            </w:r>
          </w:p>
        </w:tc>
        <w:tc>
          <w:tcPr>
            <w:tcW w:type="dxa" w:w="1701"/>
            <w:shd w:val="clear" w:color="auto" w:fill="FFF2CC"/>
          </w:tcPr>
          <w:p/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b/>
                <w:color w:val="007000"/>
                <w:sz w:val="22"/>
              </w:rPr>
              <w:t>Р 1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  <w:color w:val="007000"/>
                <w:sz w:val="22"/>
              </w:rPr>
              <w:t>Теоретичні основи та нормативно-правова база</w:t>
            </w:r>
          </w:p>
        </w:tc>
        <w:tc>
          <w:tcPr>
            <w:tcW w:type="dxa" w:w="1701"/>
            <w:shd w:val="clear" w:color="auto" w:fill="E2EFDA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без змін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1.1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Екологічна безпека у сфері атмосферного повітря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1.2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Нормативно-правове забезпечення (КМУ №827, Директива 2008/50/EC, №513/2024, №590)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1.3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Референтні методи вимірювання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1.4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Індикативні методи вимірювання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1.5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Проблеми існуючої системи моніторингу атмосферного повітря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b/>
                <w:color w:val="007000"/>
                <w:sz w:val="22"/>
              </w:rPr>
              <w:t>Р 2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  <w:color w:val="007000"/>
                <w:sz w:val="22"/>
              </w:rPr>
              <w:t>Аналіз співвідношення PM₁₀/TSP</w:t>
            </w:r>
          </w:p>
        </w:tc>
        <w:tc>
          <w:tcPr>
            <w:tcW w:type="dxa" w:w="1701"/>
            <w:shd w:val="clear" w:color="auto" w:fill="E2EFDA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без змін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2.1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Міжнародні дослідження PM₁₀/TSP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2.2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Вітчизняні дослідження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2.3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Фактори впливу на співвідношення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2.4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Обґрунтування необхідності локальних досліджень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2.5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Вплив точності визначення PM₁₀ на оцінку екологічної безпеки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b/>
                <w:color w:val="C06000"/>
                <w:sz w:val="22"/>
              </w:rPr>
              <w:t>Р 3</w:t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2"/>
              </w:rPr>
              <w:t>Обґрунтування об'єкта та схеми дослідження</w:t>
            </w:r>
          </w:p>
        </w:tc>
        <w:tc>
          <w:tcPr>
            <w:tcW w:type="dxa" w:w="1701"/>
            <w:shd w:val="clear" w:color="auto" w:fill="FFF2CC"/>
          </w:tcPr>
          <w:p>
            <w:pPr>
              <w:jc w:val="center"/>
            </w:pPr>
            <w:r>
              <w:rPr>
                <w:b/>
                <w:color w:val="C06000"/>
                <w:sz w:val="18"/>
              </w:rPr>
              <w:t>2 доповнення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3.1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Вибір міста Кривий Ріг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  <w:t>3.2</w:t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Аналіз мережі постів</w:t>
            </w:r>
          </w:p>
        </w:tc>
        <w:tc>
          <w:tcPr>
            <w:tcW w:type="dxa" w:w="1701"/>
            <w:shd w:val="clear" w:color="auto" w:fill="FFF2CC"/>
          </w:tcPr>
          <w:p>
            <w:r>
              <w:rPr>
                <w:i/>
                <w:color w:val="808080"/>
                <w:sz w:val="18"/>
              </w:rPr>
              <w:t>+ три пости розміщені навмисно для діагностики зональності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  <w:t>3.3</w:t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Обґрунтування паралельних вимірювань</w:t>
            </w:r>
          </w:p>
        </w:tc>
        <w:tc>
          <w:tcPr>
            <w:tcW w:type="dxa" w:w="1701"/>
            <w:shd w:val="clear" w:color="auto" w:fill="FFF2CC"/>
          </w:tcPr>
          <w:p>
            <w:r>
              <w:rPr>
                <w:i/>
                <w:color w:val="808080"/>
                <w:sz w:val="18"/>
              </w:rPr>
              <w:t>+ колокаційний пост — умова однорідності середовища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3.4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Вибір поста №3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b/>
                <w:color w:val="007000"/>
                <w:sz w:val="22"/>
              </w:rPr>
              <w:t>Р 4</w:t>
            </w:r>
          </w:p>
        </w:tc>
        <w:tc>
          <w:tcPr>
            <w:tcW w:type="dxa" w:w="6803"/>
            <w:shd w:val="clear" w:color="auto" w:fill="E2EFDA"/>
          </w:tcPr>
          <w:p>
            <w:r>
              <w:rPr>
                <w:b/>
                <w:color w:val="007000"/>
                <w:sz w:val="22"/>
              </w:rPr>
              <w:t>Формування та валідація даних</w:t>
            </w:r>
          </w:p>
        </w:tc>
        <w:tc>
          <w:tcPr>
            <w:tcW w:type="dxa" w:w="1701"/>
            <w:shd w:val="clear" w:color="auto" w:fill="E2EFDA"/>
          </w:tcPr>
          <w:p>
            <w:pPr>
              <w:jc w:val="center"/>
            </w:pPr>
            <w:r>
              <w:rPr>
                <w:b/>
                <w:color w:val="007000"/>
                <w:sz w:val="18"/>
              </w:rPr>
              <w:t>без змін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4.1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Джерела даних (TSP, PM₁₀)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4.2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Цифровізація даних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4.3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Синхронізація даних (алгоритм ±30 хв)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4.4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Контроль якості (QC)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4.5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Формування вибірки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4.6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Роль якості даних у забезпеченні екологічної безпеки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b/>
                <w:color w:val="C06000"/>
                <w:sz w:val="22"/>
              </w:rPr>
              <w:t>Р 5</w:t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2"/>
              </w:rPr>
              <w:t>Валідація індикативних вимірювань PM₁₀</w:t>
            </w:r>
          </w:p>
        </w:tc>
        <w:tc>
          <w:tcPr>
            <w:tcW w:type="dxa" w:w="1701"/>
            <w:shd w:val="clear" w:color="auto" w:fill="FFF2CC"/>
          </w:tcPr>
          <w:p>
            <w:pPr>
              <w:jc w:val="center"/>
            </w:pPr>
            <w:r>
              <w:rPr>
                <w:b/>
                <w:color w:val="C06000"/>
                <w:sz w:val="18"/>
              </w:rPr>
              <w:t>переписати 5.3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5.1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Обґрунтування необхідності валідації індикативних вимірювань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5.2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Комплексна валідація — трипостова (pan2, pan5, pan6)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5.2.1–5.2.8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Детальний аналіз по місяцях, метео, межі застосування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FFF2CC"/>
          </w:tcPr>
          <w:p>
            <w:pPr>
              <w:ind w:left="170"/>
            </w:pPr>
            <w:r>
              <w:rPr>
                <w:color w:val="505050"/>
                <w:sz w:val="20"/>
              </w:rPr>
              <w:t>5.3</w:t>
            </w:r>
          </w:p>
        </w:tc>
        <w:tc>
          <w:tcPr>
            <w:tcW w:type="dxa" w:w="6803"/>
            <w:shd w:val="clear" w:color="auto" w:fill="FFF2CC"/>
          </w:tcPr>
          <w:p>
            <w:r>
              <w:rPr>
                <w:b/>
                <w:color w:val="C06000"/>
                <w:sz w:val="20"/>
              </w:rPr>
              <w:t>Узагальнення результатів валідації</w:t>
            </w:r>
          </w:p>
        </w:tc>
        <w:tc>
          <w:tcPr>
            <w:tcW w:type="dxa" w:w="1701"/>
            <w:shd w:val="clear" w:color="auto" w:fill="FFF2CC"/>
          </w:tcPr>
          <w:p>
            <w:r>
              <w:rPr>
                <w:i/>
                <w:color w:val="808080"/>
                <w:sz w:val="18"/>
              </w:rPr>
              <w:t>переписати: прилади коректні / pan5 нижчий / метод масштабується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170"/>
            </w:pPr>
            <w:r>
              <w:rPr>
                <w:color w:val="505050"/>
                <w:sz w:val="20"/>
              </w:rPr>
              <w:t>5.4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color w:val="505050"/>
                <w:sz w:val="20"/>
              </w:rPr>
              <w:t>Вплив достовірності вимірювань на екологічну безпеку</w:t>
            </w:r>
          </w:p>
        </w:tc>
        <w:tc>
          <w:tcPr>
            <w:tcW w:type="dxa" w:w="1701"/>
            <w:shd w:val="clear" w:color="auto" w:fill="FFFF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Р 6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Валідація референтних вимірювань TSP та виявлення зон міста</w:t>
            </w:r>
          </w:p>
        </w:tc>
        <w:tc>
          <w:tcPr>
            <w:tcW w:type="dxa" w:w="1701"/>
            <w:shd w:val="clear" w:color="auto" w:fill="DDEEFF"/>
          </w:tcPr>
          <w:p>
            <w:pPr>
              <w:jc w:val="center"/>
            </w:pPr>
            <w:r>
              <w:rPr>
                <w:b/>
                <w:color w:val="185FA5"/>
                <w:sz w:val="18"/>
              </w:rPr>
              <w:t>НОВИЙ</w:t>
            </w:r>
          </w:p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6.1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Мережа референтних постів Гідромету Кривого Рогу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6.2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Методика порівняльного аналізу TSP між постами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6.3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Просторовий аналіз TSP — виявлення однорідності/неоднорідності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6.4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Виявлення аерозольних зон міста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6.5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Висновок: кількість зон і необхідних колокаційних точок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Р 7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Аналіз коефіцієнта PM₁₀/TSP по зонах</w:t>
            </w:r>
          </w:p>
        </w:tc>
        <w:tc>
          <w:tcPr>
            <w:tcW w:type="dxa" w:w="1701"/>
            <w:shd w:val="clear" w:color="auto" w:fill="DDEEFF"/>
          </w:tcPr>
          <w:p>
            <w:pPr>
              <w:jc w:val="center"/>
            </w:pPr>
            <w:r>
              <w:rPr>
                <w:b/>
                <w:color w:val="185FA5"/>
                <w:sz w:val="18"/>
              </w:rPr>
              <w:t>НОВИЙ</w:t>
            </w:r>
          </w:p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7.1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Методика розрахунку K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7.2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Статистичний аналіз K (медіана, σ, довірчі інтервали)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7.3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Сезонна залежність K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7.4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Метеорологічна залежність K (RH, T, вітер)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7.5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K окремо для кожної виявленої зони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7.6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Порівняння з міжнародними даними (діапазон 0.32–0.91)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Р 8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Розроблення RF моделей корекції та розрахунку</w:t>
            </w:r>
          </w:p>
        </w:tc>
        <w:tc>
          <w:tcPr>
            <w:tcW w:type="dxa" w:w="1701"/>
            <w:shd w:val="clear" w:color="auto" w:fill="DDEEFF"/>
          </w:tcPr>
          <w:p>
            <w:pPr>
              <w:jc w:val="center"/>
            </w:pPr>
            <w:r>
              <w:rPr>
                <w:b/>
                <w:color w:val="185FA5"/>
                <w:sz w:val="18"/>
              </w:rPr>
              <w:t>НОВИЙ</w:t>
            </w:r>
          </w:p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RF_M1 — модель корекції індикативних вимірювань PM₁₀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8.1.1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Архітектура: features (PM₁₀ опт + метео), target (PM₁₀ еталон з TSP)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8.1.2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Навчання на синхронізованому масиві Кривого Рогу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8.1.3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Валідація RF_M1 — невизначеність ≤ 25–30%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8.1.4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Межі застосування моделі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RF_M2 — модель локального коефіцієнта PM₁₀/TSP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8.2.1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Архітектура: features (місяць + метео + зона), target (K)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8.2.2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Навчання після RF_M1 (PM₁₀ скоригований як основа K)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8.2.3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Валідація RF_M2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8.2.4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Реалізація по зонах міста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Р 9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Програмний комплекс</w:t>
            </w:r>
          </w:p>
        </w:tc>
        <w:tc>
          <w:tcPr>
            <w:tcW w:type="dxa" w:w="1701"/>
            <w:shd w:val="clear" w:color="auto" w:fill="DDEEFF"/>
          </w:tcPr>
          <w:p>
            <w:pPr>
              <w:jc w:val="center"/>
            </w:pPr>
            <w:r>
              <w:rPr>
                <w:b/>
                <w:color w:val="185FA5"/>
                <w:sz w:val="18"/>
              </w:rPr>
              <w:t>НОВИЙ</w:t>
            </w:r>
          </w:p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Архітектура програмного комплексу (6 модулів)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Модуль 1: валідація індикативної мережі (CairCloud API)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9.3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Модуль 2: Excel форма для даних Гідромету + QC при введенні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9.4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Модуль 3: валідація TSP Гідромету + карта зон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9.5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Модуль 4: RF_M1 в роботі — автоматична корекція PM₁₀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9.6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Модуль 5: RF_M2 в роботі — PM₁₀ по мережі Гідромету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9.7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Модуль 6: AQI + перевищення + карти + звіти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9.8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Методологія масштабування на інші міста України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Р 10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2"/>
              </w:rPr>
              <w:t>Оцінка підвищення екологічної безпеки</w:t>
            </w:r>
          </w:p>
        </w:tc>
        <w:tc>
          <w:tcPr>
            <w:tcW w:type="dxa" w:w="1701"/>
            <w:shd w:val="clear" w:color="auto" w:fill="DDEEFF"/>
          </w:tcPr>
          <w:p>
            <w:pPr>
              <w:jc w:val="center"/>
            </w:pPr>
            <w:r>
              <w:rPr>
                <w:b/>
                <w:color w:val="185FA5"/>
                <w:sz w:val="18"/>
              </w:rPr>
              <w:t>НОВИЙ</w:t>
            </w:r>
          </w:p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10.1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Вплив RF_M1 на якість моніторингу (до/після корекції)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10.2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Вплив RF_M2 на охоплення мережі Гідромету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10.3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Практичні рекомендації для органів моніторингу</w:t>
            </w:r>
          </w:p>
        </w:tc>
        <w:tc>
          <w:tcPr>
            <w:tcW w:type="dxa" w:w="1701"/>
            <w:shd w:val="clear" w:color="auto" w:fill="DDEEFF"/>
          </w:tcPr>
          <w:p/>
        </w:tc>
      </w:tr>
      <w:tr>
        <w:tc>
          <w:tcPr>
            <w:tcW w:type="dxa" w:w="850"/>
            <w:shd w:val="clear" w:color="auto" w:fill="DDEEFF"/>
          </w:tcPr>
          <w:p>
            <w:pPr>
              <w:ind w:left="170"/>
            </w:pPr>
            <w:r>
              <w:rPr>
                <w:color w:val="505050"/>
                <w:sz w:val="20"/>
              </w:rPr>
              <w:t>10.4</w:t>
            </w:r>
          </w:p>
        </w:tc>
        <w:tc>
          <w:tcPr>
            <w:tcW w:type="dxa" w:w="6803"/>
            <w:shd w:val="clear" w:color="auto" w:fill="DDEEFF"/>
          </w:tcPr>
          <w:p>
            <w:r>
              <w:rPr>
                <w:b/>
                <w:color w:val="185FA5"/>
                <w:sz w:val="20"/>
              </w:rPr>
              <w:t>Відповідність Директиві (ЄС) 2024/2881</w:t>
            </w:r>
          </w:p>
        </w:tc>
        <w:tc>
          <w:tcPr>
            <w:tcW w:type="dxa" w:w="1701"/>
            <w:shd w:val="clear" w:color="auto" w:fill="DDEEFF"/>
          </w:tcPr>
          <w:p/>
        </w:tc>
      </w:tr>
    </w:tbl>
    <w:p/>
    <w:p>
      <w:pPr>
        <w:spacing w:before="120"/>
        <w:jc w:val="center"/>
      </w:pPr>
      <w:r>
        <w:rPr>
          <w:b/>
          <w:color w:val="1F497D"/>
          <w:sz w:val="20"/>
        </w:rPr>
        <w:t>Загальні висновки   |   Список джерел   |   Додатки</w:t>
      </w:r>
    </w:p>
    <w:p>
      <w:pPr>
        <w:spacing w:before="40" w:after="40"/>
        <w:pBdr>
          <w:bottom w:val="single" w:sz="4" w:space="1" w:color="CCCCCC"/>
        </w:pBdr>
      </w:pPr>
    </w:p>
    <w:p>
      <w:pPr>
        <w:jc w:val="center"/>
      </w:pPr>
      <w:r>
        <w:rPr>
          <w:i/>
          <w:color w:val="808080"/>
          <w:sz w:val="18"/>
        </w:rPr>
        <w:t>E:\TEMA — Червень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