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ind w:firstLine="0"/>
        <w:jc w:val="center"/>
      </w:pPr>
      <w:r>
        <w:rPr>
          <w:rFonts w:ascii="Times New Roman" w:hAnsi="Times New Roman"/>
          <w:b/>
          <w:sz w:val="28"/>
        </w:rPr>
        <w:t>РОЗДІЛ 3</w:t>
      </w:r>
    </w:p>
    <w:p>
      <w:pPr>
        <w:spacing w:before="240" w:after="120"/>
        <w:ind w:firstLine="0"/>
        <w:jc w:val="center"/>
      </w:pPr>
      <w:r>
        <w:rPr>
          <w:rFonts w:ascii="Times New Roman" w:hAnsi="Times New Roman"/>
          <w:b/>
          <w:sz w:val="28"/>
        </w:rPr>
        <w:t>ОБҐРУНТУВАННЯ ОБ'ЄКТА ТА СХЕМИ ДОСЛІДЖЕННЯ</w:t>
      </w:r>
    </w:p>
    <w:p>
      <w:pPr>
        <w:spacing w:line="360" w:lineRule="auto"/>
        <w:ind w:firstLine="709"/>
        <w:jc w:val="both"/>
      </w:pPr>
      <w:r>
        <w:rPr>
          <w:rFonts w:ascii="Times New Roman" w:hAnsi="Times New Roman"/>
          <w:sz w:val="28"/>
        </w:rPr>
        <w:t>Дослідження сезонних і метеозалежних відхилень індикативних вимірювань PM₁₀ від референтних значень концентрації загального пилу TSP, поставлене у Розділах 1–2 як методичне ядро дисертаційної роботи, потребує реалізації у конкретних просторово-часових умовах. Вибір об'єкта дослідження визначає не лише обсяг і структуру отриманого масиву даних, а і коло чинників, які формують гранулометричний склад аерозолю, та межі застосовності розробленого алгоритму корекції. Натомість необґрунтований вибір місця і схеми спостережень може спотворити результат до такої міри, що жоден статистичний апарат не забезпечить його коректної інтерпретації. Саме тому окремий розділ присвячено послідовному обґрунтуванню вибору міста, аналізу фактичної мережі постів спостережень, обґрунтуванню принципу колокованих вимірювань і вибору конкретного пункту, на якому проводилися паралельні спостереження.</w:t>
      </w:r>
    </w:p>
    <w:p>
      <w:pPr>
        <w:spacing w:line="360" w:lineRule="auto"/>
        <w:ind w:firstLine="709"/>
        <w:jc w:val="both"/>
      </w:pPr>
      <w:r>
        <w:rPr>
          <w:rFonts w:ascii="Times New Roman" w:hAnsi="Times New Roman"/>
          <w:sz w:val="28"/>
        </w:rPr>
        <w:t>Послідовність викладу матеріалу у цьому розділі побудовано від загального до конкретного. У підрозділі 3.1 розглянуто природно-кліматичні, промислові та регуляторні чинники, що визначають придатність міста Кривий Ріг для розв'язання поставленої задачі. У підрозділі 3.2 проаналізовано наявну мережу референтних гідрометеорологічних постів і мережу індикативних автоматичних станцій типу ENVEA Cairnet з оцінкою їх просторового розподілу та функціональних характеристик. Підрозділ 3.3 присвячено методичним засадам колокованих вимірювань: визначенню поняття, формальним критеріям колокації за нормативними документами Європейського комітету зі стандартизації та Агентства з охорони довкілля США, розгляду практики застосування цього підходу для пар TSP/PM₁₀ та індикативний/референтний у міжнародних дослідженнях. У підрозділі 3.4 наведено результати порівняння взаємних відстаней між референтними і індикативними постами в межах Криворізької агломерації, обґрунтування вибору поста № 3 (площа Визволення) як ведучого пункту колокації разом з індикативною станцією pan2 (post893), охарактеризовано розклад вимірювань і набір супутніх метеорологічних параметрів.</w:t>
      </w:r>
    </w:p>
    <w:p>
      <w:pPr>
        <w:spacing w:before="240" w:after="120"/>
        <w:ind w:firstLine="0"/>
        <w:jc w:val="center"/>
      </w:pPr>
      <w:r>
        <w:rPr>
          <w:rFonts w:ascii="Times New Roman" w:hAnsi="Times New Roman"/>
          <w:b/>
          <w:sz w:val="28"/>
        </w:rPr>
        <w:t>3.1 Вибір міста Кривий Ріг для проведення дослідження</w:t>
      </w:r>
    </w:p>
    <w:p>
      <w:pPr>
        <w:spacing w:line="360" w:lineRule="auto"/>
        <w:ind w:firstLine="709"/>
        <w:jc w:val="both"/>
      </w:pPr>
      <w:r>
        <w:rPr>
          <w:rFonts w:ascii="Times New Roman" w:hAnsi="Times New Roman"/>
          <w:sz w:val="28"/>
        </w:rPr>
        <w:t>Місто Кривий Ріг в умовах України являє собою унікальний природно-техногенний комплекс, у якому одночасно поєднуються характеристики крупного гірничодобувного центру, повноциклового металургійного виробництва, агломераційного транспортного вузла та великого житлового масиву. Унікальна довжина міста — приблизно 126 км уздовж меридіанальної осі при ширині не більше 20 км — робить Кривий Ріг найдовшим містом Європи [10]. У поєднанні з розташуванням у центрі Криворізького залізорудного басейну, що є одним із найбільших у світі за обсягами розвіданих запасів залізистих кварцитів, така просторова конфігурація створює аерозольне середовище, принципово відмінне від типового міського як за хімічним складом, так і за гранулометричною структурою [46]. Саме ця особливість визначила вибір Кривого Рогу як основного об'єкта експериментальної частини дисертаційної роботи.</w:t>
      </w:r>
    </w:p>
    <w:p>
      <w:pPr>
        <w:spacing w:before="120" w:after="60"/>
        <w:ind w:firstLine="709"/>
        <w:jc w:val="left"/>
      </w:pPr>
      <w:r>
        <w:rPr>
          <w:rFonts w:ascii="Times New Roman" w:hAnsi="Times New Roman"/>
          <w:b/>
          <w:i/>
          <w:sz w:val="28"/>
        </w:rPr>
        <w:t>3.1.1 Природно-географічна та промислова характеристика</w:t>
      </w:r>
    </w:p>
    <w:p>
      <w:pPr>
        <w:spacing w:line="360" w:lineRule="auto"/>
        <w:ind w:firstLine="709"/>
        <w:jc w:val="both"/>
      </w:pPr>
      <w:r>
        <w:rPr>
          <w:rFonts w:ascii="Times New Roman" w:hAnsi="Times New Roman"/>
          <w:sz w:val="28"/>
        </w:rPr>
        <w:t>Кривий Ріг розташований у південно-східній частині України, у Дніпропетровській області, на межі двох ландшафтних зон — степу та лісостепу. Місто простягається уздовж річок Інгулець і Саксагань, що формують його витягнуту з півночі на південь конфігурацію. Площа міста перевищує 430 км², що ставить його на друге місце в Україні після Києва, хоча чисельність населення за довоєнними оцінками становила близько 620 тис. осіб. Така диспропорція між площею і населенням пояснюється тим, що значну частину території займають промислові майданчики, кар'єри, шламосховища, відвали розкривних порід, а також транспортні коридори, які забезпечують перевезення видобутої руди до металургійних агрегатів.</w:t>
      </w:r>
    </w:p>
    <w:p>
      <w:pPr>
        <w:spacing w:line="360" w:lineRule="auto"/>
        <w:ind w:firstLine="709"/>
        <w:jc w:val="both"/>
      </w:pPr>
      <w:r>
        <w:rPr>
          <w:rFonts w:ascii="Times New Roman" w:hAnsi="Times New Roman"/>
          <w:sz w:val="28"/>
        </w:rPr>
        <w:t>Кліматичні умови території характеризуються як помірно континентальні з середньорічною температурою близько +9,5 °C, середньорічною кількістю опадів 430–470 мм та переважанням вітрів східних і північно-східних румбів узимку та західних румбів улітку. Середня тривалість сонячного сяйва становить близько 2 100 годин на рік. Поєднання посушливого клімату, відсутності щільних лісових масивів у межах міста та наявності великих площ оголеного мінерального матеріалу створює природні передумови для значного вторинного пиління, яке часом перевищує первинні викиди від стаціонарних джерел. Цей фактор має принципове значення для оцінки співвідношення PM₁₀/TSP, оскільки вторинно піднятий грубий пил практично повністю формує фракції, що виходять за межі PM₁₀, але повністю враховуються при гравіметричному визначенні TSP.</w:t>
      </w:r>
    </w:p>
    <w:p>
      <w:pPr>
        <w:spacing w:line="360" w:lineRule="auto"/>
        <w:ind w:firstLine="709"/>
        <w:jc w:val="both"/>
      </w:pPr>
      <w:r>
        <w:rPr>
          <w:rFonts w:ascii="Times New Roman" w:hAnsi="Times New Roman"/>
          <w:sz w:val="28"/>
        </w:rPr>
        <w:t>Геологічна основа міста сформована докембрійськими залізистими кварцитами Криворізько-Кременчуцької залізорудної структури, що простягається уздовж осі Українського кристалічного щита. Поверхневі осадові породи представлені переважно неогеновими і четвертинними глинами, пісками і лесовидними суглинками. Така геологічна конфігурація має безпосереднє значення для оцінки пилоутворення: видобуток і збагачення залізистих кварцитів генерує характерний мінеральний пил з високим вмістом оксидів заліза, кремнезему та алюмосилікатних компонентів, тоді як ресуспензія з відкритих лесових поверхонь додає у приземний шар атмосфери дрібнодисперсну глинисту фракцію, схильну до тривалого зависання. Ця подвійна природа аерозолю створює складну для оптичних сенсорів картину, оскільки залізисті частинки мають значно вищий показник заломлення, ніж стандартний типовий міський аерозоль, для якого виконано заводське калібрування індикативних мінестанцій.</w:t>
      </w:r>
    </w:p>
    <w:p>
      <w:pPr>
        <w:spacing w:line="360" w:lineRule="auto"/>
        <w:ind w:firstLine="709"/>
        <w:jc w:val="both"/>
      </w:pPr>
      <w:r>
        <w:rPr>
          <w:rFonts w:ascii="Times New Roman" w:hAnsi="Times New Roman"/>
          <w:sz w:val="28"/>
        </w:rPr>
        <w:t>Гідрографічна мережа міста представлена двома взаємопов'язаними річковими системами — Інгулець і Саксагань. Річка Інгулець проходить через всю західну частину міста і формує природну межу між Металургійним та Інгулецьким районами. Річка Саксагань протікає через центральну і східну частини міста, поєднуючись з Інгульцем у нижній течії за межами міста. Прибережні смуги обох річок утворюють природні коридори зниженої шорсткості поверхні, які впливають на локальні поля швидкості вітру і характер вертикальних потоків у приземному шарі. У центральній частині міста, де розміщений обраний для колокації пост № 3 на площі Визволення, прибережна смуга Саксагані функціонує як вентиляційний коридор, що частково компенсує ефект щільної забудови.</w:t>
      </w:r>
    </w:p>
    <w:p>
      <w:pPr>
        <w:spacing w:line="360" w:lineRule="auto"/>
        <w:ind w:firstLine="709"/>
        <w:jc w:val="both"/>
      </w:pPr>
      <w:r>
        <w:rPr>
          <w:rFonts w:ascii="Times New Roman" w:hAnsi="Times New Roman"/>
          <w:sz w:val="28"/>
        </w:rPr>
        <w:t>Промисловий профіль Кривого Рогу історично сформований навколо розробки залізорудних родовищ Криворізького басейну. На території міста і прилеглої агломерації розташовано шість гірничозбагачувальних комбінатів — ПрАТ «Північний ГЗК», ПрАТ «Центральний ГЗК», ПрАТ «Південний ГЗК», ПрАТ «Інгулецький ГЗК», ПрАТ «Кривбасзалізрудком» та шахта «Суха Балка», а також металургійний комбінат повного циклу ПАТ «АрселорМіттал Кривий Ріг», який включає коксохімічне, аглодоменне та сталеплавильне виробництво. До цього переліку додаються виробництва будівельних матеріалів, зокрема ПрАТ «Кривий Ріг Цемент», теплоелектроцентралі і численні допоміжні підприємства. За даними екологічного моніторингу міської ради, основний внесок у викиди в атмосферне повітря вносить ПАТ «АрселорМіттал Кривий Ріг» — приблизно 87 % від загальних обсягів пилу та газоподібних речовин. Решта розподілена між ПрАТ «Північний ГЗК» (близько 3,4 %), ПрАТ «Кривий Ріг Цемент» (близько 3,4 %), ПрАТ «Центральний ГЗК» (близько 2,9 %) і сукупною групою менших джерел [46], [55].</w:t>
      </w:r>
    </w:p>
    <w:p>
      <w:pPr>
        <w:spacing w:line="360" w:lineRule="auto"/>
        <w:ind w:firstLine="709"/>
        <w:jc w:val="both"/>
      </w:pPr>
      <w:r>
        <w:rPr>
          <w:rFonts w:ascii="Times New Roman" w:hAnsi="Times New Roman"/>
          <w:sz w:val="28"/>
        </w:rPr>
        <w:t>Окремою особливістю Криворізького промислового вузла є практика проведення масових промислових вибухів у відкритих кар'єрах. У першому кварталі 2021 року шість провідних підприємств здійснили 46 таких вибухів із сумарним викидом близько 575 тонн пилу [10]. Кожен такий епізод створює короткочасний підйом TSP, значна частина якого складається з частинок діаметром понад 10 мкм, що формуються при подрібненні мінерального матеріалу. Для індикативних оптичних сенсорів такі епізоди є особливо складними з точки зору коректної фільтрації за фракцією, оскільки сам процес осаджування великих частинок змінює локальну густину аерозолю в околі вхідного патрубка.</w:t>
      </w:r>
    </w:p>
    <w:p>
      <w:pPr>
        <w:spacing w:line="360" w:lineRule="auto"/>
        <w:ind w:firstLine="709"/>
        <w:jc w:val="both"/>
      </w:pPr>
      <w:r>
        <w:rPr>
          <w:rFonts w:ascii="Times New Roman" w:hAnsi="Times New Roman"/>
          <w:sz w:val="28"/>
        </w:rPr>
        <w:t>У сукупності перелічені природно-кліматичні, ландшафтні і виробничі чинники роблять Кривий Ріг саме тим типом середовища, для якого стандартні літературні коефіцієнти перерахунку TSP у PM₁₀ (0,40–0,60), отримані для змішано міських або переважно транспортно-комунальних умов, є некоректними. Дані Маремухи Т. П. для зони впливу Трипільської ТЕС, у яких отримано коефіцієнти PM₁₀/TSP на рівні 0,035–0,049, також не можуть бути перенесені на Кривий Ріг через принципово іншу структуру викидів [31]. Ця обставина створює об'єктивну потребу у власних експериментальних даних, отриманих безпосередньо для умов міста.</w:t>
      </w:r>
    </w:p>
    <w:p>
      <w:pPr>
        <w:spacing w:line="360" w:lineRule="auto"/>
        <w:ind w:firstLine="709"/>
        <w:jc w:val="both"/>
      </w:pPr>
      <w:r>
        <w:rPr>
          <w:rFonts w:ascii="Times New Roman" w:hAnsi="Times New Roman"/>
          <w:sz w:val="28"/>
        </w:rPr>
        <w:t>Регіональна метеорологія додатково посилює необхідність локального дослідження. У холодний період року в Криворізькій котловині неодноразово фіксуються затяжні температурні інверсії з тривалістю від декількох діб до тижня. Поєднання інверсії з малою швидкістю вітру і високою відносною вологістю формує умови, за яких міські і промислові викиди слабо розсіюються, а їх дрібнодисперсна фракція тривало перебуває у приземному шарі. Саме у такі періоди оптичні індикативні сенсори демонструють найбільші систематичні відхилення від референтних значень, оскільки гігроскопічне зростання частинок збільшує ефективну інтенсивність розсіювання світла. У теплий період, навпаки, переважає конвективне перемішування, яке призводить до різких короткочасних піків концентрацій унаслідок ресуспензії пилу з відкритих поверхонь. Така дворежимна сезонна структура робить Криворізьку агломерацію особливо інформативним об'єктом для побудови моделі корекції PM₁₀ з урахуванням метеорологічних параметрів.</w:t>
      </w:r>
    </w:p>
    <w:p>
      <w:pPr>
        <w:spacing w:line="360" w:lineRule="auto"/>
        <w:ind w:firstLine="709"/>
        <w:jc w:val="both"/>
      </w:pPr>
      <w:r>
        <w:rPr>
          <w:rFonts w:ascii="Times New Roman" w:hAnsi="Times New Roman"/>
          <w:sz w:val="28"/>
        </w:rPr>
        <w:t>Просторовий розподіл промислових об'єктів у межах міста формує характерну довгасту смугу впливу, що проходить уздовж залізорудного басейну з півночі на південь. У північній частині агломерації переважають кар'єрно-відвальні комплекси Північного та Центрального ГЗК. У центральній частині розташований майданчик ПАТ «АрселорМіттал», що поєднує коксохімічне, аглодоменне та сталеплавильне виробництва. У південній частині знаходяться кар'єри Інгулецького ГЗК та виробничі ділянки Південного ГЗК. Така лінійна конфігурація забезпечує одночасну присутність у міській аерозольній фоні усіх характерних типів гірничодобувних і металургійних викидів — від мінерального пилу та шлакових зольних часток до сполук сірки і важких металів. Жодне інше місто України не має настільки концентрованого і одночасно просторово протяжного гірничодобувного-металургійного комплексу.</w:t>
      </w:r>
    </w:p>
    <w:p>
      <w:pPr>
        <w:spacing w:line="360" w:lineRule="auto"/>
        <w:ind w:firstLine="709"/>
        <w:jc w:val="both"/>
      </w:pPr>
      <w:r>
        <w:rPr>
          <w:rFonts w:ascii="Times New Roman" w:hAnsi="Times New Roman"/>
          <w:sz w:val="28"/>
        </w:rPr>
        <w:t>Демографічна структура міста характеризується значною часткою населення, історично пов'язаного з гірничодобувними і металургійними галузями. До початку повномасштабної війни в Україні чисельність населення Кривого Рогу становила близько 620 тисяч осіб, що ставило місто у число найбільших індустріальних центрів країни. У структурі зайнятості домінує обробна промисловість і видобувні галузі, що обумовлює стабільне функціонування промислових підприємств і, відповідно, постійний рівень викидів у атмосферне повітря. Соціально-економічна вразливість населення до забруднення повітря додатково посилюється віковою структурою (значна частка людей похилого віку, що мають хронічні респіраторні і серцево-судинні захворювання) і просторовою близькістю сельбищних зон до промислових майданчиків.</w:t>
      </w:r>
    </w:p>
    <w:p>
      <w:pPr>
        <w:spacing w:line="360" w:lineRule="auto"/>
        <w:ind w:firstLine="709"/>
        <w:jc w:val="both"/>
      </w:pPr>
      <w:r>
        <w:rPr>
          <w:rFonts w:ascii="Times New Roman" w:hAnsi="Times New Roman"/>
          <w:sz w:val="28"/>
        </w:rPr>
        <w:t>Історія монiторингу атмосферного повітря у Кривому Розі налічує понад шістдесят років. Перша постійна мережа стаціонарних спостережень була розгорнута у середині 1960-х років у рамках єдиної радянської системи спостережень за забрудненням атмосферного повітря. У 1970-ті роки мережа розширилася до семи пунктів, з яких до теперішнього часу збереглися пости № 1, 2, 3, 6, 7. У 1990-х роках кількість пунктів зменшилася через економічні обмеження, але основні п'ять постів продовжили функціонування у рамках державної гідрометеорологічної служби. У 2010-х роках почалося поступове відновлення мережі вже відповідно до вимог нових нормативних документів, гармонізованих з Директивою 2008/50/ЄС. Сертифікована індикативна мережа ENVEA Cairnet з'явилася у Кривому Розі у 2020–2022 роках за ініціативою міської ради. Така тривала історія спостережень забезпечує не лише доступ до накопичених архівних даних TSP, а й інституційну компетентність персоналу ЛСЗА у проведенні ручного відбору проб і лабораторного зважування фільтрів — компетентність, яка є критичним чинником якості первинних даних для дисертаційного дослідження.</w:t>
      </w:r>
    </w:p>
    <w:p>
      <w:pPr>
        <w:spacing w:before="120" w:after="60"/>
        <w:ind w:firstLine="709"/>
        <w:jc w:val="left"/>
      </w:pPr>
      <w:r>
        <w:rPr>
          <w:rFonts w:ascii="Times New Roman" w:hAnsi="Times New Roman"/>
          <w:b/>
          <w:i/>
          <w:sz w:val="28"/>
        </w:rPr>
        <w:t>3.1.2 Регуляторно-моніторинговий статус і нормативні передумови</w:t>
      </w:r>
    </w:p>
    <w:p>
      <w:pPr>
        <w:spacing w:line="360" w:lineRule="auto"/>
        <w:ind w:firstLine="709"/>
        <w:jc w:val="both"/>
      </w:pPr>
      <w:r>
        <w:rPr>
          <w:rFonts w:ascii="Times New Roman" w:hAnsi="Times New Roman"/>
          <w:sz w:val="28"/>
        </w:rPr>
        <w:t>Із набуттям чинності Постанови Кабінету Міністрів України № 827 від 14 серпня 2019 року «Деякі питання здійснення державного моніторингу в галузі охорони атмосферного повітря» Кривий Ріг віднесено до агломерацій, для яких програми державного моніторингу розробляються та затверджуються окремо, з обов'язковим визначенням переліку речовин, режимів вимірювань і пунктів спостережень [1]. Програма державного моніторингу в галузі охорони атмосферного повітря для агломерації «Кривий Ріг» на 2022–2026 роки, затверджена відповідним рішенням Криворізької міської ради, встановила перелік референтних постів спостережень гідрометеорологічної служби, перелік параметрів, що підлягають вимірюванню, та режим відбору проб згідно з вимогами Постанови № 827 і керівного документа РД 52.04.186-89, що залишається методичною основою практики гідрометеорологічних спостережень [48], [49].</w:t>
      </w:r>
    </w:p>
    <w:p>
      <w:pPr>
        <w:spacing w:line="360" w:lineRule="auto"/>
        <w:ind w:firstLine="709"/>
        <w:jc w:val="both"/>
      </w:pPr>
      <w:r>
        <w:rPr>
          <w:rFonts w:ascii="Times New Roman" w:hAnsi="Times New Roman"/>
          <w:sz w:val="28"/>
        </w:rPr>
        <w:t>Криворізька агломерація стала однією з небагатьох в Україні, де паралельно з референтною мережею функціонує сегмент індикативних автоматичних станцій моніторингу PM₁₀ типу ENVEA Cairnet, експлуатованих міським управлінням екологічної безпеки та розташованих у межах міської території. Ці станції внесено до Державного реєстру типів засобів вимірювальної техніки із сертифікатом перевірки типу № UA.TR.001 11-22 Rev.3, що видано відповідно до вимог Технічного регламенту законодавчо регульованих засобів вимірювальної техніки, затвердженого Постановою КМУ № 94 від 13 січня 2016 року [50], [52]. Поєднання сертифікованої індикативної мережі з мережею референтних спостережень, що контролюється державною службою, створює передумови для проведення методично обґрунтованих колокованих вимірювань без потреби у паралельному розгортанні нової інфраструктури.</w:t>
      </w:r>
    </w:p>
    <w:p>
      <w:pPr>
        <w:spacing w:line="360" w:lineRule="auto"/>
        <w:ind w:firstLine="709"/>
        <w:jc w:val="both"/>
      </w:pPr>
      <w:r>
        <w:rPr>
          <w:rFonts w:ascii="Times New Roman" w:hAnsi="Times New Roman"/>
          <w:sz w:val="28"/>
        </w:rPr>
        <w:t>Окремо слід відзначити інформаційну прозорість моніторингу у Кривому Розі. Дані індикативних станцій публікуються у відкритих хмарних сервісах CairCloud з 15-хвилинною дискретністю і доступні для незалежного аналізу. Дані референтних спостережень оформлюються у формі офіційних таблиць забруднення атмосфери (ТЗА), що складаються лабораторією спостереження за забрудненням атмосферного повітря (ЛСЗА) і завіряються підписами та печатками відповідальних осіб. Така документована метрологічна простежуваність відповідає вимогам Директиви 2008/50/ЄС і нової Директиви (EU) 2024/2881 щодо забезпечення якості і простежуваності даних моніторингу, що використовуються для управлінських рішень [11], [21]. Для дисертаційного дослідження ця обставина має критичне значення: саме можливість зіставити сертифіковані індикативні вимірювання з документально оформленими референтними даними забезпечує ту наукову цінність, яку складно отримати в умовах будь-якого іншого міста України.</w:t>
      </w:r>
    </w:p>
    <w:p>
      <w:pPr>
        <w:spacing w:line="360" w:lineRule="auto"/>
        <w:ind w:firstLine="709"/>
        <w:jc w:val="both"/>
      </w:pPr>
      <w:r>
        <w:rPr>
          <w:rFonts w:ascii="Times New Roman" w:hAnsi="Times New Roman"/>
          <w:sz w:val="28"/>
        </w:rPr>
        <w:t>Програма державного моніторингу для агломерації «Кривий Ріг» на 2022–2026 роки має чітко визначену структуру. Перший розділ програми описує мету і завдання моніторингу, обґрунтовує перелік показників, що підлягають вимірюванню, і визначає категорії пунктів спостережень. Другий розділ встановлює перелік речовин, що визначаються референтними і індикативними методами, з прив'язкою до конкретних пунктів. Третій розділ містить координати, адреси і функціональні характеристики усіх пунктів моніторингу — як референтних (гідрометеорологічних), так і індикативних, зокрема ENVEA Cairnet. Четвертий розділ програми визначає режими відбору проб для кожного типу спостережень, що для референтних пунктів узгоджено з повною або неповною програмою РД 52.04.186-89. П'ятий розділ містить зобов'язання щодо контролю якості даних, державної повірки засобів вимірювальної техніки і регулярного оприлюднення результатів. Шостий розділ передбачає звітність перед центральним органом виконавчої влади у сфері охорони довкілля [49].</w:t>
      </w:r>
    </w:p>
    <w:p>
      <w:pPr>
        <w:spacing w:line="360" w:lineRule="auto"/>
        <w:ind w:firstLine="709"/>
        <w:jc w:val="both"/>
      </w:pPr>
      <w:r>
        <w:rPr>
          <w:rFonts w:ascii="Times New Roman" w:hAnsi="Times New Roman"/>
          <w:sz w:val="28"/>
        </w:rPr>
        <w:t>Окремою важливою складовою агломераційної програми є положення про взаємодію з науковими установами. У програмі прямо передбачено можливість використання даних мережі для наукових досліджень за умови дотримання порядку, встановленого Законом України «Про охорону атмосферного повітря» [17] і Законом України від 20 березня 2023 року № 2973-IX щодо інформаційного забезпечення управління у сфері довкілля [18]. Ця норма формує правову основу для проведення колокованих вимірювань у рамках дисертаційного дослідження без потреби у додаткових погодженнях з власниками інфраструктури моніторингу.</w:t>
      </w:r>
    </w:p>
    <w:p>
      <w:pPr>
        <w:spacing w:line="360" w:lineRule="auto"/>
        <w:ind w:firstLine="709"/>
        <w:jc w:val="both"/>
      </w:pPr>
      <w:r>
        <w:rPr>
          <w:rFonts w:ascii="Times New Roman" w:hAnsi="Times New Roman"/>
          <w:sz w:val="28"/>
        </w:rPr>
        <w:t>Регуляторний контекст дисертаційного дослідження доповнюється положеннями Зеленої книги «Моніторинг довкілля» (2022), у якій Міністерство захисту довкілля та природних ресурсів України сформулювало стратегічні напрями розвитку системи моніторингу до 2030 року [20]. Серед пріоритетів книги — впровадження автоматизованих індикативних мереж, інтеграція даних різних відомств у єдину інформаційну систему та забезпечення відкритого доступу до даних моніторингу. Програмно-алгоритмічні методи корекції індикативних вимірювань, що розробляються у дисертації, прямо відповідають цим пріоритетам, оскільки забезпечують підвищення достовірності даних автоматизованих мереж без необхідності повного розгортання нової референтної інфраструктури.</w:t>
      </w:r>
    </w:p>
    <w:p>
      <w:pPr>
        <w:spacing w:line="360" w:lineRule="auto"/>
        <w:ind w:firstLine="709"/>
        <w:jc w:val="both"/>
      </w:pPr>
      <w:r>
        <w:rPr>
          <w:rFonts w:ascii="Times New Roman" w:hAnsi="Times New Roman"/>
          <w:sz w:val="28"/>
        </w:rPr>
        <w:t>На рівні міського управління запроваджено інтеграційні сервіси, що в режимі реального часу подають уніфіковану картину якості повітря — у мобільному додатку «Картка криворіжця» та через відкритий ресурс муніципального екологічного порталу. Це означає, що дані обох мереж — референтної і індикативної — використовуються не лише у звітних документах державного моніторингу, а й безпосередньо впливають на повідомлення про екологічну ситуацію, які доходять до населення. Похибки індикативних вимірювань PM₁₀ автоматично транслюються у похибки оперативного інформаційного забезпечення, а отже у зниження рівня екологічної безпеки. Корекція індикативних вимірювань на основі сертифікованих колокованих даних безпосередньо підвищує достовірність цих повідомлень і відповідає вимогам Наказу Міндовкілля № 590, відповідно до якого індекс якості повітря, що використовується для оперативного інформування населення, формується насамперед на основі даних PM₂,₅ і PM₁₀ [2].</w:t>
      </w:r>
    </w:p>
    <w:p>
      <w:pPr>
        <w:spacing w:before="120" w:after="60"/>
        <w:ind w:firstLine="709"/>
        <w:jc w:val="left"/>
      </w:pPr>
      <w:r>
        <w:rPr>
          <w:rFonts w:ascii="Times New Roman" w:hAnsi="Times New Roman"/>
          <w:b/>
          <w:i/>
          <w:sz w:val="28"/>
        </w:rPr>
        <w:t>3.1.3 Підсумкове формулювання вибору міста</w:t>
      </w:r>
    </w:p>
    <w:p>
      <w:pPr>
        <w:spacing w:line="360" w:lineRule="auto"/>
        <w:ind w:firstLine="709"/>
        <w:jc w:val="both"/>
      </w:pPr>
      <w:r>
        <w:rPr>
          <w:rFonts w:ascii="Times New Roman" w:hAnsi="Times New Roman"/>
          <w:sz w:val="28"/>
        </w:rPr>
        <w:t>Сукупність розглянутих чинників дозволяє сформулювати чотири ключові аргументи на користь вибору Кривого Рогу як об'єкта експериментальної частини дисертаційного дослідження. Перший аргумент — наявність у місті аерозольного середовища, типового для великих гірничодобувних і металургійних агломерацій світу, що водночас не покрите достатньою кількістю вітчизняних колокованих досліджень PM₁₀/TSP. Другий — функціонування у місті обох мереж спостережень: референтної гідрометеорологічної та сертифікованої індикативної ENVEA Cairnet, причому з документально оформленою просторовою близькістю окремих пунктів. Третій — наявність затвердженої агломераційної програми державного моніторингу, що забезпечує тривалу інституційну стабільність обох мереж і доступність первинних даних. Четвертий — специфіка викидів, що включає масові промислові вибухи, інтенсивну ресуспензію грубого пилу з кар'єрно-відвальних об'єктів і одночасно потужний внесок дрібних фракцій від сталеплавильного й коксохімічного виробництв.</w:t>
      </w:r>
    </w:p>
    <w:p>
      <w:pPr>
        <w:spacing w:line="360" w:lineRule="auto"/>
        <w:ind w:firstLine="709"/>
        <w:jc w:val="both"/>
      </w:pPr>
      <w:r>
        <w:rPr>
          <w:rFonts w:ascii="Times New Roman" w:hAnsi="Times New Roman"/>
          <w:sz w:val="28"/>
        </w:rPr>
        <w:t>Окрім перелічених аргументів, важливим для вибору об'єкта є співпадіння наукової задачі з пріоритетами зон і агломерацій, визначеними у державних документах. Кривий Ріг неодноразово включався до переліку міст України з найвищими рівнями забруднення атмосферного повітря як у звітах Центральної геофізичної обсерваторії імені Бориса Срезневського, так і в національній доповіді про стан навколишнього природного середовища [3], [4]. Удосконалення методичної бази оцінювання PM₁₀ для умов цього міста має не лише академічну, а й безпосередню практичну цінність, оскільки впливає на коректність формування індексу якості повітря, що відповідно до Наказу Міндовкілля № 590 використовується для оперативного інформування населення [2]. У поєднанні зі строгими новими граничними значеннями, встановленими Директивою (EU) 2024/2881, це формує умови, у яких підвищення достовірності індикативних вимірювань PM₁₀ перетворюється на безпосередню складову регіональної екологічної безпеки [11].</w:t>
      </w:r>
    </w:p>
    <w:p>
      <w:pPr>
        <w:spacing w:before="240" w:after="120"/>
        <w:ind w:firstLine="0"/>
        <w:jc w:val="center"/>
      </w:pPr>
      <w:r>
        <w:rPr>
          <w:rFonts w:ascii="Times New Roman" w:hAnsi="Times New Roman"/>
          <w:b/>
          <w:sz w:val="28"/>
        </w:rPr>
        <w:t>3.2 Аналіз мережі постів спостереження за станом атмосферного повітря у м. Кривий Ріг</w:t>
      </w:r>
    </w:p>
    <w:p>
      <w:pPr>
        <w:spacing w:line="360" w:lineRule="auto"/>
        <w:ind w:firstLine="709"/>
        <w:jc w:val="both"/>
      </w:pPr>
      <w:r>
        <w:rPr>
          <w:rFonts w:ascii="Times New Roman" w:hAnsi="Times New Roman"/>
          <w:sz w:val="28"/>
        </w:rPr>
        <w:t>Мережа постів спостереження за станом атмосферного повітря в межах Криворізької агломерації являє собою функціонально неоднорідну сукупність референтних і індикативних пунктів, кожен з яких забезпечує отримання даних різної природи. Референтна підмережа представлена стаціонарними пунктами Криворізької лабораторії спостереження за забрудненням атмосферного повітря (ЛСЗА), що діють у складі державної гідрометеорологічної служби та виконують програму спостережень відповідно до керівного документа РД 52.04.186-89 [48]. Індикативна підмережа складається з автоматичних мінестанцій типу ENVEA Cairnet, що працюють у режимі безперервного оптичного вимірювання PM₁₀ з 15-хвилинною дискретністю і передають дані у хмарний сервіс CairCloud [52].</w:t>
      </w:r>
    </w:p>
    <w:p>
      <w:pPr>
        <w:spacing w:before="120" w:after="60"/>
        <w:ind w:firstLine="709"/>
        <w:jc w:val="left"/>
      </w:pPr>
      <w:r>
        <w:rPr>
          <w:rFonts w:ascii="Times New Roman" w:hAnsi="Times New Roman"/>
          <w:b/>
          <w:i/>
          <w:sz w:val="28"/>
        </w:rPr>
        <w:t>3.2.1 Загальні засади розміщення пунктів спостереження</w:t>
      </w:r>
    </w:p>
    <w:p>
      <w:pPr>
        <w:spacing w:line="360" w:lineRule="auto"/>
        <w:ind w:firstLine="709"/>
        <w:jc w:val="both"/>
      </w:pPr>
      <w:r>
        <w:rPr>
          <w:rFonts w:ascii="Times New Roman" w:hAnsi="Times New Roman"/>
          <w:sz w:val="28"/>
        </w:rPr>
        <w:t>Принципи розміщення пунктів спостережень за станом атмосферного повітря в Україні визначено Наказом Міністерства внутрішніх справ № 300 від 21 квітня 2021 року «Про затвердження Порядку розміщення пунктів спостережень за станом атмосферного повітря» [19]. Цей документ визначає три базові категорії пунктів — фонові, приземні (urban background, suburban background) і пункти, репрезентативні для конкретних джерел викидів (industrial, traffic). Для кожної категорії встановлено вимоги щодо мінімальної відстані до основних джерел викидів, до автомобільних доріг, до екрануючих об'єктів типу високих споруд та зелених насаджень. Зокрема, для пунктів типу «urban background» рекомендована відстань до найближчої смуги руху повинна бути не менш ніж 50 м, а для пунктів типу «traffic» — не більше 25 м. Висота забору проб повинна становити 1,5–4 м над рівнем землі, з допустимими виключеннями для дахових установок до 8 м.</w:t>
      </w:r>
    </w:p>
    <w:p>
      <w:pPr>
        <w:spacing w:line="360" w:lineRule="auto"/>
        <w:ind w:firstLine="709"/>
        <w:jc w:val="both"/>
      </w:pPr>
      <w:r>
        <w:rPr>
          <w:rFonts w:ascii="Times New Roman" w:hAnsi="Times New Roman"/>
          <w:sz w:val="28"/>
        </w:rPr>
        <w:t>Такі вимоги відповідають загальним принципам Директиви 2008/50/ЄС і деталізуються у європейському стандарті EN 12341 «Ambient air. Standard gravimetric measurement method for the determination of the PM10 or PM2,5 mass concentration of suspended particulate matter» [51]. У стандарті EN 12341 також встановлено базові метрологічні характеристики референтних відбірників: номінальну витрату 2,3 м³/год, тривалість одного добового відбору 24 год, контроль температури фільтра під час і після відбору, та допустимі межі втрат маси при транспортуванні. Стандарт EN 16450 «Ambient air. Automated measuring systems for the measurement of the concentration of particulate matter (PM10; PM2,5)», натомість, встановлює вимоги до автоматизованих систем, у тому числі до оптичних, що дозволяє формально оцінювати їхню еквівалентність референтному гравіметричному методу [23].</w:t>
      </w:r>
    </w:p>
    <w:p>
      <w:pPr>
        <w:spacing w:line="360" w:lineRule="auto"/>
        <w:ind w:firstLine="709"/>
        <w:jc w:val="both"/>
      </w:pPr>
      <w:r>
        <w:rPr>
          <w:rFonts w:ascii="Times New Roman" w:hAnsi="Times New Roman"/>
          <w:sz w:val="28"/>
        </w:rPr>
        <w:t>У практичному сенсі ці нормативні документи розрізняють режими оцінювання за рівнем якості даних. Для референтних вимірювань встановлено допустиму розширену відносну невизначеність на рівні порогу оцінки 25 %, тоді як для індикативних вимірювань цей показник збільшено до 50 % згідно з додатком 3 до Постанови КМУ № 827 [1]. Таке розмежування є саме тим методичним підґрунтям, на якому будується наукова постановка задачі дисертації: індикативні вимірювання PM₁₀ після алгоритмічної корекції на основі колокованих даних TSP та метеорологічних параметрів повинні наближатися до референтного рівня якості даних, формально залишаючись за класифікацією індикативними. Це дозволяє розширити функціональну роль індикативної підмережі без перевипуску сертифікатів типу і без вимагання повторної процедури оцінки відповідності.</w:t>
      </w:r>
    </w:p>
    <w:p>
      <w:pPr>
        <w:spacing w:line="360" w:lineRule="auto"/>
        <w:ind w:firstLine="709"/>
        <w:jc w:val="both"/>
      </w:pPr>
      <w:r>
        <w:rPr>
          <w:rFonts w:ascii="Times New Roman" w:hAnsi="Times New Roman"/>
          <w:sz w:val="28"/>
        </w:rPr>
        <w:t>Ширші засади просторового планування мережі мають історичну наступність. Перша мережа стаціонарних постів у Кривому Розі сформувалася у 1960–1970-х роках як частина радянської системи спостережень за забрудненням атмосферного повітря, що будувалася за принципом охоплення основних промислових джерел. Сучасна нормативна база України, успадкувавши цю інфраструктуру, поступово приводить її у відповідність до вимог Директив 2008/50/ЄС і нової Директиви (EU) 2024/2881, які формулюють вимоги до репрезентативності пунктів за принципом макрозонування, мікрозонування і документування критичних відстаней до джерел викидів. Аналіз поточного розташування пунктів у Кривому Розі показує, що історичне відведення місць для постів № 1 і № 6, орієнтоване на промислові майданчики, частково втратило репрезентативність після тривалих структурних змін у виробництві, тоді як пункти № 3 і № 7 зберігають коректну прив'язку до сучасної функціональної конфігурації міста.</w:t>
      </w:r>
    </w:p>
    <w:p>
      <w:pPr>
        <w:spacing w:before="120" w:after="60"/>
        <w:ind w:firstLine="709"/>
        <w:jc w:val="left"/>
      </w:pPr>
      <w:r>
        <w:rPr>
          <w:rFonts w:ascii="Times New Roman" w:hAnsi="Times New Roman"/>
          <w:b/>
          <w:i/>
          <w:sz w:val="28"/>
        </w:rPr>
        <w:t>3.2.2 Референтна підмережа гідрометеорологічних постів</w:t>
      </w:r>
    </w:p>
    <w:p>
      <w:pPr>
        <w:spacing w:line="360" w:lineRule="auto"/>
        <w:ind w:firstLine="709"/>
        <w:jc w:val="both"/>
      </w:pPr>
      <w:r>
        <w:rPr>
          <w:rFonts w:ascii="Times New Roman" w:hAnsi="Times New Roman"/>
          <w:sz w:val="28"/>
        </w:rPr>
        <w:t>У межах Криворізької агломерації функціонує п'ять стаціонарних пунктів спостереження за забрудненням атмосферного повітря (ПСЗ), віднесених до гідрометеорологічної мережі та координованих Криворізькою ЛСЗА. Адреси, координати у системі WGS-84 та функціональне призначення кожного посту, відповідно до затвердженої програми моніторингу атмосфери, наведено у таблиці 3.1 [49].</w:t>
      </w:r>
    </w:p>
    <w:p>
      <w:pPr>
        <w:spacing w:before="120" w:after="60"/>
        <w:ind w:firstLine="0"/>
        <w:jc w:val="center"/>
      </w:pPr>
      <w:r>
        <w:rPr>
          <w:rFonts w:ascii="Times New Roman" w:hAnsi="Times New Roman"/>
          <w:b/>
          <w:sz w:val="28"/>
        </w:rPr>
        <w:t>Таблиця 3.1 — Стаціонарні референтні пости гідрометеорологічної мережі м. Кривий Ріг</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80"/>
          </w:tcPr>
          <w:p>
            <w:pPr>
              <w:ind w:firstLine="0"/>
              <w:jc w:val="center"/>
            </w:pPr>
            <w:r/>
            <w:r>
              <w:rPr>
                <w:rFonts w:ascii="Times New Roman" w:hAnsi="Times New Roman"/>
                <w:b/>
                <w:sz w:val="24"/>
              </w:rPr>
              <w:t>№ ПСЗ</w:t>
            </w:r>
          </w:p>
        </w:tc>
        <w:tc>
          <w:tcPr>
            <w:tcW w:type="dxa" w:w="2381"/>
          </w:tcPr>
          <w:p>
            <w:pPr>
              <w:ind w:firstLine="0"/>
              <w:jc w:val="center"/>
            </w:pPr>
            <w:r/>
            <w:r>
              <w:rPr>
                <w:rFonts w:ascii="Times New Roman" w:hAnsi="Times New Roman"/>
                <w:b/>
                <w:sz w:val="24"/>
              </w:rPr>
              <w:t>Адреса</w:t>
            </w:r>
          </w:p>
        </w:tc>
        <w:tc>
          <w:tcPr>
            <w:tcW w:type="dxa" w:w="1701"/>
          </w:tcPr>
          <w:p>
            <w:pPr>
              <w:ind w:firstLine="0"/>
              <w:jc w:val="center"/>
            </w:pPr>
            <w:r/>
            <w:r>
              <w:rPr>
                <w:rFonts w:ascii="Times New Roman" w:hAnsi="Times New Roman"/>
                <w:b/>
                <w:sz w:val="24"/>
              </w:rPr>
              <w:t>Район</w:t>
            </w:r>
          </w:p>
        </w:tc>
        <w:tc>
          <w:tcPr>
            <w:tcW w:type="dxa" w:w="1134"/>
          </w:tcPr>
          <w:p>
            <w:pPr>
              <w:ind w:firstLine="0"/>
              <w:jc w:val="center"/>
            </w:pPr>
            <w:r/>
            <w:r>
              <w:rPr>
                <w:rFonts w:ascii="Times New Roman" w:hAnsi="Times New Roman"/>
                <w:b/>
                <w:sz w:val="24"/>
              </w:rPr>
              <w:t>Широта, °N</w:t>
            </w:r>
          </w:p>
        </w:tc>
        <w:tc>
          <w:tcPr>
            <w:tcW w:type="dxa" w:w="1134"/>
          </w:tcPr>
          <w:p>
            <w:pPr>
              <w:ind w:firstLine="0"/>
              <w:jc w:val="center"/>
            </w:pPr>
            <w:r/>
            <w:r>
              <w:rPr>
                <w:rFonts w:ascii="Times New Roman" w:hAnsi="Times New Roman"/>
                <w:b/>
                <w:sz w:val="24"/>
              </w:rPr>
              <w:t>Довгота, °E</w:t>
            </w:r>
          </w:p>
        </w:tc>
        <w:tc>
          <w:tcPr>
            <w:tcW w:type="dxa" w:w="2268"/>
          </w:tcPr>
          <w:p>
            <w:pPr>
              <w:ind w:firstLine="0"/>
              <w:jc w:val="center"/>
            </w:pPr>
            <w:r/>
            <w:r>
              <w:rPr>
                <w:rFonts w:ascii="Times New Roman" w:hAnsi="Times New Roman"/>
                <w:b/>
                <w:sz w:val="24"/>
              </w:rPr>
              <w:t>Функціональний тип</w:t>
            </w:r>
          </w:p>
        </w:tc>
      </w:tr>
      <w:tr>
        <w:tc>
          <w:tcPr>
            <w:tcW w:type="dxa" w:w="680"/>
          </w:tcPr>
          <w:p>
            <w:pPr>
              <w:ind w:firstLine="0"/>
              <w:jc w:val="left"/>
            </w:pPr>
            <w:r/>
            <w:r>
              <w:rPr>
                <w:rFonts w:ascii="Times New Roman" w:hAnsi="Times New Roman"/>
                <w:sz w:val="24"/>
              </w:rPr>
              <w:t>1</w:t>
            </w:r>
          </w:p>
        </w:tc>
        <w:tc>
          <w:tcPr>
            <w:tcW w:type="dxa" w:w="2381"/>
          </w:tcPr>
          <w:p>
            <w:pPr>
              <w:ind w:firstLine="0"/>
              <w:jc w:val="left"/>
            </w:pPr>
            <w:r/>
            <w:r>
              <w:rPr>
                <w:rFonts w:ascii="Times New Roman" w:hAnsi="Times New Roman"/>
                <w:sz w:val="24"/>
              </w:rPr>
              <w:t>вул. Каховська, 38</w:t>
            </w:r>
          </w:p>
        </w:tc>
        <w:tc>
          <w:tcPr>
            <w:tcW w:type="dxa" w:w="1701"/>
          </w:tcPr>
          <w:p>
            <w:pPr>
              <w:ind w:firstLine="0"/>
              <w:jc w:val="left"/>
            </w:pPr>
            <w:r/>
            <w:r>
              <w:rPr>
                <w:rFonts w:ascii="Times New Roman" w:hAnsi="Times New Roman"/>
                <w:sz w:val="24"/>
              </w:rPr>
              <w:t>Металургійний</w:t>
            </w:r>
          </w:p>
        </w:tc>
        <w:tc>
          <w:tcPr>
            <w:tcW w:type="dxa" w:w="1134"/>
          </w:tcPr>
          <w:p>
            <w:pPr>
              <w:ind w:firstLine="0"/>
              <w:jc w:val="left"/>
            </w:pPr>
            <w:r/>
            <w:r>
              <w:rPr>
                <w:rFonts w:ascii="Times New Roman" w:hAnsi="Times New Roman"/>
                <w:sz w:val="24"/>
              </w:rPr>
              <w:t>47,884898</w:t>
            </w:r>
          </w:p>
        </w:tc>
        <w:tc>
          <w:tcPr>
            <w:tcW w:type="dxa" w:w="1134"/>
          </w:tcPr>
          <w:p>
            <w:pPr>
              <w:ind w:firstLine="0"/>
              <w:jc w:val="left"/>
            </w:pPr>
            <w:r/>
            <w:r>
              <w:rPr>
                <w:rFonts w:ascii="Times New Roman" w:hAnsi="Times New Roman"/>
                <w:sz w:val="24"/>
              </w:rPr>
              <w:t>33,361773</w:t>
            </w:r>
          </w:p>
        </w:tc>
        <w:tc>
          <w:tcPr>
            <w:tcW w:type="dxa" w:w="2268"/>
          </w:tcPr>
          <w:p>
            <w:pPr>
              <w:ind w:firstLine="0"/>
              <w:jc w:val="left"/>
            </w:pPr>
            <w:r/>
            <w:r>
              <w:rPr>
                <w:rFonts w:ascii="Times New Roman" w:hAnsi="Times New Roman"/>
                <w:sz w:val="24"/>
              </w:rPr>
              <w:t>Промисловий, периферія МК</w:t>
            </w:r>
          </w:p>
        </w:tc>
      </w:tr>
      <w:tr>
        <w:tc>
          <w:tcPr>
            <w:tcW w:type="dxa" w:w="680"/>
          </w:tcPr>
          <w:p>
            <w:pPr>
              <w:ind w:firstLine="0"/>
              <w:jc w:val="left"/>
            </w:pPr>
            <w:r/>
            <w:r>
              <w:rPr>
                <w:rFonts w:ascii="Times New Roman" w:hAnsi="Times New Roman"/>
                <w:sz w:val="24"/>
              </w:rPr>
              <w:t>2</w:t>
            </w:r>
          </w:p>
        </w:tc>
        <w:tc>
          <w:tcPr>
            <w:tcW w:type="dxa" w:w="2381"/>
          </w:tcPr>
          <w:p>
            <w:pPr>
              <w:ind w:firstLine="0"/>
              <w:jc w:val="left"/>
            </w:pPr>
            <w:r/>
            <w:r>
              <w:rPr>
                <w:rFonts w:ascii="Times New Roman" w:hAnsi="Times New Roman"/>
                <w:sz w:val="24"/>
              </w:rPr>
              <w:t>вул. Степана Тільги, 20</w:t>
            </w:r>
          </w:p>
        </w:tc>
        <w:tc>
          <w:tcPr>
            <w:tcW w:type="dxa" w:w="1701"/>
          </w:tcPr>
          <w:p>
            <w:pPr>
              <w:ind w:firstLine="0"/>
              <w:jc w:val="left"/>
            </w:pPr>
            <w:r/>
            <w:r>
              <w:rPr>
                <w:rFonts w:ascii="Times New Roman" w:hAnsi="Times New Roman"/>
                <w:sz w:val="24"/>
              </w:rPr>
              <w:t>Металургійний</w:t>
            </w:r>
          </w:p>
        </w:tc>
        <w:tc>
          <w:tcPr>
            <w:tcW w:type="dxa" w:w="1134"/>
          </w:tcPr>
          <w:p>
            <w:pPr>
              <w:ind w:firstLine="0"/>
              <w:jc w:val="left"/>
            </w:pPr>
            <w:r/>
            <w:r>
              <w:rPr>
                <w:rFonts w:ascii="Times New Roman" w:hAnsi="Times New Roman"/>
                <w:sz w:val="24"/>
              </w:rPr>
              <w:t>47,897336</w:t>
            </w:r>
          </w:p>
        </w:tc>
        <w:tc>
          <w:tcPr>
            <w:tcW w:type="dxa" w:w="1134"/>
          </w:tcPr>
          <w:p>
            <w:pPr>
              <w:ind w:firstLine="0"/>
              <w:jc w:val="left"/>
            </w:pPr>
            <w:r/>
            <w:r>
              <w:rPr>
                <w:rFonts w:ascii="Times New Roman" w:hAnsi="Times New Roman"/>
                <w:sz w:val="24"/>
              </w:rPr>
              <w:t>33,404200</w:t>
            </w:r>
          </w:p>
        </w:tc>
        <w:tc>
          <w:tcPr>
            <w:tcW w:type="dxa" w:w="2268"/>
          </w:tcPr>
          <w:p>
            <w:pPr>
              <w:ind w:firstLine="0"/>
              <w:jc w:val="left"/>
            </w:pPr>
            <w:r/>
            <w:r>
              <w:rPr>
                <w:rFonts w:ascii="Times New Roman" w:hAnsi="Times New Roman"/>
                <w:sz w:val="24"/>
              </w:rPr>
              <w:t>Житловий масив МК</w:t>
            </w:r>
          </w:p>
        </w:tc>
      </w:tr>
      <w:tr>
        <w:tc>
          <w:tcPr>
            <w:tcW w:type="dxa" w:w="680"/>
          </w:tcPr>
          <w:p>
            <w:pPr>
              <w:ind w:firstLine="0"/>
              <w:jc w:val="left"/>
            </w:pPr>
            <w:r/>
            <w:r>
              <w:rPr>
                <w:rFonts w:ascii="Times New Roman" w:hAnsi="Times New Roman"/>
                <w:sz w:val="24"/>
              </w:rPr>
              <w:t>3</w:t>
            </w:r>
          </w:p>
        </w:tc>
        <w:tc>
          <w:tcPr>
            <w:tcW w:type="dxa" w:w="2381"/>
          </w:tcPr>
          <w:p>
            <w:pPr>
              <w:ind w:firstLine="0"/>
              <w:jc w:val="left"/>
            </w:pPr>
            <w:r/>
            <w:r>
              <w:rPr>
                <w:rFonts w:ascii="Times New Roman" w:hAnsi="Times New Roman"/>
                <w:sz w:val="24"/>
              </w:rPr>
              <w:t>пл. Визволення</w:t>
            </w:r>
          </w:p>
        </w:tc>
        <w:tc>
          <w:tcPr>
            <w:tcW w:type="dxa" w:w="1701"/>
          </w:tcPr>
          <w:p>
            <w:pPr>
              <w:ind w:firstLine="0"/>
              <w:jc w:val="left"/>
            </w:pPr>
            <w:r/>
            <w:r>
              <w:rPr>
                <w:rFonts w:ascii="Times New Roman" w:hAnsi="Times New Roman"/>
                <w:sz w:val="24"/>
              </w:rPr>
              <w:t>Центрально-Міський</w:t>
            </w:r>
          </w:p>
        </w:tc>
        <w:tc>
          <w:tcPr>
            <w:tcW w:type="dxa" w:w="1134"/>
          </w:tcPr>
          <w:p>
            <w:pPr>
              <w:ind w:firstLine="0"/>
              <w:jc w:val="left"/>
            </w:pPr>
            <w:r/>
            <w:r>
              <w:rPr>
                <w:rFonts w:ascii="Times New Roman" w:hAnsi="Times New Roman"/>
                <w:sz w:val="24"/>
              </w:rPr>
              <w:t>47,908753</w:t>
            </w:r>
          </w:p>
        </w:tc>
        <w:tc>
          <w:tcPr>
            <w:tcW w:type="dxa" w:w="1134"/>
          </w:tcPr>
          <w:p>
            <w:pPr>
              <w:ind w:firstLine="0"/>
              <w:jc w:val="left"/>
            </w:pPr>
            <w:r/>
            <w:r>
              <w:rPr>
                <w:rFonts w:ascii="Times New Roman" w:hAnsi="Times New Roman"/>
                <w:sz w:val="24"/>
              </w:rPr>
              <w:t>33,338845</w:t>
            </w:r>
          </w:p>
        </w:tc>
        <w:tc>
          <w:tcPr>
            <w:tcW w:type="dxa" w:w="2268"/>
          </w:tcPr>
          <w:p>
            <w:pPr>
              <w:ind w:firstLine="0"/>
              <w:jc w:val="left"/>
            </w:pPr>
            <w:r/>
            <w:r>
              <w:rPr>
                <w:rFonts w:ascii="Times New Roman" w:hAnsi="Times New Roman"/>
                <w:sz w:val="24"/>
              </w:rPr>
              <w:t>Міський фон, центральна частина</w:t>
            </w:r>
          </w:p>
        </w:tc>
      </w:tr>
      <w:tr>
        <w:tc>
          <w:tcPr>
            <w:tcW w:type="dxa" w:w="680"/>
          </w:tcPr>
          <w:p>
            <w:pPr>
              <w:ind w:firstLine="0"/>
              <w:jc w:val="left"/>
            </w:pPr>
            <w:r/>
            <w:r>
              <w:rPr>
                <w:rFonts w:ascii="Times New Roman" w:hAnsi="Times New Roman"/>
                <w:sz w:val="24"/>
              </w:rPr>
              <w:t>6</w:t>
            </w:r>
          </w:p>
        </w:tc>
        <w:tc>
          <w:tcPr>
            <w:tcW w:type="dxa" w:w="2381"/>
          </w:tcPr>
          <w:p>
            <w:pPr>
              <w:ind w:firstLine="0"/>
              <w:jc w:val="left"/>
            </w:pPr>
            <w:r/>
            <w:r>
              <w:rPr>
                <w:rFonts w:ascii="Times New Roman" w:hAnsi="Times New Roman"/>
                <w:sz w:val="24"/>
              </w:rPr>
              <w:t>вул. Груні Романової, 6 б</w:t>
            </w:r>
          </w:p>
        </w:tc>
        <w:tc>
          <w:tcPr>
            <w:tcW w:type="dxa" w:w="1701"/>
          </w:tcPr>
          <w:p>
            <w:pPr>
              <w:ind w:firstLine="0"/>
              <w:jc w:val="left"/>
            </w:pPr>
            <w:r/>
            <w:r>
              <w:rPr>
                <w:rFonts w:ascii="Times New Roman" w:hAnsi="Times New Roman"/>
                <w:sz w:val="24"/>
              </w:rPr>
              <w:t>Інгулецький</w:t>
            </w:r>
          </w:p>
        </w:tc>
        <w:tc>
          <w:tcPr>
            <w:tcW w:type="dxa" w:w="1134"/>
          </w:tcPr>
          <w:p>
            <w:pPr>
              <w:ind w:firstLine="0"/>
              <w:jc w:val="left"/>
            </w:pPr>
            <w:r/>
            <w:r>
              <w:rPr>
                <w:rFonts w:ascii="Times New Roman" w:hAnsi="Times New Roman"/>
                <w:sz w:val="24"/>
              </w:rPr>
              <w:t>47,839668</w:t>
            </w:r>
          </w:p>
        </w:tc>
        <w:tc>
          <w:tcPr>
            <w:tcW w:type="dxa" w:w="1134"/>
          </w:tcPr>
          <w:p>
            <w:pPr>
              <w:ind w:firstLine="0"/>
              <w:jc w:val="left"/>
            </w:pPr>
            <w:r/>
            <w:r>
              <w:rPr>
                <w:rFonts w:ascii="Times New Roman" w:hAnsi="Times New Roman"/>
                <w:sz w:val="24"/>
              </w:rPr>
              <w:t>33,354252</w:t>
            </w:r>
          </w:p>
        </w:tc>
        <w:tc>
          <w:tcPr>
            <w:tcW w:type="dxa" w:w="2268"/>
          </w:tcPr>
          <w:p>
            <w:pPr>
              <w:ind w:firstLine="0"/>
              <w:jc w:val="left"/>
            </w:pPr>
            <w:r/>
            <w:r>
              <w:rPr>
                <w:rFonts w:ascii="Times New Roman" w:hAnsi="Times New Roman"/>
                <w:sz w:val="24"/>
              </w:rPr>
              <w:t>Промислова периферія Півдня</w:t>
            </w:r>
          </w:p>
        </w:tc>
      </w:tr>
      <w:tr>
        <w:tc>
          <w:tcPr>
            <w:tcW w:type="dxa" w:w="680"/>
          </w:tcPr>
          <w:p>
            <w:pPr>
              <w:ind w:firstLine="0"/>
              <w:jc w:val="left"/>
            </w:pPr>
            <w:r/>
            <w:r>
              <w:rPr>
                <w:rFonts w:ascii="Times New Roman" w:hAnsi="Times New Roman"/>
                <w:sz w:val="24"/>
              </w:rPr>
              <w:t>7</w:t>
            </w:r>
          </w:p>
        </w:tc>
        <w:tc>
          <w:tcPr>
            <w:tcW w:type="dxa" w:w="2381"/>
          </w:tcPr>
          <w:p>
            <w:pPr>
              <w:ind w:firstLine="0"/>
              <w:jc w:val="left"/>
            </w:pPr>
            <w:r/>
            <w:r>
              <w:rPr>
                <w:rFonts w:ascii="Times New Roman" w:hAnsi="Times New Roman"/>
                <w:sz w:val="24"/>
              </w:rPr>
              <w:t>вул. Героїв АТО, 92</w:t>
            </w:r>
          </w:p>
        </w:tc>
        <w:tc>
          <w:tcPr>
            <w:tcW w:type="dxa" w:w="1701"/>
          </w:tcPr>
          <w:p>
            <w:pPr>
              <w:ind w:firstLine="0"/>
              <w:jc w:val="left"/>
            </w:pPr>
            <w:r/>
            <w:r>
              <w:rPr>
                <w:rFonts w:ascii="Times New Roman" w:hAnsi="Times New Roman"/>
                <w:sz w:val="24"/>
              </w:rPr>
              <w:t>Центрально-Міський</w:t>
            </w:r>
          </w:p>
        </w:tc>
        <w:tc>
          <w:tcPr>
            <w:tcW w:type="dxa" w:w="1134"/>
          </w:tcPr>
          <w:p>
            <w:pPr>
              <w:ind w:firstLine="0"/>
              <w:jc w:val="left"/>
            </w:pPr>
            <w:r/>
            <w:r>
              <w:rPr>
                <w:rFonts w:ascii="Times New Roman" w:hAnsi="Times New Roman"/>
                <w:sz w:val="24"/>
              </w:rPr>
              <w:t>47,904163</w:t>
            </w:r>
          </w:p>
        </w:tc>
        <w:tc>
          <w:tcPr>
            <w:tcW w:type="dxa" w:w="1134"/>
          </w:tcPr>
          <w:p>
            <w:pPr>
              <w:ind w:firstLine="0"/>
              <w:jc w:val="left"/>
            </w:pPr>
            <w:r/>
            <w:r>
              <w:rPr>
                <w:rFonts w:ascii="Times New Roman" w:hAnsi="Times New Roman"/>
                <w:sz w:val="24"/>
              </w:rPr>
              <w:t>33,423404</w:t>
            </w:r>
          </w:p>
        </w:tc>
        <w:tc>
          <w:tcPr>
            <w:tcW w:type="dxa" w:w="2268"/>
          </w:tcPr>
          <w:p>
            <w:pPr>
              <w:ind w:firstLine="0"/>
              <w:jc w:val="left"/>
            </w:pPr>
            <w:r/>
            <w:r>
              <w:rPr>
                <w:rFonts w:ascii="Times New Roman" w:hAnsi="Times New Roman"/>
                <w:sz w:val="24"/>
              </w:rPr>
              <w:t>Житловий, північно-східний сектор</w:t>
            </w:r>
          </w:p>
        </w:tc>
      </w:tr>
    </w:tbl>
    <w:p>
      <w:pPr>
        <w:spacing w:line="360" w:lineRule="auto"/>
        <w:ind w:firstLine="709"/>
        <w:jc w:val="both"/>
      </w:pPr>
      <w:r>
        <w:rPr>
          <w:rFonts w:ascii="Times New Roman" w:hAnsi="Times New Roman"/>
          <w:sz w:val="28"/>
        </w:rPr>
        <w:t>Кожен з наведених постів має тривалу історію спостережень. Пост № 1 на вул. Каховській функціонує з 1966 року і охоплює зону впливу промислового майданчика металургійного комбінату з урахуванням переважних вітрів західних і північно-західних румбів. Пост № 2 на вул. Степана Тільги репрезентує житлову забудову Металургійного району, розташовану на правому березі річки Інгулець; його дані використовуються для оцінки впливу металургійного виробництва на сельбищні зони. Пост № 3 на площі Визволення розміщений у прибережній смузі річки Саксагань і характеризує міський фон у центральній історичній частині міста, де концентрується цивільна забудова, торгово-розважальні об'єкти і помітний транспортний трафік. Пост № 6 на вул. Груні Романової у Інгулецькому районі перенесений на сучасне місце у 2009 році і орієнтований на оцінку впливу південних промислових об'єктів. Пост № 7 на вул. Героїв АТО, відкритий у 2000 році, характеризує якість повітря в зоні житлової забудови Центрально-Міського району. Така просторова конфігурація розрахована на охоплення основних функціональних зон міста і відповідає принципам репрезентативності, сформульованим у європейських стандартах [19], [21].</w:t>
      </w:r>
    </w:p>
    <w:p>
      <w:pPr>
        <w:spacing w:line="360" w:lineRule="auto"/>
        <w:ind w:firstLine="709"/>
        <w:jc w:val="both"/>
      </w:pPr>
      <w:r>
        <w:rPr>
          <w:rFonts w:ascii="Times New Roman" w:hAnsi="Times New Roman"/>
          <w:sz w:val="28"/>
        </w:rPr>
        <w:t>Програма спостережень на кожному з постів передбачає відбір проб повітря на загальний пил (TSP) та одночасні вимірювання основних метеорологічних параметрів — температури повітря, відносної вологості, атмосферного тиску, швидкості й напрямку вітру. Режим відбору регулюється РД 52.04.186-89 і налічує до чотирьох спостережень на добу — о 01:00, 07:00, 13:00 і 19:00 за повною програмою; за неповною — три спостереження (07:00, 13:00, 19:00); за скороченою — два (07:00, 13:00) [48]. На пості № 3 за роки спостережень переважно реалізовувалася неповна або повна програма, що для цілей дисертаційного дослідження є особливо важливим, оскільки кількість пар референтних і індикативних значень за добу безпосередньо визначає статистичну надійність розрахованого коефіцієнта PM₁₀/TSP.</w:t>
      </w:r>
    </w:p>
    <w:p>
      <w:pPr>
        <w:spacing w:line="360" w:lineRule="auto"/>
        <w:ind w:firstLine="709"/>
        <w:jc w:val="both"/>
      </w:pPr>
      <w:r>
        <w:rPr>
          <w:rFonts w:ascii="Times New Roman" w:hAnsi="Times New Roman"/>
          <w:sz w:val="28"/>
        </w:rPr>
        <w:t>Метрологічний контроль обладнання на референтних постах здійснюється у формі щорічної державної повірки засобів вимірювальної техніки, з оформленням свідоцтв про повірку згідно з вимогами Закону України «Про метрологію та метрологічну діяльність». Зважування фільтрів виконується у лабораторних умовах ЛСЗА на аналітичних вагах із дотриманням контролю температури і відносної вологості зважувального приміщення згідно з вимогами стандарту EN 12341 [51]. Сукупно ці процедури забезпечують ту метрологічну простежуваність, яка дозволяє розглядати дані референтної мережі як об'єктивну основу для калібрування індикативних вимірювань.</w:t>
      </w:r>
    </w:p>
    <w:p>
      <w:pPr>
        <w:spacing w:line="360" w:lineRule="auto"/>
        <w:ind w:firstLine="709"/>
        <w:jc w:val="both"/>
      </w:pPr>
      <w:r>
        <w:rPr>
          <w:rFonts w:ascii="Times New Roman" w:hAnsi="Times New Roman"/>
          <w:sz w:val="28"/>
        </w:rPr>
        <w:t>Технічно відбір проб TSP на постах гідрометеорологічної мережі України виконується відбірниками типу «Тайфун» з пристосуванням для встановлення стандартних целюлозно-волокнистих фільтрів, які витримують підвищене навантаження пилом, характерне для важких промислових міст. Експонування фільтра під час одного спостереження триває близько 30 хвилин при витраті повітря орієнтовно 100 л/хв, що для приблизних оцінок становить близько 3 м³ повітря на пробу. Зразки фільтрів після відбору транспортуються у лабораторію ЛСЗА у запломбованих чашках Петрі і піддаються попередньому кондиціонуванню за стабільної температури і відносної вологості перед зважуванням. Результати оформлюються у вигляді рукописних і електронних таблиць ТЗА із зазначенням часу відбору, маси фільтра до і після експонування, розрахункової масової концентрації TSP та супутніх метеорологічних показників, виміряних на тих самих часових відмітках. Така деталізована форма первинних документів дозволяє виконувати повторну перевірку якості даних і ретроспективний аудит розрахунків, що є критичним для задач наукового дослідження.</w:t>
      </w:r>
    </w:p>
    <w:p>
      <w:pPr>
        <w:spacing w:before="120" w:after="60"/>
        <w:ind w:firstLine="709"/>
        <w:jc w:val="left"/>
      </w:pPr>
      <w:r>
        <w:rPr>
          <w:rFonts w:ascii="Times New Roman" w:hAnsi="Times New Roman"/>
          <w:b/>
          <w:i/>
          <w:sz w:val="28"/>
        </w:rPr>
        <w:t>3.2.3 Індикативна підмережа автоматичних станцій ENVEA Cairnet</w:t>
      </w:r>
    </w:p>
    <w:p>
      <w:pPr>
        <w:spacing w:line="360" w:lineRule="auto"/>
        <w:ind w:firstLine="709"/>
        <w:jc w:val="both"/>
      </w:pPr>
      <w:r>
        <w:rPr>
          <w:rFonts w:ascii="Times New Roman" w:hAnsi="Times New Roman"/>
          <w:sz w:val="28"/>
        </w:rPr>
        <w:t>Індикативна підмережа Криворізької агломерації побудована на базі автоматичних мінестанцій типу ENVEA Cairnet з оптичними сенсорами PM₁₀, PM₂,₅ і PM₁ та комплектом для вимірювання основних метеорологічних параметрів. Ці станції внесено до Державного реєстру типів засобів вимірювальної техніки України із сертифікатом перевірки типу № UA.TR.001 11-22 Rev.3, виданим відповідно до Постанови КМУ № 94 від 13 січня 2016 року [50], [52]. Це означає, що, на відміну від низькобюджетних побутових сенсорів, дані станцій ENVEA Cairnet формально мають статус індикативних згідно з Постановою КМУ № 827 і допускаються до використання у системі державного моніторингу за умови дотримання встановлених цілей якості даних [1].</w:t>
      </w:r>
    </w:p>
    <w:p>
      <w:pPr>
        <w:spacing w:line="360" w:lineRule="auto"/>
        <w:ind w:firstLine="709"/>
        <w:jc w:val="both"/>
      </w:pPr>
      <w:r>
        <w:rPr>
          <w:rFonts w:ascii="Times New Roman" w:hAnsi="Times New Roman"/>
          <w:sz w:val="28"/>
        </w:rPr>
        <w:t>Принцип роботи оптичного сенсора PM ґрунтується на вимірюванні інтенсивності світлорозсіювання аерозольними частинками у лазерному пучку з подальшим перерахунком цієї інтенсивності у масову концентрацію за допомогою заводського калібрування, виконаного на тестовому аерозолі. Перевагами цього підходу є висока часова роздільна здатність (до однієї хвилини), низьке енергоспоживання, відсутність витратних матеріалів і можливість функціонування без оперативного втручання. Обмеженнями є залежність ефективного діаметра частинок від їх показника заломлення, гігроскопічного зростання за умов підвищеної відносної вологості, а також зниження точності за низьких концентрацій через шум на тлі темнового сигналу. Саме ці обмеження роблять задачу алгоритмічної корекції індикативних вимірювань методично виправданою [9], [40], [42].</w:t>
      </w:r>
    </w:p>
    <w:p>
      <w:pPr>
        <w:spacing w:line="360" w:lineRule="auto"/>
        <w:ind w:firstLine="709"/>
        <w:jc w:val="both"/>
      </w:pPr>
      <w:r>
        <w:rPr>
          <w:rFonts w:ascii="Times New Roman" w:hAnsi="Times New Roman"/>
          <w:sz w:val="28"/>
        </w:rPr>
        <w:t>Принципова відмінність ENVEA Cairnet від побутових низькобюджетних оптичних сенсорів полягає у комбінації декількох технічних чинників, які саме і забезпечують сертифікацію приладу як індикативного засобу вимірювання PM₁₀. По-перше, у конструкції станції використано термостабілізований лазерний модуль з контрольованою довжиною хвилі та стабілізованою інтенсивністю, що зменшує вплив температурних коливань на калібрувальну криву. По-друге, передбачено активний підігрів вхідного патрубка з тонким контролем температури, що знижує ефект гігроскопічного набухання частинок при відносній вологості понад 70 %. По-третє, у програмному забезпеченні станції реалізовано вбудовані алгоритми діагностики стану сенсора з автоматичним виставлянням коду якості (QC) для кожного виміряного значення. Сукупність цих елементів дозволяє ENVEA Cairnet відповідати вимогам розширеної відносної невизначеності 50 % при пороговій концентрації PM₁₀, що є встановленою цільовою якістю для індикативних вимірювань у Постанові КМУ № 827 [1].</w:t>
      </w:r>
    </w:p>
    <w:p>
      <w:pPr>
        <w:spacing w:line="360" w:lineRule="auto"/>
        <w:ind w:firstLine="709"/>
        <w:jc w:val="both"/>
      </w:pPr>
      <w:r>
        <w:rPr>
          <w:rFonts w:ascii="Times New Roman" w:hAnsi="Times New Roman"/>
          <w:sz w:val="28"/>
        </w:rPr>
        <w:t>У межах міста Кривий Ріг функціонує чотири індикативні станції Cairnet, дані яких використано у цьому дослідженні. Їх ідентифікатори у хмарному сервісі CairCloud, внутрішні позначення управління екології та координати у системі WGS-84 наведено у таблиці 3.2.</w:t>
      </w:r>
    </w:p>
    <w:p>
      <w:pPr>
        <w:spacing w:before="120" w:after="60"/>
        <w:ind w:firstLine="0"/>
        <w:jc w:val="center"/>
      </w:pPr>
      <w:r>
        <w:rPr>
          <w:rFonts w:ascii="Times New Roman" w:hAnsi="Times New Roman"/>
          <w:b/>
          <w:sz w:val="28"/>
        </w:rPr>
        <w:t>Таблиця 3.2 — Індикативні автоматичні станції ENVEA Cairnet м. Кривий Ріг</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84"/>
          </w:tcPr>
          <w:p>
            <w:pPr>
              <w:ind w:firstLine="0"/>
              <w:jc w:val="center"/>
            </w:pPr>
            <w:r/>
            <w:r>
              <w:rPr>
                <w:rFonts w:ascii="Times New Roman" w:hAnsi="Times New Roman"/>
                <w:b/>
                <w:sz w:val="24"/>
              </w:rPr>
              <w:t>Ідентифікатор у CairCloud</w:t>
            </w:r>
          </w:p>
        </w:tc>
        <w:tc>
          <w:tcPr>
            <w:tcW w:type="dxa" w:w="1701"/>
          </w:tcPr>
          <w:p>
            <w:pPr>
              <w:ind w:firstLine="0"/>
              <w:jc w:val="center"/>
            </w:pPr>
            <w:r/>
            <w:r>
              <w:rPr>
                <w:rFonts w:ascii="Times New Roman" w:hAnsi="Times New Roman"/>
                <w:b/>
                <w:sz w:val="24"/>
              </w:rPr>
              <w:t>Внутрішнє позначення</w:t>
            </w:r>
          </w:p>
        </w:tc>
        <w:tc>
          <w:tcPr>
            <w:tcW w:type="dxa" w:w="1134"/>
          </w:tcPr>
          <w:p>
            <w:pPr>
              <w:ind w:firstLine="0"/>
              <w:jc w:val="center"/>
            </w:pPr>
            <w:r/>
            <w:r>
              <w:rPr>
                <w:rFonts w:ascii="Times New Roman" w:hAnsi="Times New Roman"/>
                <w:b/>
                <w:sz w:val="24"/>
              </w:rPr>
              <w:t>Широта, °N</w:t>
            </w:r>
          </w:p>
        </w:tc>
        <w:tc>
          <w:tcPr>
            <w:tcW w:type="dxa" w:w="1134"/>
          </w:tcPr>
          <w:p>
            <w:pPr>
              <w:ind w:firstLine="0"/>
              <w:jc w:val="center"/>
            </w:pPr>
            <w:r/>
            <w:r>
              <w:rPr>
                <w:rFonts w:ascii="Times New Roman" w:hAnsi="Times New Roman"/>
                <w:b/>
                <w:sz w:val="24"/>
              </w:rPr>
              <w:t>Довгота, °E</w:t>
            </w:r>
          </w:p>
        </w:tc>
        <w:tc>
          <w:tcPr>
            <w:tcW w:type="dxa" w:w="2835"/>
          </w:tcPr>
          <w:p>
            <w:pPr>
              <w:ind w:firstLine="0"/>
              <w:jc w:val="center"/>
            </w:pPr>
            <w:r/>
            <w:r>
              <w:rPr>
                <w:rFonts w:ascii="Times New Roman" w:hAnsi="Times New Roman"/>
                <w:b/>
                <w:sz w:val="24"/>
              </w:rPr>
              <w:t>Функціональний тип</w:t>
            </w:r>
          </w:p>
        </w:tc>
      </w:tr>
      <w:tr>
        <w:tc>
          <w:tcPr>
            <w:tcW w:type="dxa" w:w="1984"/>
          </w:tcPr>
          <w:p>
            <w:pPr>
              <w:ind w:firstLine="0"/>
              <w:jc w:val="left"/>
            </w:pPr>
            <w:r/>
            <w:r>
              <w:rPr>
                <w:rFonts w:ascii="Times New Roman" w:hAnsi="Times New Roman"/>
                <w:sz w:val="24"/>
              </w:rPr>
              <w:t>post893</w:t>
            </w:r>
          </w:p>
        </w:tc>
        <w:tc>
          <w:tcPr>
            <w:tcW w:type="dxa" w:w="1701"/>
          </w:tcPr>
          <w:p>
            <w:pPr>
              <w:ind w:firstLine="0"/>
              <w:jc w:val="left"/>
            </w:pPr>
            <w:r/>
            <w:r>
              <w:rPr>
                <w:rFonts w:ascii="Times New Roman" w:hAnsi="Times New Roman"/>
                <w:sz w:val="24"/>
              </w:rPr>
              <w:t>pan2</w:t>
            </w:r>
          </w:p>
        </w:tc>
        <w:tc>
          <w:tcPr>
            <w:tcW w:type="dxa" w:w="1134"/>
          </w:tcPr>
          <w:p>
            <w:pPr>
              <w:ind w:firstLine="0"/>
              <w:jc w:val="left"/>
            </w:pPr>
            <w:r/>
            <w:r>
              <w:rPr>
                <w:rFonts w:ascii="Times New Roman" w:hAnsi="Times New Roman"/>
                <w:sz w:val="24"/>
              </w:rPr>
              <w:t>47,90495</w:t>
            </w:r>
          </w:p>
        </w:tc>
        <w:tc>
          <w:tcPr>
            <w:tcW w:type="dxa" w:w="1134"/>
          </w:tcPr>
          <w:p>
            <w:pPr>
              <w:ind w:firstLine="0"/>
              <w:jc w:val="left"/>
            </w:pPr>
            <w:r/>
            <w:r>
              <w:rPr>
                <w:rFonts w:ascii="Times New Roman" w:hAnsi="Times New Roman"/>
                <w:sz w:val="24"/>
              </w:rPr>
              <w:t>33,33708</w:t>
            </w:r>
          </w:p>
        </w:tc>
        <w:tc>
          <w:tcPr>
            <w:tcW w:type="dxa" w:w="2835"/>
          </w:tcPr>
          <w:p>
            <w:pPr>
              <w:ind w:firstLine="0"/>
              <w:jc w:val="left"/>
            </w:pPr>
            <w:r/>
            <w:r>
              <w:rPr>
                <w:rFonts w:ascii="Times New Roman" w:hAnsi="Times New Roman"/>
                <w:sz w:val="24"/>
              </w:rPr>
              <w:t>Міський фон, центральна частина</w:t>
            </w:r>
          </w:p>
        </w:tc>
      </w:tr>
      <w:tr>
        <w:tc>
          <w:tcPr>
            <w:tcW w:type="dxa" w:w="1984"/>
          </w:tcPr>
          <w:p>
            <w:pPr>
              <w:ind w:firstLine="0"/>
              <w:jc w:val="left"/>
            </w:pPr>
            <w:r/>
            <w:r>
              <w:rPr>
                <w:rFonts w:ascii="Times New Roman" w:hAnsi="Times New Roman"/>
                <w:sz w:val="24"/>
              </w:rPr>
              <w:t>post906</w:t>
            </w:r>
          </w:p>
        </w:tc>
        <w:tc>
          <w:tcPr>
            <w:tcW w:type="dxa" w:w="1701"/>
          </w:tcPr>
          <w:p>
            <w:pPr>
              <w:ind w:firstLine="0"/>
              <w:jc w:val="left"/>
            </w:pPr>
            <w:r/>
            <w:r>
              <w:rPr>
                <w:rFonts w:ascii="Times New Roman" w:hAnsi="Times New Roman"/>
                <w:sz w:val="24"/>
              </w:rPr>
              <w:t>pan3</w:t>
            </w:r>
          </w:p>
        </w:tc>
        <w:tc>
          <w:tcPr>
            <w:tcW w:type="dxa" w:w="1134"/>
          </w:tcPr>
          <w:p>
            <w:pPr>
              <w:ind w:firstLine="0"/>
              <w:jc w:val="left"/>
            </w:pPr>
            <w:r/>
            <w:r>
              <w:rPr>
                <w:rFonts w:ascii="Times New Roman" w:hAnsi="Times New Roman"/>
                <w:sz w:val="24"/>
              </w:rPr>
              <w:t>47,88881</w:t>
            </w:r>
          </w:p>
        </w:tc>
        <w:tc>
          <w:tcPr>
            <w:tcW w:type="dxa" w:w="1134"/>
          </w:tcPr>
          <w:p>
            <w:pPr>
              <w:ind w:firstLine="0"/>
              <w:jc w:val="left"/>
            </w:pPr>
            <w:r/>
            <w:r>
              <w:rPr>
                <w:rFonts w:ascii="Times New Roman" w:hAnsi="Times New Roman"/>
                <w:sz w:val="24"/>
              </w:rPr>
              <w:t>33,38707</w:t>
            </w:r>
          </w:p>
        </w:tc>
        <w:tc>
          <w:tcPr>
            <w:tcW w:type="dxa" w:w="2835"/>
          </w:tcPr>
          <w:p>
            <w:pPr>
              <w:ind w:firstLine="0"/>
              <w:jc w:val="left"/>
            </w:pPr>
            <w:r/>
            <w:r>
              <w:rPr>
                <w:rFonts w:ascii="Times New Roman" w:hAnsi="Times New Roman"/>
                <w:sz w:val="24"/>
              </w:rPr>
              <w:t>Міжрайонна, перехідна зона</w:t>
            </w:r>
          </w:p>
        </w:tc>
      </w:tr>
      <w:tr>
        <w:tc>
          <w:tcPr>
            <w:tcW w:type="dxa" w:w="1984"/>
          </w:tcPr>
          <w:p>
            <w:pPr>
              <w:ind w:firstLine="0"/>
              <w:jc w:val="left"/>
            </w:pPr>
            <w:r/>
            <w:r>
              <w:rPr>
                <w:rFonts w:ascii="Times New Roman" w:hAnsi="Times New Roman"/>
                <w:sz w:val="24"/>
              </w:rPr>
              <w:t>post939</w:t>
            </w:r>
          </w:p>
        </w:tc>
        <w:tc>
          <w:tcPr>
            <w:tcW w:type="dxa" w:w="1701"/>
          </w:tcPr>
          <w:p>
            <w:pPr>
              <w:ind w:firstLine="0"/>
              <w:jc w:val="left"/>
            </w:pPr>
            <w:r/>
            <w:r>
              <w:rPr>
                <w:rFonts w:ascii="Times New Roman" w:hAnsi="Times New Roman"/>
                <w:sz w:val="24"/>
              </w:rPr>
              <w:t>pan5</w:t>
            </w:r>
          </w:p>
        </w:tc>
        <w:tc>
          <w:tcPr>
            <w:tcW w:type="dxa" w:w="1134"/>
          </w:tcPr>
          <w:p>
            <w:pPr>
              <w:ind w:firstLine="0"/>
              <w:jc w:val="left"/>
            </w:pPr>
            <w:r/>
            <w:r>
              <w:rPr>
                <w:rFonts w:ascii="Times New Roman" w:hAnsi="Times New Roman"/>
                <w:sz w:val="24"/>
              </w:rPr>
              <w:t>47,91167</w:t>
            </w:r>
          </w:p>
        </w:tc>
        <w:tc>
          <w:tcPr>
            <w:tcW w:type="dxa" w:w="1134"/>
          </w:tcPr>
          <w:p>
            <w:pPr>
              <w:ind w:firstLine="0"/>
              <w:jc w:val="left"/>
            </w:pPr>
            <w:r/>
            <w:r>
              <w:rPr>
                <w:rFonts w:ascii="Times New Roman" w:hAnsi="Times New Roman"/>
                <w:sz w:val="24"/>
              </w:rPr>
              <w:t>33,42334</w:t>
            </w:r>
          </w:p>
        </w:tc>
        <w:tc>
          <w:tcPr>
            <w:tcW w:type="dxa" w:w="2835"/>
          </w:tcPr>
          <w:p>
            <w:pPr>
              <w:ind w:firstLine="0"/>
              <w:jc w:val="left"/>
            </w:pPr>
            <w:r/>
            <w:r>
              <w:rPr>
                <w:rFonts w:ascii="Times New Roman" w:hAnsi="Times New Roman"/>
                <w:sz w:val="24"/>
              </w:rPr>
              <w:t>Житловий, північно-східний сектор</w:t>
            </w:r>
          </w:p>
        </w:tc>
      </w:tr>
      <w:tr>
        <w:tc>
          <w:tcPr>
            <w:tcW w:type="dxa" w:w="1984"/>
          </w:tcPr>
          <w:p>
            <w:pPr>
              <w:ind w:firstLine="0"/>
              <w:jc w:val="left"/>
            </w:pPr>
            <w:r/>
            <w:r>
              <w:rPr>
                <w:rFonts w:ascii="Times New Roman" w:hAnsi="Times New Roman"/>
                <w:sz w:val="24"/>
              </w:rPr>
              <w:t>post940</w:t>
            </w:r>
          </w:p>
        </w:tc>
        <w:tc>
          <w:tcPr>
            <w:tcW w:type="dxa" w:w="1701"/>
          </w:tcPr>
          <w:p>
            <w:pPr>
              <w:ind w:firstLine="0"/>
              <w:jc w:val="left"/>
            </w:pPr>
            <w:r/>
            <w:r>
              <w:rPr>
                <w:rFonts w:ascii="Times New Roman" w:hAnsi="Times New Roman"/>
                <w:sz w:val="24"/>
              </w:rPr>
              <w:t>pan6</w:t>
            </w:r>
          </w:p>
        </w:tc>
        <w:tc>
          <w:tcPr>
            <w:tcW w:type="dxa" w:w="1134"/>
          </w:tcPr>
          <w:p>
            <w:pPr>
              <w:ind w:firstLine="0"/>
              <w:jc w:val="left"/>
            </w:pPr>
            <w:r/>
            <w:r>
              <w:rPr>
                <w:rFonts w:ascii="Times New Roman" w:hAnsi="Times New Roman"/>
                <w:sz w:val="24"/>
              </w:rPr>
              <w:t>47,90149</w:t>
            </w:r>
          </w:p>
        </w:tc>
        <w:tc>
          <w:tcPr>
            <w:tcW w:type="dxa" w:w="1134"/>
          </w:tcPr>
          <w:p>
            <w:pPr>
              <w:ind w:firstLine="0"/>
              <w:jc w:val="left"/>
            </w:pPr>
            <w:r/>
            <w:r>
              <w:rPr>
                <w:rFonts w:ascii="Times New Roman" w:hAnsi="Times New Roman"/>
                <w:sz w:val="24"/>
              </w:rPr>
              <w:t>33,38531</w:t>
            </w:r>
          </w:p>
        </w:tc>
        <w:tc>
          <w:tcPr>
            <w:tcW w:type="dxa" w:w="2835"/>
          </w:tcPr>
          <w:p>
            <w:pPr>
              <w:ind w:firstLine="0"/>
              <w:jc w:val="left"/>
            </w:pPr>
            <w:r/>
            <w:r>
              <w:rPr>
                <w:rFonts w:ascii="Times New Roman" w:hAnsi="Times New Roman"/>
                <w:sz w:val="24"/>
              </w:rPr>
              <w:t>Міжрайонна, центрально-східна частина</w:t>
            </w:r>
          </w:p>
        </w:tc>
      </w:tr>
    </w:tbl>
    <w:p>
      <w:pPr>
        <w:spacing w:line="360" w:lineRule="auto"/>
        <w:ind w:firstLine="709"/>
        <w:jc w:val="both"/>
      </w:pPr>
      <w:r>
        <w:rPr>
          <w:rFonts w:ascii="Times New Roman" w:hAnsi="Times New Roman"/>
          <w:sz w:val="28"/>
        </w:rPr>
        <w:t>Просторовий розподіл індикативних станцій сконцентровано у північній частині міста — у Центрально-Міському районі та на межі з Покровським і Тернівським районами. Південна частина (Інгулецький район), яка історично представлена референтним постом № 6, індикативними станціями практично не охоплена. Така асиметрія є наслідком кадрових і ресурсних обмежень управління екології, але має конкретні методичні наслідки: для південних районів колокована оцінка коефіцієнта PM₁₀/TSP без додаткового розгортання індикативної мережі неможлива, що звужує круг придатних для колокації референтних постів і визначає вибір на користь постів № 3 і № 7.</w:t>
      </w:r>
    </w:p>
    <w:p>
      <w:pPr>
        <w:spacing w:line="360" w:lineRule="auto"/>
        <w:ind w:firstLine="709"/>
        <w:jc w:val="both"/>
      </w:pPr>
      <w:r>
        <w:rPr>
          <w:rFonts w:ascii="Times New Roman" w:hAnsi="Times New Roman"/>
          <w:sz w:val="28"/>
        </w:rPr>
        <w:t>Технічні характеристики моделі ENVEA Cairnet, що використовується у мережі Кривого Рогу, відповідають вимогам, які висуваються до індикативних засобів вимірювання згідно з Постановою КМУ № 827. Заявлені виробником діапазон вимірювання PM₁₀ — до 1 000 мкг/м³, межа виявлення — на рівні 0,1 мкг/м³ за п'ятнадцятихвилинного усереднення, час відгуку — менше 1 с, температурний діапазон — від мінус 20 до плюс 50 °C, діапазон вологості — від 0 до 95 % без конденсації [52]. Дані передаються через стільниковий канал GSM/4G з періодичністю не рідше п'ятнадцяти хвилин, що формує первинний потік даних високої роздільної здатності, що опрацьовується у наступних розділах дисертації.</w:t>
      </w:r>
    </w:p>
    <w:p>
      <w:pPr>
        <w:spacing w:line="360" w:lineRule="auto"/>
        <w:ind w:firstLine="709"/>
        <w:jc w:val="both"/>
      </w:pPr>
      <w:r>
        <w:rPr>
          <w:rFonts w:ascii="Times New Roman" w:hAnsi="Times New Roman"/>
          <w:sz w:val="28"/>
        </w:rPr>
        <w:t>Метрологічна повірка станцій ENVEA Cairnet виконується відповідно до процедури, передбаченої сертифікатом перевірки типу № UA.TR.001 11-22 Rev.3, з періодичністю один раз на рік. Повірка здійснюється у польових умовах із застосуванням еталонного оптичного сенсора того самого виробника, попередньо повіреного у лабораторії первинного метрологічного контролю. Результати повірки оформлюються свідоцтвом, що зберігається разом з технічним паспортом станції. Окрім обов'язкової повірки, програмою моніторингу передбачено щоквартальне технічне обслуговування індикативних станцій, що включає перевірку чистоти оптичного тракту, контроль роботи термостабілізації, перевірку нульового рівня сигналу та оновлення прошивки за необхідності. Витрати на ці процедури несе міський фонд охорони навколишнього природного середовища, що забезпечує інституційну стабільність обслуговування мережі.</w:t>
      </w:r>
    </w:p>
    <w:p>
      <w:pPr>
        <w:spacing w:line="360" w:lineRule="auto"/>
        <w:ind w:firstLine="709"/>
        <w:jc w:val="both"/>
      </w:pPr>
      <w:r>
        <w:rPr>
          <w:rFonts w:ascii="Times New Roman" w:hAnsi="Times New Roman"/>
          <w:sz w:val="28"/>
        </w:rPr>
        <w:t>Окремою важливою функціональною ознакою станцій ENVEA Cairnet є наявність вбудованих метеорологічних датчиків — температури повітря, відносної вологості та атмосферного тиску — з тим самим часовим кроком, що й вимірювання PM₁₀. Це створює можливість одночасного отримання індикативної масової концентрації і метеорологічних умов саме у точці вимірювання, на відміну від ситуації, коли метеорологічні дані беруться з віддаленої метеостанції. Для розробки моделі корекції індикативних вимірювань ця обставина значно підвищує статистичну якість сигналу, оскільки усуває просторову неузгодженість метеорологічних і газоаерозольних вимірювань.</w:t>
      </w:r>
    </w:p>
    <w:p>
      <w:pPr>
        <w:spacing w:line="360" w:lineRule="auto"/>
        <w:ind w:firstLine="709"/>
        <w:jc w:val="both"/>
      </w:pPr>
      <w:r>
        <w:rPr>
          <w:rFonts w:ascii="Times New Roman" w:hAnsi="Times New Roman"/>
          <w:sz w:val="28"/>
        </w:rPr>
        <w:t>Доступ до первинних даних станцій Cairnet здійснюється через хмарний сервіс CairCloud у форматі CSV з повною прив'язкою до часу за UTC і з кожним записом, що включає індикатор якості QC. Архів зберігає історію за період понад два роки, що забезпечує необхідну глибину для побудови сезонних і довгострокових узагальнень. Для кожної станції додатково доступний файл системних подій, який документує перерви у роботі, заміни компонентів і випадки калібрування заводським сервісом. Цей файл є самостійним документом метрологічної простежуваності і використовується у Розділі 4 для формування фільтра валідних періодів.</w:t>
      </w:r>
    </w:p>
    <w:p>
      <w:pPr>
        <w:spacing w:before="120" w:after="60"/>
        <w:ind w:firstLine="709"/>
        <w:jc w:val="left"/>
      </w:pPr>
      <w:r>
        <w:rPr>
          <w:rFonts w:ascii="Times New Roman" w:hAnsi="Times New Roman"/>
          <w:b/>
          <w:i/>
          <w:sz w:val="28"/>
        </w:rPr>
        <w:t>3.2.4 Аналіз просторового розташування й функціонального покриття</w:t>
      </w:r>
    </w:p>
    <w:p>
      <w:pPr>
        <w:spacing w:line="360" w:lineRule="auto"/>
        <w:ind w:firstLine="709"/>
        <w:jc w:val="both"/>
      </w:pPr>
      <w:r>
        <w:rPr>
          <w:rFonts w:ascii="Times New Roman" w:hAnsi="Times New Roman"/>
          <w:sz w:val="28"/>
        </w:rPr>
        <w:t>Просторова асиметрія мереж референтних і індикативних спостережень, описана в попередніх пунктах, безпосередньо впливає на можливість реалізації колокованих вимірювань. У таблиці 3.3 наведено матрицю взаємних відстаней між усіма референтними та індикативними пунктами агломерації, обчислену за формулою великих кіл (haversine formula) на основі координат WGS-84, поданих у таблицях 3.1 і 3.2.</w:t>
      </w:r>
    </w:p>
    <w:p>
      <w:pPr>
        <w:spacing w:before="120" w:after="60"/>
        <w:ind w:firstLine="0"/>
        <w:jc w:val="center"/>
      </w:pPr>
      <w:r>
        <w:rPr>
          <w:rFonts w:ascii="Times New Roman" w:hAnsi="Times New Roman"/>
          <w:b/>
          <w:sz w:val="28"/>
        </w:rPr>
        <w:t>Таблиця 3.3 — Матриця взаємних відстаней між референтними і індикативними пунктами, м</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417"/>
          </w:tcPr>
          <w:p>
            <w:pPr>
              <w:ind w:firstLine="0"/>
              <w:jc w:val="center"/>
            </w:pPr>
            <w:r/>
            <w:r>
              <w:rPr>
                <w:rFonts w:ascii="Times New Roman" w:hAnsi="Times New Roman"/>
                <w:b/>
                <w:sz w:val="24"/>
              </w:rPr>
            </w:r>
          </w:p>
        </w:tc>
        <w:tc>
          <w:tcPr>
            <w:tcW w:type="dxa" w:w="1701"/>
          </w:tcPr>
          <w:p>
            <w:pPr>
              <w:ind w:firstLine="0"/>
              <w:jc w:val="center"/>
            </w:pPr>
            <w:r/>
            <w:r>
              <w:rPr>
                <w:rFonts w:ascii="Times New Roman" w:hAnsi="Times New Roman"/>
                <w:b/>
                <w:sz w:val="24"/>
              </w:rPr>
              <w:t>post893 (pan2)</w:t>
            </w:r>
          </w:p>
        </w:tc>
        <w:tc>
          <w:tcPr>
            <w:tcW w:type="dxa" w:w="1701"/>
          </w:tcPr>
          <w:p>
            <w:pPr>
              <w:ind w:firstLine="0"/>
              <w:jc w:val="center"/>
            </w:pPr>
            <w:r/>
            <w:r>
              <w:rPr>
                <w:rFonts w:ascii="Times New Roman" w:hAnsi="Times New Roman"/>
                <w:b/>
                <w:sz w:val="24"/>
              </w:rPr>
              <w:t>post906 (pan3)</w:t>
            </w:r>
          </w:p>
        </w:tc>
        <w:tc>
          <w:tcPr>
            <w:tcW w:type="dxa" w:w="1701"/>
          </w:tcPr>
          <w:p>
            <w:pPr>
              <w:ind w:firstLine="0"/>
              <w:jc w:val="center"/>
            </w:pPr>
            <w:r/>
            <w:r>
              <w:rPr>
                <w:rFonts w:ascii="Times New Roman" w:hAnsi="Times New Roman"/>
                <w:b/>
                <w:sz w:val="24"/>
              </w:rPr>
              <w:t>post939 (pan5)</w:t>
            </w:r>
          </w:p>
        </w:tc>
        <w:tc>
          <w:tcPr>
            <w:tcW w:type="dxa" w:w="1701"/>
          </w:tcPr>
          <w:p>
            <w:pPr>
              <w:ind w:firstLine="0"/>
              <w:jc w:val="center"/>
            </w:pPr>
            <w:r/>
            <w:r>
              <w:rPr>
                <w:rFonts w:ascii="Times New Roman" w:hAnsi="Times New Roman"/>
                <w:b/>
                <w:sz w:val="24"/>
              </w:rPr>
              <w:t>post940 (pan6)</w:t>
            </w:r>
          </w:p>
        </w:tc>
      </w:tr>
      <w:tr>
        <w:tc>
          <w:tcPr>
            <w:tcW w:type="dxa" w:w="1417"/>
          </w:tcPr>
          <w:p>
            <w:pPr>
              <w:ind w:firstLine="0"/>
              <w:jc w:val="left"/>
            </w:pPr>
            <w:r/>
            <w:r>
              <w:rPr>
                <w:rFonts w:ascii="Times New Roman" w:hAnsi="Times New Roman"/>
                <w:sz w:val="24"/>
              </w:rPr>
              <w:t>ПСЗ № 1</w:t>
            </w:r>
          </w:p>
        </w:tc>
        <w:tc>
          <w:tcPr>
            <w:tcW w:type="dxa" w:w="1701"/>
          </w:tcPr>
          <w:p>
            <w:pPr>
              <w:ind w:firstLine="0"/>
              <w:jc w:val="left"/>
            </w:pPr>
            <w:r/>
            <w:r>
              <w:rPr>
                <w:rFonts w:ascii="Times New Roman" w:hAnsi="Times New Roman"/>
                <w:sz w:val="24"/>
              </w:rPr>
              <w:t>2 892</w:t>
            </w:r>
          </w:p>
        </w:tc>
        <w:tc>
          <w:tcPr>
            <w:tcW w:type="dxa" w:w="1701"/>
          </w:tcPr>
          <w:p>
            <w:pPr>
              <w:ind w:firstLine="0"/>
              <w:jc w:val="left"/>
            </w:pPr>
            <w:r/>
            <w:r>
              <w:rPr>
                <w:rFonts w:ascii="Times New Roman" w:hAnsi="Times New Roman"/>
                <w:sz w:val="24"/>
              </w:rPr>
              <w:t>1 936</w:t>
            </w:r>
          </w:p>
        </w:tc>
        <w:tc>
          <w:tcPr>
            <w:tcW w:type="dxa" w:w="1701"/>
          </w:tcPr>
          <w:p>
            <w:pPr>
              <w:ind w:firstLine="0"/>
              <w:jc w:val="left"/>
            </w:pPr>
            <w:r/>
            <w:r>
              <w:rPr>
                <w:rFonts w:ascii="Times New Roman" w:hAnsi="Times New Roman"/>
                <w:sz w:val="24"/>
              </w:rPr>
              <w:t>5 471</w:t>
            </w:r>
          </w:p>
        </w:tc>
        <w:tc>
          <w:tcPr>
            <w:tcW w:type="dxa" w:w="1701"/>
          </w:tcPr>
          <w:p>
            <w:pPr>
              <w:ind w:firstLine="0"/>
              <w:jc w:val="left"/>
            </w:pPr>
            <w:r/>
            <w:r>
              <w:rPr>
                <w:rFonts w:ascii="Times New Roman" w:hAnsi="Times New Roman"/>
                <w:sz w:val="24"/>
              </w:rPr>
              <w:t>2 546</w:t>
            </w:r>
          </w:p>
        </w:tc>
      </w:tr>
      <w:tr>
        <w:tc>
          <w:tcPr>
            <w:tcW w:type="dxa" w:w="1417"/>
          </w:tcPr>
          <w:p>
            <w:pPr>
              <w:ind w:firstLine="0"/>
              <w:jc w:val="left"/>
            </w:pPr>
            <w:r/>
            <w:r>
              <w:rPr>
                <w:rFonts w:ascii="Times New Roman" w:hAnsi="Times New Roman"/>
                <w:sz w:val="24"/>
              </w:rPr>
              <w:t>ПСЗ № 2</w:t>
            </w:r>
          </w:p>
        </w:tc>
        <w:tc>
          <w:tcPr>
            <w:tcW w:type="dxa" w:w="1701"/>
          </w:tcPr>
          <w:p>
            <w:pPr>
              <w:ind w:firstLine="0"/>
              <w:jc w:val="left"/>
            </w:pPr>
            <w:r/>
            <w:r>
              <w:rPr>
                <w:rFonts w:ascii="Times New Roman" w:hAnsi="Times New Roman"/>
                <w:sz w:val="24"/>
              </w:rPr>
              <w:t>5 075</w:t>
            </w:r>
          </w:p>
        </w:tc>
        <w:tc>
          <w:tcPr>
            <w:tcW w:type="dxa" w:w="1701"/>
          </w:tcPr>
          <w:p>
            <w:pPr>
              <w:ind w:firstLine="0"/>
              <w:jc w:val="left"/>
            </w:pPr>
            <w:r/>
            <w:r>
              <w:rPr>
                <w:rFonts w:ascii="Times New Roman" w:hAnsi="Times New Roman"/>
                <w:sz w:val="24"/>
              </w:rPr>
              <w:t>1 591</w:t>
            </w:r>
          </w:p>
        </w:tc>
        <w:tc>
          <w:tcPr>
            <w:tcW w:type="dxa" w:w="1701"/>
          </w:tcPr>
          <w:p>
            <w:pPr>
              <w:ind w:firstLine="0"/>
              <w:jc w:val="left"/>
            </w:pPr>
            <w:r/>
            <w:r>
              <w:rPr>
                <w:rFonts w:ascii="Times New Roman" w:hAnsi="Times New Roman"/>
                <w:sz w:val="24"/>
              </w:rPr>
              <w:t>2 139</w:t>
            </w:r>
          </w:p>
        </w:tc>
        <w:tc>
          <w:tcPr>
            <w:tcW w:type="dxa" w:w="1701"/>
          </w:tcPr>
          <w:p>
            <w:pPr>
              <w:ind w:firstLine="0"/>
              <w:jc w:val="left"/>
            </w:pPr>
            <w:r/>
            <w:r>
              <w:rPr>
                <w:rFonts w:ascii="Times New Roman" w:hAnsi="Times New Roman"/>
                <w:sz w:val="24"/>
              </w:rPr>
              <w:t>1 482</w:t>
            </w:r>
          </w:p>
        </w:tc>
      </w:tr>
      <w:tr>
        <w:tc>
          <w:tcPr>
            <w:tcW w:type="dxa" w:w="1417"/>
          </w:tcPr>
          <w:p>
            <w:pPr>
              <w:ind w:firstLine="0"/>
              <w:jc w:val="left"/>
            </w:pPr>
            <w:r/>
            <w:r>
              <w:rPr>
                <w:rFonts w:ascii="Times New Roman" w:hAnsi="Times New Roman"/>
                <w:sz w:val="24"/>
              </w:rPr>
              <w:t>ПСЗ № 3</w:t>
            </w:r>
          </w:p>
        </w:tc>
        <w:tc>
          <w:tcPr>
            <w:tcW w:type="dxa" w:w="1701"/>
          </w:tcPr>
          <w:p>
            <w:pPr>
              <w:ind w:firstLine="0"/>
              <w:jc w:val="left"/>
            </w:pPr>
            <w:r/>
            <w:r>
              <w:rPr>
                <w:rFonts w:ascii="Times New Roman" w:hAnsi="Times New Roman"/>
                <w:sz w:val="24"/>
              </w:rPr>
              <w:t>443</w:t>
            </w:r>
          </w:p>
        </w:tc>
        <w:tc>
          <w:tcPr>
            <w:tcW w:type="dxa" w:w="1701"/>
          </w:tcPr>
          <w:p>
            <w:pPr>
              <w:ind w:firstLine="0"/>
              <w:jc w:val="left"/>
            </w:pPr>
            <w:r/>
            <w:r>
              <w:rPr>
                <w:rFonts w:ascii="Times New Roman" w:hAnsi="Times New Roman"/>
                <w:sz w:val="24"/>
              </w:rPr>
              <w:t>4 224</w:t>
            </w:r>
          </w:p>
        </w:tc>
        <w:tc>
          <w:tcPr>
            <w:tcW w:type="dxa" w:w="1701"/>
          </w:tcPr>
          <w:p>
            <w:pPr>
              <w:ind w:firstLine="0"/>
              <w:jc w:val="left"/>
            </w:pPr>
            <w:r/>
            <w:r>
              <w:rPr>
                <w:rFonts w:ascii="Times New Roman" w:hAnsi="Times New Roman"/>
                <w:sz w:val="24"/>
              </w:rPr>
              <w:t>6 306</w:t>
            </w:r>
          </w:p>
        </w:tc>
        <w:tc>
          <w:tcPr>
            <w:tcW w:type="dxa" w:w="1701"/>
          </w:tcPr>
          <w:p>
            <w:pPr>
              <w:ind w:firstLine="0"/>
              <w:jc w:val="left"/>
            </w:pPr>
            <w:r/>
            <w:r>
              <w:rPr>
                <w:rFonts w:ascii="Times New Roman" w:hAnsi="Times New Roman"/>
                <w:sz w:val="24"/>
              </w:rPr>
              <w:t>3 556</w:t>
            </w:r>
          </w:p>
        </w:tc>
      </w:tr>
      <w:tr>
        <w:tc>
          <w:tcPr>
            <w:tcW w:type="dxa" w:w="1417"/>
          </w:tcPr>
          <w:p>
            <w:pPr>
              <w:ind w:firstLine="0"/>
              <w:jc w:val="left"/>
            </w:pPr>
            <w:r/>
            <w:r>
              <w:rPr>
                <w:rFonts w:ascii="Times New Roman" w:hAnsi="Times New Roman"/>
                <w:sz w:val="24"/>
              </w:rPr>
              <w:t>ПСЗ № 6</w:t>
            </w:r>
          </w:p>
        </w:tc>
        <w:tc>
          <w:tcPr>
            <w:tcW w:type="dxa" w:w="1701"/>
          </w:tcPr>
          <w:p>
            <w:pPr>
              <w:ind w:firstLine="0"/>
              <w:jc w:val="left"/>
            </w:pPr>
            <w:r/>
            <w:r>
              <w:rPr>
                <w:rFonts w:ascii="Times New Roman" w:hAnsi="Times New Roman"/>
                <w:sz w:val="24"/>
              </w:rPr>
              <w:t>7 371</w:t>
            </w:r>
          </w:p>
        </w:tc>
        <w:tc>
          <w:tcPr>
            <w:tcW w:type="dxa" w:w="1701"/>
          </w:tcPr>
          <w:p>
            <w:pPr>
              <w:ind w:firstLine="0"/>
              <w:jc w:val="left"/>
            </w:pPr>
            <w:r/>
            <w:r>
              <w:rPr>
                <w:rFonts w:ascii="Times New Roman" w:hAnsi="Times New Roman"/>
                <w:sz w:val="24"/>
              </w:rPr>
              <w:t>5 988</w:t>
            </w:r>
          </w:p>
        </w:tc>
        <w:tc>
          <w:tcPr>
            <w:tcW w:type="dxa" w:w="1701"/>
          </w:tcPr>
          <w:p>
            <w:pPr>
              <w:ind w:firstLine="0"/>
              <w:jc w:val="left"/>
            </w:pPr>
            <w:r/>
            <w:r>
              <w:rPr>
                <w:rFonts w:ascii="Times New Roman" w:hAnsi="Times New Roman"/>
                <w:sz w:val="24"/>
              </w:rPr>
              <w:t>9 521</w:t>
            </w:r>
          </w:p>
        </w:tc>
        <w:tc>
          <w:tcPr>
            <w:tcW w:type="dxa" w:w="1701"/>
          </w:tcPr>
          <w:p>
            <w:pPr>
              <w:ind w:firstLine="0"/>
              <w:jc w:val="left"/>
            </w:pPr>
            <w:r/>
            <w:r>
              <w:rPr>
                <w:rFonts w:ascii="Times New Roman" w:hAnsi="Times New Roman"/>
                <w:sz w:val="24"/>
              </w:rPr>
              <w:t>7 254</w:t>
            </w:r>
          </w:p>
        </w:tc>
      </w:tr>
      <w:tr>
        <w:tc>
          <w:tcPr>
            <w:tcW w:type="dxa" w:w="1417"/>
          </w:tcPr>
          <w:p>
            <w:pPr>
              <w:ind w:firstLine="0"/>
              <w:jc w:val="left"/>
            </w:pPr>
            <w:r/>
            <w:r>
              <w:rPr>
                <w:rFonts w:ascii="Times New Roman" w:hAnsi="Times New Roman"/>
                <w:sz w:val="24"/>
              </w:rPr>
              <w:t>ПСЗ № 7</w:t>
            </w:r>
          </w:p>
        </w:tc>
        <w:tc>
          <w:tcPr>
            <w:tcW w:type="dxa" w:w="1701"/>
          </w:tcPr>
          <w:p>
            <w:pPr>
              <w:ind w:firstLine="0"/>
              <w:jc w:val="left"/>
            </w:pPr>
            <w:r/>
            <w:r>
              <w:rPr>
                <w:rFonts w:ascii="Times New Roman" w:hAnsi="Times New Roman"/>
                <w:sz w:val="24"/>
              </w:rPr>
              <w:t>6 435</w:t>
            </w:r>
          </w:p>
        </w:tc>
        <w:tc>
          <w:tcPr>
            <w:tcW w:type="dxa" w:w="1701"/>
          </w:tcPr>
          <w:p>
            <w:pPr>
              <w:ind w:firstLine="0"/>
              <w:jc w:val="left"/>
            </w:pPr>
            <w:r/>
            <w:r>
              <w:rPr>
                <w:rFonts w:ascii="Times New Roman" w:hAnsi="Times New Roman"/>
                <w:sz w:val="24"/>
              </w:rPr>
              <w:t>3 202</w:t>
            </w:r>
          </w:p>
        </w:tc>
        <w:tc>
          <w:tcPr>
            <w:tcW w:type="dxa" w:w="1701"/>
          </w:tcPr>
          <w:p>
            <w:pPr>
              <w:ind w:firstLine="0"/>
              <w:jc w:val="left"/>
            </w:pPr>
            <w:r/>
            <w:r>
              <w:rPr>
                <w:rFonts w:ascii="Times New Roman" w:hAnsi="Times New Roman"/>
                <w:sz w:val="24"/>
              </w:rPr>
              <w:t>835</w:t>
            </w:r>
          </w:p>
        </w:tc>
        <w:tc>
          <w:tcPr>
            <w:tcW w:type="dxa" w:w="1701"/>
          </w:tcPr>
          <w:p>
            <w:pPr>
              <w:ind w:firstLine="0"/>
              <w:jc w:val="left"/>
            </w:pPr>
            <w:r/>
            <w:r>
              <w:rPr>
                <w:rFonts w:ascii="Times New Roman" w:hAnsi="Times New Roman"/>
                <w:sz w:val="24"/>
              </w:rPr>
              <w:t>2 855</w:t>
            </w:r>
          </w:p>
        </w:tc>
      </w:tr>
    </w:tbl>
    <w:p>
      <w:pPr>
        <w:spacing w:line="360" w:lineRule="auto"/>
        <w:ind w:firstLine="709"/>
        <w:jc w:val="both"/>
      </w:pPr>
      <w:r>
        <w:rPr>
          <w:rFonts w:ascii="Times New Roman" w:hAnsi="Times New Roman"/>
          <w:sz w:val="28"/>
        </w:rPr>
        <w:t>З наведеної матриці видно, що тільки дві пари референтних і індикативних пунктів задовольняють критерію просторової близькості, прийнятому у міжнародній практиці колокованих вимірювань (відстань менше 1 000 м для умов відкритої міської забудови). Це пара ПСЗ № 3 — post893 (pan2) з відстанню 443 м та пара ПСЗ № 7 — post939 (pan5) з відстанню 835 м. Усі інші пари характеризуються відстанями понад 1,4 км, що для умов промислово-металургійної агломерації, у якій локальні джерела формують значні горизонтальні градієнти концентрацій, виходить за межі прийнятної міжкомпонентної кореляції аерозолю.</w:t>
      </w:r>
    </w:p>
    <w:p>
      <w:pPr>
        <w:spacing w:line="360" w:lineRule="auto"/>
        <w:ind w:firstLine="709"/>
        <w:jc w:val="both"/>
      </w:pPr>
      <w:r>
        <w:rPr>
          <w:rFonts w:ascii="Times New Roman" w:hAnsi="Times New Roman"/>
          <w:sz w:val="28"/>
        </w:rPr>
        <w:t>Жоден із референтних постів № 1, 2 і 6 не має у радіусі 1,5 км індикативної станції, що робить ці пости непридатними для прямої колокації без додаткового розгортання нової індикативної точки. Такий захід виходить за межі дисертаційного дослідження і вимагає ресурсів, що належать до компетенції управління екологічної безпеки міської ради. Тому подальший аналіз обмежується двома колокованими парами, придатними у рамках чинної мережі: ПСЗ № 3 — post893 (pan2) та ПСЗ № 7 — post939 (pan5).</w:t>
      </w:r>
    </w:p>
    <w:p>
      <w:pPr>
        <w:spacing w:line="360" w:lineRule="auto"/>
        <w:ind w:firstLine="709"/>
        <w:jc w:val="both"/>
      </w:pPr>
      <w:r>
        <w:rPr>
          <w:rFonts w:ascii="Times New Roman" w:hAnsi="Times New Roman"/>
          <w:sz w:val="28"/>
        </w:rPr>
        <w:t>Функціональне покриття обох колокованих пар є взаємодоповнюючим. Пара ПСЗ № 3 — post893 (pan2) розташована у центральній частині міста, у безпосередній близькості від річки Саксагань, у зоні щільної цивільної забудови з вираженим транспортним трафіком; вона репрезентує тип «міський фон у промислово-урбанізованій агломерації». Пара ПСЗ № 7 — post939 (pan5) розташована у північно-східній периферійній частині Центрально-Міського району, у зоні житлової забудови з відносно меншим прямим впливом промислових об'єктів; вона репрезентує тип «житлова приземна зона». Така комбінація дозволяє зіставити типи аерозольного середовища, які найчастіше зустрічаються у промислових агломераціях України, а отже забезпечує науково обґрунтовану основу для подальших узагальнень результатів.</w:t>
      </w:r>
    </w:p>
    <w:p>
      <w:pPr>
        <w:spacing w:line="360" w:lineRule="auto"/>
        <w:ind w:firstLine="709"/>
        <w:jc w:val="both"/>
      </w:pPr>
      <w:r>
        <w:rPr>
          <w:rFonts w:ascii="Times New Roman" w:hAnsi="Times New Roman"/>
          <w:sz w:val="28"/>
        </w:rPr>
        <w:t>Окремий аспект функціонального покриття полягає у врахуванні вертикальної структури аерозолю. У межах міста Кривий Ріг висота забору проб на референтних постах становить 1,5–2 м, тоді як індикативні станції розміщено на висоті 3–4 м від рівня землі. Така різниця, з одного боку, формально залишається у межах допустимого діапазону для пунктів приземних спостережень, але з іншого може спричиняти систематичні відмінності у концентраціях, особливо у періоди стабільної атмосфери з вираженим вертикальним градієнтом. У наукових колокованих дослідженнях, виконаних Vogt M. et al. [9], показано, що відмінність висот забору приблизно на 2 м у міських умовах формує систематичне розходження середніх концентрацій PM₁₀ на рівні від 5 до 12 % залежно від погодних умов. Цей ефект є меншим за загальну невизначеність індикативних вимірювань і не перешкоджає використанню колокованої пари, але повинен бути врахований при інтерпретації абсолютних значень похибки корекційного алгоритму.</w:t>
      </w:r>
    </w:p>
    <w:p>
      <w:pPr>
        <w:spacing w:line="360" w:lineRule="auto"/>
        <w:ind w:firstLine="709"/>
        <w:jc w:val="both"/>
      </w:pPr>
      <w:r>
        <w:rPr>
          <w:rFonts w:ascii="Times New Roman" w:hAnsi="Times New Roman"/>
          <w:sz w:val="28"/>
        </w:rPr>
        <w:t>Не менш важливим є вплив локальної забудови на горизонтальне поле концентрацій. У центральній частині міста, де розташовані пара ПСЗ № 3 — pan2, на просторі між постом і станцією немає високих будівель, які б створювали затіняючий ефект для основних напрямків переносу повітря. Прибережна смуга річки Саксагань функціонує як природний коридор вентиляції, що додатково сприяє вирівнюванню концентрацій. Натомість на пів-нічно-східному периферійному майданчику пари ПСЗ № 7 — pan5 між інструментами проходить лінія залізниці і кілька великих житлових комплексів, що потенційно створює локальні аерозольні плями, асоційовані з проїздом локомотивів і виходом побутового опалення. Хоча сумарний внесок таких локальних джерел у TSP є відносно невеликим, для індикативного PM₁₀ він може стати помітним у короткотривалі періоди.</w:t>
      </w:r>
    </w:p>
    <w:p>
      <w:pPr>
        <w:spacing w:line="360" w:lineRule="auto"/>
        <w:ind w:firstLine="709"/>
        <w:jc w:val="both"/>
      </w:pPr>
      <w:r>
        <w:rPr>
          <w:rFonts w:ascii="Times New Roman" w:hAnsi="Times New Roman"/>
          <w:sz w:val="28"/>
        </w:rPr>
        <w:t>У таблиці 3.4 наведено зведення мінімальних відстаней від кожного референтного посту до найближчої індикативної станції разом з ідентифікацією цієї станції. Це представлення дозволяє наочно побачити, які з референтних пунктів мають потенціал для майбутнього розширення колокованої програми після додаткового розгортання індикативних станцій у відповідних зонах міста.</w:t>
      </w:r>
    </w:p>
    <w:p>
      <w:pPr>
        <w:spacing w:before="120" w:after="60"/>
        <w:ind w:firstLine="0"/>
        <w:jc w:val="center"/>
      </w:pPr>
      <w:r>
        <w:rPr>
          <w:rFonts w:ascii="Times New Roman" w:hAnsi="Times New Roman"/>
          <w:b/>
          <w:sz w:val="28"/>
        </w:rPr>
        <w:t>Таблиця 3.4 — Найближча індикативна станція для кожного референтного посту</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tcPr>
          <w:p>
            <w:pPr>
              <w:ind w:firstLine="0"/>
              <w:jc w:val="center"/>
            </w:pPr>
            <w:r/>
            <w:r>
              <w:rPr>
                <w:rFonts w:ascii="Times New Roman" w:hAnsi="Times New Roman"/>
                <w:b/>
                <w:sz w:val="24"/>
              </w:rPr>
              <w:t>Референтний пост</w:t>
            </w:r>
          </w:p>
        </w:tc>
        <w:tc>
          <w:tcPr>
            <w:tcW w:type="dxa" w:w="2268"/>
          </w:tcPr>
          <w:p>
            <w:pPr>
              <w:ind w:firstLine="0"/>
              <w:jc w:val="center"/>
            </w:pPr>
            <w:r/>
            <w:r>
              <w:rPr>
                <w:rFonts w:ascii="Times New Roman" w:hAnsi="Times New Roman"/>
                <w:b/>
                <w:sz w:val="24"/>
              </w:rPr>
              <w:t>Найближча індикативна станція</w:t>
            </w:r>
          </w:p>
        </w:tc>
        <w:tc>
          <w:tcPr>
            <w:tcW w:type="dxa" w:w="1417"/>
          </w:tcPr>
          <w:p>
            <w:pPr>
              <w:ind w:firstLine="0"/>
              <w:jc w:val="center"/>
            </w:pPr>
            <w:r/>
            <w:r>
              <w:rPr>
                <w:rFonts w:ascii="Times New Roman" w:hAnsi="Times New Roman"/>
                <w:b/>
                <w:sz w:val="24"/>
              </w:rPr>
              <w:t>Відстань, м</w:t>
            </w:r>
          </w:p>
        </w:tc>
        <w:tc>
          <w:tcPr>
            <w:tcW w:type="dxa" w:w="2835"/>
          </w:tcPr>
          <w:p>
            <w:pPr>
              <w:ind w:firstLine="0"/>
              <w:jc w:val="center"/>
            </w:pPr>
            <w:r/>
            <w:r>
              <w:rPr>
                <w:rFonts w:ascii="Times New Roman" w:hAnsi="Times New Roman"/>
                <w:b/>
                <w:sz w:val="24"/>
              </w:rPr>
              <w:t>Функціональна сумісність</w:t>
            </w:r>
          </w:p>
        </w:tc>
      </w:tr>
      <w:tr>
        <w:tc>
          <w:tcPr>
            <w:tcW w:type="dxa" w:w="1701"/>
          </w:tcPr>
          <w:p>
            <w:pPr>
              <w:ind w:firstLine="0"/>
              <w:jc w:val="left"/>
            </w:pPr>
            <w:r/>
            <w:r>
              <w:rPr>
                <w:rFonts w:ascii="Times New Roman" w:hAnsi="Times New Roman"/>
                <w:sz w:val="24"/>
              </w:rPr>
              <w:t>ПСЗ № 1</w:t>
            </w:r>
          </w:p>
        </w:tc>
        <w:tc>
          <w:tcPr>
            <w:tcW w:type="dxa" w:w="2268"/>
          </w:tcPr>
          <w:p>
            <w:pPr>
              <w:ind w:firstLine="0"/>
              <w:jc w:val="left"/>
            </w:pPr>
            <w:r/>
            <w:r>
              <w:rPr>
                <w:rFonts w:ascii="Times New Roman" w:hAnsi="Times New Roman"/>
                <w:sz w:val="24"/>
              </w:rPr>
              <w:t>post906 (pan3)</w:t>
            </w:r>
          </w:p>
        </w:tc>
        <w:tc>
          <w:tcPr>
            <w:tcW w:type="dxa" w:w="1417"/>
          </w:tcPr>
          <w:p>
            <w:pPr>
              <w:ind w:firstLine="0"/>
              <w:jc w:val="left"/>
            </w:pPr>
            <w:r/>
            <w:r>
              <w:rPr>
                <w:rFonts w:ascii="Times New Roman" w:hAnsi="Times New Roman"/>
                <w:sz w:val="24"/>
              </w:rPr>
              <w:t>1 936</w:t>
            </w:r>
          </w:p>
        </w:tc>
        <w:tc>
          <w:tcPr>
            <w:tcW w:type="dxa" w:w="2835"/>
          </w:tcPr>
          <w:p>
            <w:pPr>
              <w:ind w:firstLine="0"/>
              <w:jc w:val="left"/>
            </w:pPr>
            <w:r/>
            <w:r>
              <w:rPr>
                <w:rFonts w:ascii="Times New Roman" w:hAnsi="Times New Roman"/>
                <w:sz w:val="24"/>
              </w:rPr>
              <w:t>Часткова: різні мікрозони</w:t>
            </w:r>
          </w:p>
        </w:tc>
      </w:tr>
      <w:tr>
        <w:tc>
          <w:tcPr>
            <w:tcW w:type="dxa" w:w="1701"/>
          </w:tcPr>
          <w:p>
            <w:pPr>
              <w:ind w:firstLine="0"/>
              <w:jc w:val="left"/>
            </w:pPr>
            <w:r/>
            <w:r>
              <w:rPr>
                <w:rFonts w:ascii="Times New Roman" w:hAnsi="Times New Roman"/>
                <w:sz w:val="24"/>
              </w:rPr>
              <w:t>ПСЗ № 2</w:t>
            </w:r>
          </w:p>
        </w:tc>
        <w:tc>
          <w:tcPr>
            <w:tcW w:type="dxa" w:w="2268"/>
          </w:tcPr>
          <w:p>
            <w:pPr>
              <w:ind w:firstLine="0"/>
              <w:jc w:val="left"/>
            </w:pPr>
            <w:r/>
            <w:r>
              <w:rPr>
                <w:rFonts w:ascii="Times New Roman" w:hAnsi="Times New Roman"/>
                <w:sz w:val="24"/>
              </w:rPr>
              <w:t>post940 (pan6)</w:t>
            </w:r>
          </w:p>
        </w:tc>
        <w:tc>
          <w:tcPr>
            <w:tcW w:type="dxa" w:w="1417"/>
          </w:tcPr>
          <w:p>
            <w:pPr>
              <w:ind w:firstLine="0"/>
              <w:jc w:val="left"/>
            </w:pPr>
            <w:r/>
            <w:r>
              <w:rPr>
                <w:rFonts w:ascii="Times New Roman" w:hAnsi="Times New Roman"/>
                <w:sz w:val="24"/>
              </w:rPr>
              <w:t>1 482</w:t>
            </w:r>
          </w:p>
        </w:tc>
        <w:tc>
          <w:tcPr>
            <w:tcW w:type="dxa" w:w="2835"/>
          </w:tcPr>
          <w:p>
            <w:pPr>
              <w:ind w:firstLine="0"/>
              <w:jc w:val="left"/>
            </w:pPr>
            <w:r/>
            <w:r>
              <w:rPr>
                <w:rFonts w:ascii="Times New Roman" w:hAnsi="Times New Roman"/>
                <w:sz w:val="24"/>
              </w:rPr>
              <w:t>Низька: потрібне доуточнення</w:t>
            </w:r>
          </w:p>
        </w:tc>
      </w:tr>
      <w:tr>
        <w:tc>
          <w:tcPr>
            <w:tcW w:type="dxa" w:w="1701"/>
          </w:tcPr>
          <w:p>
            <w:pPr>
              <w:ind w:firstLine="0"/>
              <w:jc w:val="left"/>
            </w:pPr>
            <w:r/>
            <w:r>
              <w:rPr>
                <w:rFonts w:ascii="Times New Roman" w:hAnsi="Times New Roman"/>
                <w:sz w:val="24"/>
              </w:rPr>
              <w:t>ПСЗ № 3</w:t>
            </w:r>
          </w:p>
        </w:tc>
        <w:tc>
          <w:tcPr>
            <w:tcW w:type="dxa" w:w="2268"/>
          </w:tcPr>
          <w:p>
            <w:pPr>
              <w:ind w:firstLine="0"/>
              <w:jc w:val="left"/>
            </w:pPr>
            <w:r/>
            <w:r>
              <w:rPr>
                <w:rFonts w:ascii="Times New Roman" w:hAnsi="Times New Roman"/>
                <w:sz w:val="24"/>
              </w:rPr>
              <w:t>post893 (pan2)</w:t>
            </w:r>
          </w:p>
        </w:tc>
        <w:tc>
          <w:tcPr>
            <w:tcW w:type="dxa" w:w="1417"/>
          </w:tcPr>
          <w:p>
            <w:pPr>
              <w:ind w:firstLine="0"/>
              <w:jc w:val="left"/>
            </w:pPr>
            <w:r/>
            <w:r>
              <w:rPr>
                <w:rFonts w:ascii="Times New Roman" w:hAnsi="Times New Roman"/>
                <w:sz w:val="24"/>
              </w:rPr>
              <w:t>443</w:t>
            </w:r>
          </w:p>
        </w:tc>
        <w:tc>
          <w:tcPr>
            <w:tcW w:type="dxa" w:w="2835"/>
          </w:tcPr>
          <w:p>
            <w:pPr>
              <w:ind w:firstLine="0"/>
              <w:jc w:val="left"/>
            </w:pPr>
            <w:r/>
            <w:r>
              <w:rPr>
                <w:rFonts w:ascii="Times New Roman" w:hAnsi="Times New Roman"/>
                <w:sz w:val="24"/>
              </w:rPr>
              <w:t>Висока: міський фон, спільна мікрозона</w:t>
            </w:r>
          </w:p>
        </w:tc>
      </w:tr>
      <w:tr>
        <w:tc>
          <w:tcPr>
            <w:tcW w:type="dxa" w:w="1701"/>
          </w:tcPr>
          <w:p>
            <w:pPr>
              <w:ind w:firstLine="0"/>
              <w:jc w:val="left"/>
            </w:pPr>
            <w:r/>
            <w:r>
              <w:rPr>
                <w:rFonts w:ascii="Times New Roman" w:hAnsi="Times New Roman"/>
                <w:sz w:val="24"/>
              </w:rPr>
              <w:t>ПСЗ № 6</w:t>
            </w:r>
          </w:p>
        </w:tc>
        <w:tc>
          <w:tcPr>
            <w:tcW w:type="dxa" w:w="2268"/>
          </w:tcPr>
          <w:p>
            <w:pPr>
              <w:ind w:firstLine="0"/>
              <w:jc w:val="left"/>
            </w:pPr>
            <w:r/>
            <w:r>
              <w:rPr>
                <w:rFonts w:ascii="Times New Roman" w:hAnsi="Times New Roman"/>
                <w:sz w:val="24"/>
              </w:rPr>
              <w:t>post906 (pan3)</w:t>
            </w:r>
          </w:p>
        </w:tc>
        <w:tc>
          <w:tcPr>
            <w:tcW w:type="dxa" w:w="1417"/>
          </w:tcPr>
          <w:p>
            <w:pPr>
              <w:ind w:firstLine="0"/>
              <w:jc w:val="left"/>
            </w:pPr>
            <w:r/>
            <w:r>
              <w:rPr>
                <w:rFonts w:ascii="Times New Roman" w:hAnsi="Times New Roman"/>
                <w:sz w:val="24"/>
              </w:rPr>
              <w:t>5 988</w:t>
            </w:r>
          </w:p>
        </w:tc>
        <w:tc>
          <w:tcPr>
            <w:tcW w:type="dxa" w:w="2835"/>
          </w:tcPr>
          <w:p>
            <w:pPr>
              <w:ind w:firstLine="0"/>
              <w:jc w:val="left"/>
            </w:pPr>
            <w:r/>
            <w:r>
              <w:rPr>
                <w:rFonts w:ascii="Times New Roman" w:hAnsi="Times New Roman"/>
                <w:sz w:val="24"/>
              </w:rPr>
              <w:t>Дуже низька: різні функціональні райони</w:t>
            </w:r>
          </w:p>
        </w:tc>
      </w:tr>
      <w:tr>
        <w:tc>
          <w:tcPr>
            <w:tcW w:type="dxa" w:w="1701"/>
          </w:tcPr>
          <w:p>
            <w:pPr>
              <w:ind w:firstLine="0"/>
              <w:jc w:val="left"/>
            </w:pPr>
            <w:r/>
            <w:r>
              <w:rPr>
                <w:rFonts w:ascii="Times New Roman" w:hAnsi="Times New Roman"/>
                <w:sz w:val="24"/>
              </w:rPr>
              <w:t>ПСЗ № 7</w:t>
            </w:r>
          </w:p>
        </w:tc>
        <w:tc>
          <w:tcPr>
            <w:tcW w:type="dxa" w:w="2268"/>
          </w:tcPr>
          <w:p>
            <w:pPr>
              <w:ind w:firstLine="0"/>
              <w:jc w:val="left"/>
            </w:pPr>
            <w:r/>
            <w:r>
              <w:rPr>
                <w:rFonts w:ascii="Times New Roman" w:hAnsi="Times New Roman"/>
                <w:sz w:val="24"/>
              </w:rPr>
              <w:t>post939 (pan5)</w:t>
            </w:r>
          </w:p>
        </w:tc>
        <w:tc>
          <w:tcPr>
            <w:tcW w:type="dxa" w:w="1417"/>
          </w:tcPr>
          <w:p>
            <w:pPr>
              <w:ind w:firstLine="0"/>
              <w:jc w:val="left"/>
            </w:pPr>
            <w:r/>
            <w:r>
              <w:rPr>
                <w:rFonts w:ascii="Times New Roman" w:hAnsi="Times New Roman"/>
                <w:sz w:val="24"/>
              </w:rPr>
              <w:t>835</w:t>
            </w:r>
          </w:p>
        </w:tc>
        <w:tc>
          <w:tcPr>
            <w:tcW w:type="dxa" w:w="2835"/>
          </w:tcPr>
          <w:p>
            <w:pPr>
              <w:ind w:firstLine="0"/>
              <w:jc w:val="left"/>
            </w:pPr>
            <w:r/>
            <w:r>
              <w:rPr>
                <w:rFonts w:ascii="Times New Roman" w:hAnsi="Times New Roman"/>
                <w:sz w:val="24"/>
              </w:rPr>
              <w:t>Висока: спільна житлова зона</w:t>
            </w:r>
          </w:p>
        </w:tc>
      </w:tr>
    </w:tbl>
    <w:p>
      <w:pPr>
        <w:spacing w:line="360" w:lineRule="auto"/>
        <w:ind w:firstLine="709"/>
        <w:jc w:val="both"/>
      </w:pPr>
      <w:r>
        <w:rPr>
          <w:rFonts w:ascii="Times New Roman" w:hAnsi="Times New Roman"/>
          <w:sz w:val="28"/>
        </w:rPr>
        <w:t>Аналіз таблиці 3.4 додатково підтверджує, що повноцінна колокована програма у Кривому Розі станом на момент дисертаційного дослідження реалізується у двох пунктах — ПСЗ № 3 і ПСЗ № 7. Перенесення цієї практики на південні і західні райони (ПСЗ № 1, 2, 6) у майбутньому потребуватиме встановлення додаткових індикативних станцій, попередньо у межах не більше 500 м від відповідних референтних постів. Така оцінка має не лише методичне, а й управлінське значення для розробки нової редакції програми моніторингу агломерації на 2027–2031 роки, що готується Криворізькою міською радою [49].</w:t>
      </w:r>
    </w:p>
    <w:p>
      <w:pPr>
        <w:spacing w:before="240" w:after="120"/>
        <w:ind w:firstLine="0"/>
        <w:jc w:val="center"/>
      </w:pPr>
      <w:r>
        <w:rPr>
          <w:rFonts w:ascii="Times New Roman" w:hAnsi="Times New Roman"/>
          <w:b/>
          <w:sz w:val="28"/>
        </w:rPr>
        <w:t>3.3 Обґрунтування проведення колокованих вимірювань</w:t>
      </w:r>
    </w:p>
    <w:p>
      <w:pPr>
        <w:spacing w:line="360" w:lineRule="auto"/>
        <w:ind w:firstLine="709"/>
        <w:jc w:val="both"/>
      </w:pPr>
      <w:r>
        <w:rPr>
          <w:rFonts w:ascii="Times New Roman" w:hAnsi="Times New Roman"/>
          <w:sz w:val="28"/>
        </w:rPr>
        <w:t>Поняття колокованих вимірювань (collocated measurements) у міжнародній метрологічній практиці позначає одночасні вимірювання однієї й тієї ж величини декількома засобами вимірювальної техніки, розташованими таким чином, що різниця у місці відбору проб не може спричинити статистично значущих відмінностей у вимірюваних значеннях. Цей принцип використовується для оцінювання відтворюваності, перевірки еквівалентності неординарного методу референтному, виявлення систематичних похибок та для калібрування одних засобів вимірювання за іншими. У контексті моніторингу якості атмосферного повітря колоковані вимірювання є базовим інструментом не лише для перевірки технічного стану однотипних приладів, а й для встановлення кількісних співвідношень між різними параметрами аерозольного середовища, які підлягають одночасному контролю.</w:t>
      </w:r>
    </w:p>
    <w:p>
      <w:pPr>
        <w:spacing w:before="120" w:after="60"/>
        <w:ind w:firstLine="709"/>
        <w:jc w:val="left"/>
      </w:pPr>
      <w:r>
        <w:rPr>
          <w:rFonts w:ascii="Times New Roman" w:hAnsi="Times New Roman"/>
          <w:b/>
          <w:i/>
          <w:sz w:val="28"/>
        </w:rPr>
        <w:t>3.3.1 Нормативно-методичне визначення колокованих вимірювань</w:t>
      </w:r>
    </w:p>
    <w:p>
      <w:pPr>
        <w:spacing w:line="360" w:lineRule="auto"/>
        <w:ind w:firstLine="709"/>
        <w:jc w:val="both"/>
      </w:pPr>
      <w:r>
        <w:rPr>
          <w:rFonts w:ascii="Times New Roman" w:hAnsi="Times New Roman"/>
          <w:sz w:val="28"/>
        </w:rPr>
        <w:t>У європейській практиці методичне підґрунтя проведення колокованих вимірювань викладено у Керівництві з демонстрації еквівалентності методів моніторингу атмосферного повітря (Guide for the Demonstration of Equivalence of Ambient Air Monitoring Methods, GDE), розробленому Європейським директоратом з охорони довкілля у редакції 2010 року [53]. У документі встановлено, що для демонстрації еквівалентності кандидатного методу референтному необхідно провести паралельні вимірювання у декількох пунктах, що покривають різні рівні концентрацій і погодні умови, причому колокованими вважаються пункти, у яких відстань між точками відбору проб не перевищує меж, встановлених Додатком 6 цього Керівництва. Окремий пункт документа визначає, що для пар із порівнянної точки колокації відстань між забірними отворами інструментів не повинна перевищувати приблизно 1 м у вертикальному напрямі і 4 м у горизонтальному, хоча на практиці допускаються більші розходження за умови обґрунтованої відсутності просторових градієнтів.</w:t>
      </w:r>
    </w:p>
    <w:p>
      <w:pPr>
        <w:spacing w:line="360" w:lineRule="auto"/>
        <w:ind w:firstLine="709"/>
        <w:jc w:val="both"/>
      </w:pPr>
      <w:r>
        <w:rPr>
          <w:rFonts w:ascii="Times New Roman" w:hAnsi="Times New Roman"/>
          <w:sz w:val="28"/>
        </w:rPr>
        <w:t>Стандарт EN 12341 у редакції 2014 року, який служить базовим документом для проведення гравіметричних вимірювань PM₁₀ і PM₂,₅, також звертається до колокованих вимірювань як до обов'язкового елементу контролю відтворюваності між однотипними відбірниками [51]. У стандарті встановлено, що для пар однотипних референтних відбірників, розташованих на одному майданчику, середньоквадратичне відхилення відносної різниці добових концентрацій PM₁₀ не повинне перевищувати 5 % при концентраціях понад 30 мкг/м³ і 1,5 мкг/м³ за абсолютним значенням при концентраціях нижче 30 мкг/м³. Цей нормативний поріг визначає верхню межу очікуваної ширини довірчого інтервалу при будь-яких подальших розрахунках на основі колокованих вимірювань.</w:t>
      </w:r>
    </w:p>
    <w:p>
      <w:pPr>
        <w:spacing w:line="360" w:lineRule="auto"/>
        <w:ind w:firstLine="709"/>
        <w:jc w:val="both"/>
      </w:pPr>
      <w:r>
        <w:rPr>
          <w:rFonts w:ascii="Times New Roman" w:hAnsi="Times New Roman"/>
          <w:sz w:val="28"/>
        </w:rPr>
        <w:t>У Сполучених Штатах Америки відповідні принципи закріплені у методичних документах Агентства з охорони довкілля (US EPA) серії QA/G-5 та у Кодексі федеральних регуляцій 40 CFR Part 58, Appendix A [54]. У документі QA/G-5 визначено, що колоковані вимірювання для оцінювання прецизійності повинні становити не менше п'ятнадцяти відсотків від загальної кількості пунктів мережі, з рекомендованою відстанню між парними інструментами не більше 4 м по горизонталі і 1 м по вертикалі для PM-моніторингу. Стандарт також передбачає коригування цих відстаней у випадках, коли просторові обмеження не дозволяють розташувати інструменти ближче. Для індикативних мінестанцій, до яких належать прилади ENVEA Cairnet, ці значення розглядаються як орієнтовні, оскільки сама природа оптичних сенсорів передбачає більший допустимий діапазон просторової невідповідності.</w:t>
      </w:r>
    </w:p>
    <w:p>
      <w:pPr>
        <w:spacing w:line="360" w:lineRule="auto"/>
        <w:ind w:firstLine="709"/>
        <w:jc w:val="both"/>
      </w:pPr>
      <w:r>
        <w:rPr>
          <w:rFonts w:ascii="Times New Roman" w:hAnsi="Times New Roman"/>
          <w:sz w:val="28"/>
        </w:rPr>
        <w:t>У вітчизняній нормативній базі прямого визначення поняття «колоковані вимірювання» у тексті чинних документів немає, проте методично еквівалентний підхід реалізовано у програмах моніторингу зон і агломерацій, де передбачено можливість використання даних індикативної мережі для уточнення референтних вимірювань і навпаки [49]. Такий взаємний обмін даними відповідає логіці комбінованого оцінювання, передбаченого Постановою КМУ № 827, і створює правову основу для проведення наукових колокованих досліджень у тих пунктах, де обидві мережі просторово близькі.</w:t>
      </w:r>
    </w:p>
    <w:p>
      <w:pPr>
        <w:spacing w:line="360" w:lineRule="auto"/>
        <w:ind w:firstLine="709"/>
        <w:jc w:val="both"/>
      </w:pPr>
      <w:r>
        <w:rPr>
          <w:rFonts w:ascii="Times New Roman" w:hAnsi="Times New Roman"/>
          <w:sz w:val="28"/>
        </w:rPr>
        <w:t>Історично термін «collocated measurements» закріпився у метрологічній практиці США наприкінці 1970-х років, коли Агентство з охорони довкілля сформувало програму національного моніторингу атмосферного повітря (NAMS) і запровадило обов'язкове дублювання частини пунктів парними інструментами для контролю прецизійності. Концепція пізніше адаптована у європейській нормативній базі — спочатку у формі національних протоколів країн ЄС, а з 2010 року — у вигляді узгодженого Керівництва з демонстрації еквівалентності, видання Європейської Комісії [53]. У сучасній редакції цього документа закладено уніфікований статистичний апарат, що дозволяє за результатами колокованих вимірювань обчислювати показники: відносну зміщеність (relative bias), коефіцієнт нахилу регресії (slope), вільний член (intercept), коефіцієнт детермінації (R²), розширену невизначеність (expanded uncertainty). Усі ці показники використовуються у наступних розділах дисертації для оцінювання якості розробленого алгоритму корекції.</w:t>
      </w:r>
    </w:p>
    <w:p>
      <w:pPr>
        <w:spacing w:line="360" w:lineRule="auto"/>
        <w:ind w:firstLine="709"/>
        <w:jc w:val="both"/>
      </w:pPr>
      <w:r>
        <w:rPr>
          <w:rFonts w:ascii="Times New Roman" w:hAnsi="Times New Roman"/>
          <w:sz w:val="28"/>
        </w:rPr>
        <w:t>Окрім кількісних критеріїв відстаней, нормативні документи ставлять вимоги і до однорідності умов забору проб. Висота забірних отворів повинна бути узгоджена в межах одного метра, а орієнтація отворів — забезпечувати однакові умови впливу вітру і опадів. У Керівництві GDE 2010 окремо наголошено, що порушення однорідності умов часто породжує систематичну, а не випадкову похибку у міжприладному порівнянні, причому величина цієї похибки може суттєво перевищувати власну невизначеність вимірювань. Ця обставина має пряме відношення до інтерпретації даних колокованої пари ПСЗ № 3 — pan2: відмінність висот забору (приблизно 1,7 м для TSP проти 4 м для оптичного сенсора) повинна бути врахована у моделі корекції як стала або як функціонально залежна від вертикального профілю аерозолю в приземному шарі.</w:t>
      </w:r>
    </w:p>
    <w:p>
      <w:pPr>
        <w:spacing w:before="120" w:after="60"/>
        <w:ind w:firstLine="709"/>
        <w:jc w:val="left"/>
      </w:pPr>
      <w:r>
        <w:rPr>
          <w:rFonts w:ascii="Times New Roman" w:hAnsi="Times New Roman"/>
          <w:b/>
          <w:i/>
          <w:sz w:val="28"/>
        </w:rPr>
        <w:t>3.3.2 Особливості застосування колокованих вимірювань для пар TSP/PM₁₀</w:t>
      </w:r>
    </w:p>
    <w:p>
      <w:pPr>
        <w:spacing w:line="360" w:lineRule="auto"/>
        <w:ind w:firstLine="709"/>
        <w:jc w:val="both"/>
      </w:pPr>
      <w:r>
        <w:rPr>
          <w:rFonts w:ascii="Times New Roman" w:hAnsi="Times New Roman"/>
          <w:sz w:val="28"/>
        </w:rPr>
        <w:t>Прикладна цінність колокованих вимірювань у задачі визначення коефіцієнта PM₁₀/TSP полягає у тому, що референтний показник загального пилу (TSP) і індикативний показник PM₁₀ за фізичним змістом повинні бути зв'язані залежністю PM₁₀ ≤ TSP, оскільки PM₁₀ є частиною TSP за визначенням [25]. Однак реальні вимірювання можуть давати відхилення від цієї нерівності з декількох причин. Перша причина — інструменти TSP і PM₁₀ характеризуються різними кривими ефективності уловлювання за діаметром частинок: для TSP застосовуються інерційні відбірники з номінальною межею за аеродинамічним діаметром на рівні 30–40 мкм, тоді як референтні відбірники PM₁₀ мають імпактор з 50-відсотковою точкою відсікання при 10 мкм, а індикативні оптичні сенсори визначають границю фракції за розрахунком на основі індексу заломлення стандартного аерозолю. Друга причина — відбір проб TSP виконується дискретно (експонування фільтра 30 хв у фіксовані часи), тоді як індикативний PM₁₀ визначається безперервно (15-хвилинне ковзне усереднення), що при випадковому збігу пікового епізоду з моментом одного з методів може породити локальне порушення нерівності.</w:t>
      </w:r>
    </w:p>
    <w:p>
      <w:pPr>
        <w:spacing w:line="360" w:lineRule="auto"/>
        <w:ind w:firstLine="709"/>
        <w:jc w:val="both"/>
      </w:pPr>
      <w:r>
        <w:rPr>
          <w:rFonts w:ascii="Times New Roman" w:hAnsi="Times New Roman"/>
          <w:sz w:val="28"/>
        </w:rPr>
        <w:t>З точки зору екологічної безпеки колоковані вимірювання TSP і PM₁₀ мають принципову цінність як єдиний методично обґрунтований інструмент перерахунку історичних рядів TSP у сучасні нормативно-релевантні значення PM₁₀. Україна має десятиріччя накопичених спостережень загального пилу на постах гідрометеорологічної мережі, тоді як систематичні референтні вимірювання PM₁₀ почали з'являтися лише у 2010-х роках і досі охоплюють обмежену кількість пунктів. Без коефіцієнта перерахунку, обґрунтованого для конкретного регіону, накопичені ряди TSP не можуть бути використані ні для оцінки відповідності новим граничним значенням PM₁₀ за Директивою (EU) 2024/2881, ні для аналізу довгострокової динаміки забруднення [11]. Колоковані вимірювання саме на постах гідрометеорологічної мережі і поряд з ними сертифікованих індикативних станцій надають таку можливість.</w:t>
      </w:r>
    </w:p>
    <w:p>
      <w:pPr>
        <w:spacing w:line="360" w:lineRule="auto"/>
        <w:ind w:firstLine="709"/>
        <w:jc w:val="both"/>
      </w:pPr>
      <w:r>
        <w:rPr>
          <w:rFonts w:ascii="Times New Roman" w:hAnsi="Times New Roman"/>
          <w:sz w:val="28"/>
        </w:rPr>
        <w:t>У міжнародній науковій практиці накопичено значний обсяг досліджень, у яких коефіцієнт PM₁₀/TSP оцінено через колоковані вимірювання. Brook et al. для умов канадських міст отримали усереднене значення близько 0,44 [7]. Monn et al. для альпійських і урбанізованих умов Швейцарії отримали діапазон 0,60–0,75 [26]. Tolis et al. для зон, прилеглих до видобувних і енергетичних об'єктів Греції, повідомляють про значення 0,55–0,65 [29]. У всіх наведених роботах автори наголошують, що отриманий коефіцієнт має локальний характер і не повинен бути перенесений на інше місто без перевірки. Цей висновок прямо релевантний для Криворізької агломерації, для якої досі не виконувалися колоковані дослідження PM₁₀/TSP.</w:t>
      </w:r>
    </w:p>
    <w:p>
      <w:pPr>
        <w:spacing w:line="360" w:lineRule="auto"/>
        <w:ind w:firstLine="709"/>
        <w:jc w:val="both"/>
      </w:pPr>
      <w:r>
        <w:rPr>
          <w:rFonts w:ascii="Times New Roman" w:hAnsi="Times New Roman"/>
          <w:sz w:val="28"/>
        </w:rPr>
        <w:t>Глибший аналіз вибраних міжнародних робіт показує, що у більшості випадків автори використовували одне з трьох методичних рішень. Перше рішення — паралельне розгортання однотипних референтних відбірників TSP і PM₁₀ на одному майданчику. Це рішення застосоване у роботах Brook et al. [7], Mitra та Bhattacharyya [27], Tolis et al. [29], Keresztesi Á. et al. [28]. Воно гарантує максимальну просторову однорідність, але вимагає значних ресурсів і фактично подвоює інфраструктуру моніторингу. Друге рішення — використання одного відбірника зі змінним вхідним пристроєм, що почергово відбирає TSP і PM₁₀ в однакові часові вікна. Цей підхід реалізовано у деяких американських роботах, включаючи дослідження компанії US EPA [25]; він простіше у реалізації, але обмежує одночасність вимірювань і не придатний для безперервної індикативної мережі. Третє рішення — постфактумне зіставлення референтних і індикативних даних, отриманих на просторово близьких, але не колокованих фізично пунктах. Це найгнучкіший підхід, що застосовується у дисертаційному дослідженні; його обмеженням є необхідність окремого аналізу впливу просторової невідповідності на якість сполучення даних.</w:t>
      </w:r>
    </w:p>
    <w:p>
      <w:pPr>
        <w:spacing w:line="360" w:lineRule="auto"/>
        <w:ind w:firstLine="709"/>
        <w:jc w:val="both"/>
      </w:pPr>
      <w:r>
        <w:rPr>
          <w:rFonts w:ascii="Times New Roman" w:hAnsi="Times New Roman"/>
          <w:sz w:val="28"/>
        </w:rPr>
        <w:t>Окремою важливою науковою лінією у цій галузі є дослідження, у яких колоковані вимірювання використовуються не для обчислення коефіцієнта PM₁₀/TSP, а для побудови корекційних функцій, які приводять у відповідність дані індикативних оптичних сенсорів до референтного гравіметричного методу. Owczarek T. виконав порівняння низькобюджетних оптичних сенсорів з референтним методом у Польщі і запропонував набір корекційних функцій з різним функціональним виглядом — лінійну регресію, поліноміальні залежності другого і третього порядку, експоненціальні моделі [41]. Доведено, що поліноміальні моделі дають кращу апроксимацію даних у зоні високих концентрацій, тоді як лінійні моделі задовільно працюють у середньому діапазоні. Подібний підхід використовуватиметься у Розділі 7 дисертації при побудові програмно-алгоритмічного методу корекції індикативних вимірювань для умов Кривого Рогу.</w:t>
      </w:r>
    </w:p>
    <w:p>
      <w:pPr>
        <w:spacing w:line="360" w:lineRule="auto"/>
        <w:ind w:firstLine="709"/>
        <w:jc w:val="both"/>
      </w:pPr>
      <w:r>
        <w:rPr>
          <w:rFonts w:ascii="Times New Roman" w:hAnsi="Times New Roman"/>
          <w:sz w:val="28"/>
        </w:rPr>
        <w:t>Особливим випадком колокованих вимірювань пар референтний — індикативний PM₁₀ є оцінювання еквівалентності оптичних сенсорів гравіметричному референтному методу. Vogt M. et al. для умов Норвегії продемонстрували, що низькобюджетні оптичні сенсори за відсутності корекції систематично завищують концентрації PM₁₀ відносно референтного методу при відносній вологості понад 70 % [9]. Di Antonio A. et al. розробили функціональну корекцію за відносною вологістю для оптичних сенсорів, що зменшила середню відносну похибку з 50 % до 12 % [40]. Milovanovic B. et al. застосували методи машинного навчання для одночасної корекції за вологістю і температурою, доводячи коефіцієнт детермінації між індикативними і референтними значеннями до R² = 0,93 [42]. Усі ці роботи методично спираються на колоковані вимірювання як первинне джерело даних, що ще раз підтверджує універсальність цього підходу для задач, поставлених у дисертаційному дослідженні.</w:t>
      </w:r>
    </w:p>
    <w:p>
      <w:pPr>
        <w:spacing w:line="360" w:lineRule="auto"/>
        <w:ind w:firstLine="709"/>
        <w:jc w:val="both"/>
      </w:pPr>
      <w:r>
        <w:rPr>
          <w:rFonts w:ascii="Times New Roman" w:hAnsi="Times New Roman"/>
          <w:sz w:val="28"/>
        </w:rPr>
        <w:t>Окремої уваги заслуговує той факт, що у наведених міжнародних дослідженнях колокованими виступали саме пари референтний/індикативний PM₁₀, тоді як у вітчизняних умовах об'єктивно складається інша конфігурація: референтні вимірювання відсутні для PM₁₀, але доступні для TSP. Це формує оригінальний методичний дизайн дисертаційного дослідження, у якому колокованою парою є референтний TSP і індикативний PM₁₀. Такий дизайн не суперечить нормативним документам GDE і не зменшує наукову цінність даних, проте вимагає додаткової перевірки впливу різниці фракційних характеристик інструментів і обов'язкової побудови емпіричного коефіцієнта перерахунку, що далі реалізовується у Розділах 6–7.</w:t>
      </w:r>
    </w:p>
    <w:p>
      <w:pPr>
        <w:spacing w:before="120" w:after="60"/>
        <w:ind w:firstLine="709"/>
        <w:jc w:val="left"/>
      </w:pPr>
      <w:r>
        <w:rPr>
          <w:rFonts w:ascii="Times New Roman" w:hAnsi="Times New Roman"/>
          <w:b/>
          <w:i/>
          <w:sz w:val="28"/>
        </w:rPr>
        <w:t>3.3.3 Цілі і завдання колокованих вимірювань у м. Кривий Ріг</w:t>
      </w:r>
    </w:p>
    <w:p>
      <w:pPr>
        <w:spacing w:line="360" w:lineRule="auto"/>
        <w:ind w:firstLine="709"/>
        <w:jc w:val="both"/>
      </w:pPr>
      <w:r>
        <w:rPr>
          <w:rFonts w:ascii="Times New Roman" w:hAnsi="Times New Roman"/>
          <w:sz w:val="28"/>
        </w:rPr>
        <w:t>У контексті дисертаційного дослідження колоковані вимірювання, що проводилися в межах Криворізької агломерації, спрямовані на розв'язання трьох взаємопов'язаних задач. Перша задача — формування статистично репрезентативної вибірки парних значень TSP і PM₁₀ для умов гірничодобувно-металургійної агломерації, якої немає у вітчизняній науковій літературі. Друга задача — оцінювання сезонної і метеозалежної мінливості коефіцієнта PM₁₀/TSP, що дозволить виявити фізичні чинники, які формують відхилення цього показника від літературних оцінок 0,40–0,60. Третя задача — створення емпіричної основи для подальшого побудовування програмно-алгоритмічного методу корекції індикативних вимірювань PM₁₀ на основі синхронних значень TSP, метеорологічних параметрів і часово-просторових ознак.</w:t>
      </w:r>
    </w:p>
    <w:p>
      <w:pPr>
        <w:spacing w:line="360" w:lineRule="auto"/>
        <w:ind w:firstLine="709"/>
        <w:jc w:val="both"/>
      </w:pPr>
      <w:r>
        <w:rPr>
          <w:rFonts w:ascii="Times New Roman" w:hAnsi="Times New Roman"/>
          <w:sz w:val="28"/>
        </w:rPr>
        <w:t>Реалізація цих задач передбачає одночасне виконання трьох технічних умов на колокованому пункті. Перша умова — наявність діючого референтного відбірника TSP з документованою метрологічною простежуваністю і відомим режимом відбору. Друга умова — наявність сертифікованого індикативного оптичного сенсора PM₁₀ з безперервним режимом роботи і доступним архівом первинних даних принаймні за один рік. Третя умова — географічна близькість обох інструментів у межах, що не призводять до просторових градієнтів аерозолю, які перевищують метрологічну невизначеність вимірювань. Аналіз мережі постів, наведений у підрозділі 3.2, показав, що зі усіх п'яти референтних і чотирьох індикативних пунктів, що функціонують у місті, тільки дві пари — ПСЗ № 3 — pan2 та ПСЗ № 7 — pan5 — задовольняють усі три умови з відстанями 443 м і 835 м відповідно.</w:t>
      </w:r>
    </w:p>
    <w:p>
      <w:pPr>
        <w:spacing w:line="360" w:lineRule="auto"/>
        <w:ind w:firstLine="709"/>
        <w:jc w:val="both"/>
      </w:pPr>
      <w:r>
        <w:rPr>
          <w:rFonts w:ascii="Times New Roman" w:hAnsi="Times New Roman"/>
          <w:sz w:val="28"/>
        </w:rPr>
        <w:t>Окремою методичною задачею колокованих вимірювань у Кривому Розі є контроль додаткових чинників, які можуть впливати на співвідношення PM₁₀/TSP в умовах гірничодобувної агломерації. До таких чинників належать сезонні зміни структури викидів (опалювальний сезон, періоди інтенсивних кар'єрних робіт, періоди сезонного пиління), метеорологічні умови (температурні інверсії, періоди підвищеної вологості), а також разові події (масові вибухи в кар'єрах, аварійні ситуації на промислових об'єктах). Кожен з цих чинників розглядатиметься у наступних розділах дисертації як потенційний вхідний предиктор моделі корекції. Колоковані вимірювання забезпечують саме той контрольований експериментальний контекст, у якому можна оцінити вплив таких чинників на співвідношення PM₁₀/TSP без втручання просторових ефектів.</w:t>
      </w:r>
    </w:p>
    <w:p>
      <w:pPr>
        <w:spacing w:line="360" w:lineRule="auto"/>
        <w:ind w:firstLine="709"/>
        <w:jc w:val="both"/>
      </w:pPr>
      <w:r>
        <w:rPr>
          <w:rFonts w:ascii="Times New Roman" w:hAnsi="Times New Roman"/>
          <w:sz w:val="28"/>
        </w:rPr>
        <w:t>Опосередкованою четвертою задачею колокованих вимірювань є перевірка стабільності характеристик індикативних оптичних сенсорів у тривалому часовому горизонті. Виробник (ENVEA Group) у документації Cairnet вказує, що дрейф калібрувальної кривої сенсорів не перевищує 5 % на рік за умови коректної експлуатації [52]. Однак реальні дані колокованих вимірювань на пості № 3 за 2024–2025 роки дозволяють перевірити цю заявлену характеристику в умовах криворізького аерозолю з підвищеним вмістом мінерального пилу і потенційно більш агресивного для оптичного тракту. Окрім методичної цінності для розробки алгоритму корекції, ці дані становлять самостійну користь для управління екологічної безпеки міської ради як аргумент щодо необхідності періодичної повірки і обслуговування індикативних станцій.</w:t>
      </w:r>
    </w:p>
    <w:p>
      <w:pPr>
        <w:spacing w:line="360" w:lineRule="auto"/>
        <w:ind w:firstLine="709"/>
        <w:jc w:val="both"/>
      </w:pPr>
      <w:r>
        <w:rPr>
          <w:rFonts w:ascii="Times New Roman" w:hAnsi="Times New Roman"/>
          <w:sz w:val="28"/>
        </w:rPr>
        <w:t>Цільовий обсяг колокованої вибірки визначений з урахуванням вимог Керівництва GDE 2010 щодо мінімальної статистичної значущості: для оцінки коефіцієнта еквівалентності між методами рекомендується не менше 40 пар добових значень для кожного діапазону концентрацій. Для побудови сезонно стратифікованої моделі коефіцієнта PM₁₀/TSP цей мінімум збільшується пропорційно кількості сезонів, охоплених вибіркою. У дисертаційному дослідженні цільовим обсягом встановлено не менше 200 пар у кожному з двох ключових сезонних режимів (опалювальний і неопалювальний), що дозволяє проводити окрему статистичну оцінку як для всього року, так і для кожного сезону окремо. Подальша обробка масиву показала, що цей цільовий обсяг досягнуто з істотним запасом.</w:t>
      </w:r>
    </w:p>
    <w:p>
      <w:pPr>
        <w:spacing w:before="240" w:after="120"/>
        <w:ind w:firstLine="0"/>
        <w:jc w:val="center"/>
      </w:pPr>
      <w:r>
        <w:rPr>
          <w:rFonts w:ascii="Times New Roman" w:hAnsi="Times New Roman"/>
          <w:b/>
          <w:sz w:val="28"/>
        </w:rPr>
        <w:t>3.4 Обґрунтування вибору поста спостереження за станом атмосферного повітря № 3 для проведення колокованих вимірювань</w:t>
      </w:r>
    </w:p>
    <w:p>
      <w:pPr>
        <w:spacing w:line="360" w:lineRule="auto"/>
        <w:ind w:firstLine="709"/>
        <w:jc w:val="both"/>
      </w:pPr>
      <w:r>
        <w:rPr>
          <w:rFonts w:ascii="Times New Roman" w:hAnsi="Times New Roman"/>
          <w:sz w:val="28"/>
        </w:rPr>
        <w:t>Аналіз мережі постів і взаємних відстаней, наведений у підрозділах 3.2 та 3.3, виявив дві колоковані пари — ПСЗ № 3 — post893 (pan2) і ПСЗ № 7 — post939 (pan5), що задовольняють критерії просторової близькості. У даному підрозділі обґрунтовується вибір саме поста № 3 разом з індикативною станцією pan2 як ведучого пункту колокованих вимірювань для задач дисертаційного дослідження.</w:t>
      </w:r>
    </w:p>
    <w:p>
      <w:pPr>
        <w:spacing w:before="120" w:after="60"/>
        <w:ind w:firstLine="709"/>
        <w:jc w:val="left"/>
      </w:pPr>
      <w:r>
        <w:rPr>
          <w:rFonts w:ascii="Times New Roman" w:hAnsi="Times New Roman"/>
          <w:b/>
          <w:i/>
          <w:sz w:val="28"/>
        </w:rPr>
        <w:t>3.4.1 Критерії порівняння двох колокованих пар</w:t>
      </w:r>
    </w:p>
    <w:p>
      <w:pPr>
        <w:spacing w:line="360" w:lineRule="auto"/>
        <w:ind w:firstLine="709"/>
        <w:jc w:val="both"/>
      </w:pPr>
      <w:r>
        <w:rPr>
          <w:rFonts w:ascii="Times New Roman" w:hAnsi="Times New Roman"/>
          <w:sz w:val="28"/>
        </w:rPr>
        <w:t>Для прийняття рішення про вибір ведучого колокованого пункту у цій роботі використано чотири взаємно незалежні критерії. Перший критерій — відстань між референтним і індикативним інструментами. Другий критерій — репрезентативність пункту з точки зору домінантних типів викидів промислового міста. Третій критерій — наявність розширеного набору метеорологічних вимірювань на референтному пункті, оскільки саме ці параметри потрібні для подальшого моделювання відхилень. Четвертий критерій — функціональна стабільність обох інструментів і якість зберігання первинних даних за тривалий період. Кожен з цих критеріїв оцінюватиметься окремо для двох колокованих пар.</w:t>
      </w:r>
    </w:p>
    <w:p>
      <w:pPr>
        <w:spacing w:line="360" w:lineRule="auto"/>
        <w:ind w:firstLine="709"/>
        <w:jc w:val="both"/>
      </w:pPr>
      <w:r>
        <w:rPr>
          <w:rFonts w:ascii="Times New Roman" w:hAnsi="Times New Roman"/>
          <w:sz w:val="28"/>
        </w:rPr>
        <w:t>За першим критерієм пара ПСЗ № 3 — pan2 з відстанню 443 м є вдвічі ближчою за пару ПСЗ № 7 — pan5 з відстанню 835 м. У термінах класифікації колокованих вимірювань GDE 2010 обидві пари не задовольняють формальний критерій тісної колокації (відстань менше 4 м по горизонталі), проте обидві відповідають критерію локально однорідного аерозолю, оскільки обидві розташовані у функціонально подібних мікрорайонах. Однак перевага пари ПСЗ № 3 — pan2 зростає з урахуванням наступних факторів: на цій ділянці немає принципових просторових бар'єрів (великих будівель, лісосмуг, ярів), які створювали б неоднорідність концентрації, тоді як між постом № 7 і станцією pan5 проходить лінія залізниці і кілька великих житлових комплексів.</w:t>
      </w:r>
    </w:p>
    <w:p>
      <w:pPr>
        <w:spacing w:line="360" w:lineRule="auto"/>
        <w:ind w:firstLine="709"/>
        <w:jc w:val="both"/>
      </w:pPr>
      <w:r>
        <w:rPr>
          <w:rFonts w:ascii="Times New Roman" w:hAnsi="Times New Roman"/>
          <w:sz w:val="28"/>
        </w:rPr>
        <w:t>За другим критерієм репрезентативність пари ПСЗ № 3 — pan2 для задач дослідження вища. Центральна частина Кривого Рогу, де розташовано пост № 3, перебуває у зоні впливу одночасно металургійного комбінату «АрселорМіттал» (з західно-північного напряму при типових вітрах), кар'єрно-відвальних об'єктів ПрАТ «Північний ГЗК» (з північного напряму) та інтенсивного транспортного трафіку центральних магістралей. Така комбінація формує саме той змішаний тип аерозолю, для якого коефіцієнт PM₁₀/TSP має найбільшу варіабельність і, відповідно, найбільший науковий інтерес. Пара ПСЗ № 7 — pan5, навпаки, розташована у відносно периферійному житловому секторі, аерозоль якого значною мірою формується транспортними і побутовими джерелами, що менш характерно для гірничодобувно-металургійних умов.</w:t>
      </w:r>
    </w:p>
    <w:p>
      <w:pPr>
        <w:spacing w:line="360" w:lineRule="auto"/>
        <w:ind w:firstLine="709"/>
        <w:jc w:val="both"/>
      </w:pPr>
      <w:r>
        <w:rPr>
          <w:rFonts w:ascii="Times New Roman" w:hAnsi="Times New Roman"/>
          <w:sz w:val="28"/>
        </w:rPr>
        <w:t>За третім критерієм пост № 3 має повний набір метеорологічних вимірювань, передбачених програмою спостережень: температуру повітря, відносну вологість, атмосферний тиск, швидкість і напрямок вітру з прив'язкою до тих самих часових міток, що й TSP. На посту № 7 окремі метеорологічні параметри (зокрема напрямок вітру) у деякі періоди вимірювалися з пропусками, що ускладнює подальше формування багатопредикторної моделі корекції. У цьому сенсі пост № 3 є більш стабільним джерелом комплексних спостережень.</w:t>
      </w:r>
    </w:p>
    <w:p>
      <w:pPr>
        <w:spacing w:line="360" w:lineRule="auto"/>
        <w:ind w:firstLine="709"/>
        <w:jc w:val="both"/>
      </w:pPr>
      <w:r>
        <w:rPr>
          <w:rFonts w:ascii="Times New Roman" w:hAnsi="Times New Roman"/>
          <w:sz w:val="28"/>
        </w:rPr>
        <w:t>За четвертим критерієм аналіз доступних архівів за 2024–2025 роки показав, що пост № 3 і станція pan2 функціонували у стабільному режимі без тривалих пропусків даних. Архів індикативної станції pan2 у системі CairCloud має повноту понад 98 %, а архів ТЗА посту № 3 за програмою спостережень — понад 94 %. На посту № 7 і на станції pan5 виявлено епізоди довгострокових пропусків (понад тиждень), пов'язаних з технічним обслуговуванням. Така різниця статистично значуща при формуванні вибірки, оскільки безпосередньо впливає на кількість пар, доступних для розрахунку коефіцієнта PM₁₀/TSP.</w:t>
      </w:r>
    </w:p>
    <w:p>
      <w:pPr>
        <w:spacing w:line="360" w:lineRule="auto"/>
        <w:ind w:firstLine="709"/>
        <w:jc w:val="both"/>
      </w:pPr>
      <w:r>
        <w:rPr>
          <w:rFonts w:ascii="Times New Roman" w:hAnsi="Times New Roman"/>
          <w:sz w:val="28"/>
        </w:rPr>
        <w:t>Зведене порівняння двох пар за чотирма критеріями наведено у таблиці 3.5. Для кожного критерію використано якісну оцінку «висока», «середня», «низька», що дозволяє наочно побачити перевагу однієї з пар без переходу до арифметичної композиції оцінок різної природи. Такий підхід відповідає практиці експертних рішень при виборі пунктів моніторингу і не ставить штучних кількісних пріоритетів.</w:t>
      </w:r>
    </w:p>
    <w:p>
      <w:pPr>
        <w:spacing w:before="120" w:after="60"/>
        <w:ind w:firstLine="0"/>
        <w:jc w:val="center"/>
      </w:pPr>
      <w:r>
        <w:rPr>
          <w:rFonts w:ascii="Times New Roman" w:hAnsi="Times New Roman"/>
          <w:b/>
          <w:sz w:val="28"/>
        </w:rPr>
        <w:t>Таблиця 3.5 — Порівняння двох колокованих пар за чотирма критеріями вибору</w:t>
      </w:r>
    </w:p>
    <w:tbl>
      <w:tblPr>
        <w:tblStyle w:val="TableGrid"/>
        <w:tblW w:type="auto" w:w="0"/>
        <w:jc w:val="center"/>
        <w:tblLook w:firstColumn="1" w:firstRow="1" w:lastColumn="0" w:lastRow="0" w:noHBand="0" w:noVBand="1" w:val="04A0"/>
      </w:tblPr>
      <w:tblGrid>
        <w:gridCol w:w="3324"/>
        <w:gridCol w:w="3324"/>
        <w:gridCol w:w="3324"/>
      </w:tblGrid>
      <w:tr>
        <w:tc>
          <w:tcPr>
            <w:tcW w:type="dxa" w:w="2268"/>
          </w:tcPr>
          <w:p>
            <w:pPr>
              <w:ind w:firstLine="0"/>
              <w:jc w:val="center"/>
            </w:pPr>
            <w:r/>
            <w:r>
              <w:rPr>
                <w:rFonts w:ascii="Times New Roman" w:hAnsi="Times New Roman"/>
                <w:b/>
                <w:sz w:val="24"/>
              </w:rPr>
              <w:t>Критерій</w:t>
            </w:r>
          </w:p>
        </w:tc>
        <w:tc>
          <w:tcPr>
            <w:tcW w:type="dxa" w:w="3118"/>
          </w:tcPr>
          <w:p>
            <w:pPr>
              <w:ind w:firstLine="0"/>
              <w:jc w:val="center"/>
            </w:pPr>
            <w:r/>
            <w:r>
              <w:rPr>
                <w:rFonts w:ascii="Times New Roman" w:hAnsi="Times New Roman"/>
                <w:b/>
                <w:sz w:val="24"/>
              </w:rPr>
              <w:t>ПСЗ № 3 — pan2</w:t>
            </w:r>
          </w:p>
        </w:tc>
        <w:tc>
          <w:tcPr>
            <w:tcW w:type="dxa" w:w="3118"/>
          </w:tcPr>
          <w:p>
            <w:pPr>
              <w:ind w:firstLine="0"/>
              <w:jc w:val="center"/>
            </w:pPr>
            <w:r/>
            <w:r>
              <w:rPr>
                <w:rFonts w:ascii="Times New Roman" w:hAnsi="Times New Roman"/>
                <w:b/>
                <w:sz w:val="24"/>
              </w:rPr>
              <w:t>ПСЗ № 7 — pan5</w:t>
            </w:r>
          </w:p>
        </w:tc>
      </w:tr>
      <w:tr>
        <w:tc>
          <w:tcPr>
            <w:tcW w:type="dxa" w:w="2268"/>
          </w:tcPr>
          <w:p>
            <w:pPr>
              <w:ind w:firstLine="0"/>
              <w:jc w:val="left"/>
            </w:pPr>
            <w:r/>
            <w:r>
              <w:rPr>
                <w:rFonts w:ascii="Times New Roman" w:hAnsi="Times New Roman"/>
                <w:sz w:val="24"/>
              </w:rPr>
              <w:t>Відстань між інструментами</w:t>
            </w:r>
          </w:p>
        </w:tc>
        <w:tc>
          <w:tcPr>
            <w:tcW w:type="dxa" w:w="3118"/>
          </w:tcPr>
          <w:p>
            <w:pPr>
              <w:ind w:firstLine="0"/>
              <w:jc w:val="left"/>
            </w:pPr>
            <w:r/>
            <w:r>
              <w:rPr>
                <w:rFonts w:ascii="Times New Roman" w:hAnsi="Times New Roman"/>
                <w:sz w:val="24"/>
              </w:rPr>
              <w:t>Висока (443 м)</w:t>
            </w:r>
          </w:p>
        </w:tc>
        <w:tc>
          <w:tcPr>
            <w:tcW w:type="dxa" w:w="3118"/>
          </w:tcPr>
          <w:p>
            <w:pPr>
              <w:ind w:firstLine="0"/>
              <w:jc w:val="left"/>
            </w:pPr>
            <w:r/>
            <w:r>
              <w:rPr>
                <w:rFonts w:ascii="Times New Roman" w:hAnsi="Times New Roman"/>
                <w:sz w:val="24"/>
              </w:rPr>
              <w:t>Середня (835 м)</w:t>
            </w:r>
          </w:p>
        </w:tc>
      </w:tr>
      <w:tr>
        <w:tc>
          <w:tcPr>
            <w:tcW w:type="dxa" w:w="2268"/>
          </w:tcPr>
          <w:p>
            <w:pPr>
              <w:ind w:firstLine="0"/>
              <w:jc w:val="left"/>
            </w:pPr>
            <w:r/>
            <w:r>
              <w:rPr>
                <w:rFonts w:ascii="Times New Roman" w:hAnsi="Times New Roman"/>
                <w:sz w:val="24"/>
              </w:rPr>
              <w:t>Репрезентативність аерозолю</w:t>
            </w:r>
          </w:p>
        </w:tc>
        <w:tc>
          <w:tcPr>
            <w:tcW w:type="dxa" w:w="3118"/>
          </w:tcPr>
          <w:p>
            <w:pPr>
              <w:ind w:firstLine="0"/>
              <w:jc w:val="left"/>
            </w:pPr>
            <w:r/>
            <w:r>
              <w:rPr>
                <w:rFonts w:ascii="Times New Roman" w:hAnsi="Times New Roman"/>
                <w:sz w:val="24"/>
              </w:rPr>
              <w:t>Висока: змішаний індустріально-міський фон</w:t>
            </w:r>
          </w:p>
        </w:tc>
        <w:tc>
          <w:tcPr>
            <w:tcW w:type="dxa" w:w="3118"/>
          </w:tcPr>
          <w:p>
            <w:pPr>
              <w:ind w:firstLine="0"/>
              <w:jc w:val="left"/>
            </w:pPr>
            <w:r/>
            <w:r>
              <w:rPr>
                <w:rFonts w:ascii="Times New Roman" w:hAnsi="Times New Roman"/>
                <w:sz w:val="24"/>
              </w:rPr>
              <w:t>Середня: житловий сектор</w:t>
            </w:r>
          </w:p>
        </w:tc>
      </w:tr>
      <w:tr>
        <w:tc>
          <w:tcPr>
            <w:tcW w:type="dxa" w:w="2268"/>
          </w:tcPr>
          <w:p>
            <w:pPr>
              <w:ind w:firstLine="0"/>
              <w:jc w:val="left"/>
            </w:pPr>
            <w:r/>
            <w:r>
              <w:rPr>
                <w:rFonts w:ascii="Times New Roman" w:hAnsi="Times New Roman"/>
                <w:sz w:val="24"/>
              </w:rPr>
              <w:t>Повнота метеорологічних вимірювань</w:t>
            </w:r>
          </w:p>
        </w:tc>
        <w:tc>
          <w:tcPr>
            <w:tcW w:type="dxa" w:w="3118"/>
          </w:tcPr>
          <w:p>
            <w:pPr>
              <w:ind w:firstLine="0"/>
              <w:jc w:val="left"/>
            </w:pPr>
            <w:r/>
            <w:r>
              <w:rPr>
                <w:rFonts w:ascii="Times New Roman" w:hAnsi="Times New Roman"/>
                <w:sz w:val="24"/>
              </w:rPr>
              <w:t>Висока: повний набір без пропусків</w:t>
            </w:r>
          </w:p>
        </w:tc>
        <w:tc>
          <w:tcPr>
            <w:tcW w:type="dxa" w:w="3118"/>
          </w:tcPr>
          <w:p>
            <w:pPr>
              <w:ind w:firstLine="0"/>
              <w:jc w:val="left"/>
            </w:pPr>
            <w:r/>
            <w:r>
              <w:rPr>
                <w:rFonts w:ascii="Times New Roman" w:hAnsi="Times New Roman"/>
                <w:sz w:val="24"/>
              </w:rPr>
              <w:t>Середня: пропуски за напрямком вітру</w:t>
            </w:r>
          </w:p>
        </w:tc>
      </w:tr>
      <w:tr>
        <w:tc>
          <w:tcPr>
            <w:tcW w:type="dxa" w:w="2268"/>
          </w:tcPr>
          <w:p>
            <w:pPr>
              <w:ind w:firstLine="0"/>
              <w:jc w:val="left"/>
            </w:pPr>
            <w:r/>
            <w:r>
              <w:rPr>
                <w:rFonts w:ascii="Times New Roman" w:hAnsi="Times New Roman"/>
                <w:sz w:val="24"/>
              </w:rPr>
              <w:t>Якість архіву даних</w:t>
            </w:r>
          </w:p>
        </w:tc>
        <w:tc>
          <w:tcPr>
            <w:tcW w:type="dxa" w:w="3118"/>
          </w:tcPr>
          <w:p>
            <w:pPr>
              <w:ind w:firstLine="0"/>
              <w:jc w:val="left"/>
            </w:pPr>
            <w:r/>
            <w:r>
              <w:rPr>
                <w:rFonts w:ascii="Times New Roman" w:hAnsi="Times New Roman"/>
                <w:sz w:val="24"/>
              </w:rPr>
              <w:t>Висока: 94 % ТЗА і 98 % CairCloud</w:t>
            </w:r>
          </w:p>
        </w:tc>
        <w:tc>
          <w:tcPr>
            <w:tcW w:type="dxa" w:w="3118"/>
          </w:tcPr>
          <w:p>
            <w:pPr>
              <w:ind w:firstLine="0"/>
              <w:jc w:val="left"/>
            </w:pPr>
            <w:r/>
            <w:r>
              <w:rPr>
                <w:rFonts w:ascii="Times New Roman" w:hAnsi="Times New Roman"/>
                <w:sz w:val="24"/>
              </w:rPr>
              <w:t>Середня: тижневі пропуски в обох мережах</w:t>
            </w:r>
          </w:p>
        </w:tc>
      </w:tr>
    </w:tbl>
    <w:p>
      <w:pPr>
        <w:spacing w:before="120" w:after="60"/>
        <w:ind w:firstLine="709"/>
        <w:jc w:val="left"/>
      </w:pPr>
      <w:r>
        <w:rPr>
          <w:rFonts w:ascii="Times New Roman" w:hAnsi="Times New Roman"/>
          <w:b/>
          <w:i/>
          <w:sz w:val="28"/>
        </w:rPr>
        <w:t>3.4.2 Інтегральне обґрунтування вибору</w:t>
      </w:r>
    </w:p>
    <w:p>
      <w:pPr>
        <w:spacing w:line="360" w:lineRule="auto"/>
        <w:ind w:firstLine="709"/>
        <w:jc w:val="both"/>
      </w:pPr>
      <w:r>
        <w:rPr>
          <w:rFonts w:ascii="Times New Roman" w:hAnsi="Times New Roman"/>
          <w:sz w:val="28"/>
        </w:rPr>
        <w:t>Сукупність наведених порівнянь приводить до однозначного висновку: для задач дисертаційного дослідження ведучим пунктом колокованих вимірювань є пара ПСЗ № 3 — post893 (pan2). При цьому пара ПСЗ № 7 — post939 (pan5) зберігає роль контрольної: її дані використовуватимуться у наступних розділах для перевірки переносимості коефіцієнтів і для незалежного тестування програмно-алгоритмічного методу корекції на іншій функціональній зоні. Така двопостова схема відповідає рекомендації GDE 2010 щодо включення у програму паралельних вимірювань пунктів з різними рівнями концентрацій і різними локальними умовами для більш надійної демонстрації еквівалентності [53].</w:t>
      </w:r>
    </w:p>
    <w:p>
      <w:pPr>
        <w:spacing w:line="360" w:lineRule="auto"/>
        <w:ind w:firstLine="709"/>
        <w:jc w:val="both"/>
      </w:pPr>
      <w:r>
        <w:rPr>
          <w:rFonts w:ascii="Times New Roman" w:hAnsi="Times New Roman"/>
          <w:sz w:val="28"/>
        </w:rPr>
        <w:t>Окремою важливою обставиною є та особливість, що відстань 443 м між постом № 3 і станцією pan2 не вимагає окремих дій з перерозміщення обладнання: обидва пункти вже розгорнуті у постійних місцях експлуатації. Це означає, що дисертаційне дослідження виконується без втручання у штатну роботу мереж моніторингу, що відповідає вимогам Постанови КМУ № 827 щодо забезпечення безперервності спостережень [1]. Для отримання результатів дослідження достатньо забезпечити належну синхронізацію часових рядів і верифікацію якості первинних даних, що детально розглядається у Розділі 4.</w:t>
      </w:r>
    </w:p>
    <w:p>
      <w:pPr>
        <w:spacing w:line="360" w:lineRule="auto"/>
        <w:ind w:firstLine="709"/>
        <w:jc w:val="both"/>
      </w:pPr>
      <w:r>
        <w:rPr>
          <w:rFonts w:ascii="Times New Roman" w:hAnsi="Times New Roman"/>
          <w:sz w:val="28"/>
        </w:rPr>
        <w:t>Прив'язка пункту колокації до площі Визволення також має інфраструктурну перевагу. Майданчик розташований у безпосередній близькості від адміністративних будівель Криворізької міської ради, що забезпечує оперативний доступ обслуговуючого персоналу як ЛСЗА, так і управління екологічної безпеки. Прибережна смуга річки Саксагань створює природне «вікно» з відносно меншою щільністю автомобільного трафіку у безпосередній зоні приладів, що відповідає вимозі Наказу МВС № 300 щодо мінімальної відстані до проїзних шляхів для пунктів типу «міський фон» [19].</w:t>
      </w:r>
    </w:p>
    <w:p>
      <w:pPr>
        <w:spacing w:before="120" w:after="60"/>
        <w:ind w:firstLine="709"/>
        <w:jc w:val="left"/>
      </w:pPr>
      <w:r>
        <w:rPr>
          <w:rFonts w:ascii="Times New Roman" w:hAnsi="Times New Roman"/>
          <w:b/>
          <w:i/>
          <w:sz w:val="28"/>
        </w:rPr>
        <w:t>3.4.3 Технічна характеристика обраної колокованої пари</w:t>
      </w:r>
    </w:p>
    <w:p>
      <w:pPr>
        <w:spacing w:line="360" w:lineRule="auto"/>
        <w:ind w:firstLine="709"/>
        <w:jc w:val="both"/>
      </w:pPr>
      <w:r>
        <w:rPr>
          <w:rFonts w:ascii="Times New Roman" w:hAnsi="Times New Roman"/>
          <w:sz w:val="28"/>
        </w:rPr>
        <w:t>Референтний пост ПСЗ № 3 розташований за координатами 47,908753° пн. ш. і 33,338845° сх. д., на висоті близько 60 м над рівнем моря. Висота забору проб TSP становить 1,7 м над рівнем землі, що відповідає рекомендованому діапазону 1,5–4 м для приземних вимірювань [19]. Метеорологічні датчики змонтовано на щоглі висотою 2,5 м, що мінімізує вплив локальних поверхневих ефектів на швидкість вітру і температуру. Відбір проб TSP виконується за стандартною програмою з 30-хвилинним експонуванням фільтра у моменти 01:00, 07:00, 13:00 і 19:00, з подальшим лабораторним зважуванням у ЛСЗА за процедурою, що відповідає принциповій методиці EN 12341 щодо контролю температурних режимів і транспортування фільтрів [48], [51].</w:t>
      </w:r>
    </w:p>
    <w:p>
      <w:pPr>
        <w:spacing w:line="360" w:lineRule="auto"/>
        <w:ind w:firstLine="709"/>
        <w:jc w:val="both"/>
      </w:pPr>
      <w:r>
        <w:rPr>
          <w:rFonts w:ascii="Times New Roman" w:hAnsi="Times New Roman"/>
          <w:sz w:val="28"/>
        </w:rPr>
        <w:t>Індикативна станція post893 (внутрішнє позначення pan2) розташована за координатами 47,90495° пн. ш. і 33,33708° сх. д., тобто на 443 м південно-західніше від поста № 3 (азимут приблизно 220°). Станція встановлена на стіні адміністративної будівлі на висоті близько 4 м над рівнем землі, що дещо вище за висоту забору референтного TSP, але залишається у межах допустимого діапазону для індикативних вимірювань. Заводське калібрування оптичного сенсора виконується для типового міського аерозолю з показником заломлення близько 1,55 (стандарт ISO 12103-1, A1 ultrafine), що для аерозолю Кривого Рогу з переважанням мінеральних компонентів може створювати систематичне завищення показань. Цей чинник також буде врахований при розробці алгоритму корекції.</w:t>
      </w:r>
    </w:p>
    <w:p>
      <w:pPr>
        <w:spacing w:line="360" w:lineRule="auto"/>
        <w:ind w:firstLine="709"/>
        <w:jc w:val="both"/>
      </w:pPr>
      <w:r>
        <w:rPr>
          <w:rFonts w:ascii="Times New Roman" w:hAnsi="Times New Roman"/>
          <w:sz w:val="28"/>
        </w:rPr>
        <w:t>Сигнал з оптичного сенсора передається у хмарний сервіс CairCloud з періодичністю 15 хвилин з повною прив'язкою до часу за UTC. Кожне виміряне значення супроводжується кодом якості (QC) категорій A (валідне), B (підозріле) і C (інвалідне). Для побудови вибірки колокованих пар PM₁₀/TSP у цьому дослідженні використовуються лише значення з кодом QC = A. Така фільтрація відповідає рекомендаціям GDE 2010 і практиці оцінювання еквівалентності, що передбачає виключення з вибірки точок з відомими технічними проблемами [53]. Для метеорологічних параметрів індикативної станції аналогічна фільтрація виконується за окремими кодами якості, які постачаються разом з первинними даними.</w:t>
      </w:r>
    </w:p>
    <w:p>
      <w:pPr>
        <w:spacing w:line="360" w:lineRule="auto"/>
        <w:ind w:firstLine="709"/>
        <w:jc w:val="both"/>
      </w:pPr>
      <w:r>
        <w:rPr>
          <w:rFonts w:ascii="Times New Roman" w:hAnsi="Times New Roman"/>
          <w:sz w:val="28"/>
        </w:rPr>
        <w:t>Технічну характеристику обраної колокованої пари у стислому вигляді наведено у таблиці 3.6. Це представлення забезпечує одночасне зіставлення режимних параметрів референтного й індикативного інструментів та слугує опорним документом для процедур, що описуються у Розділах 4–7.</w:t>
      </w:r>
    </w:p>
    <w:p>
      <w:pPr>
        <w:spacing w:before="120" w:after="60"/>
        <w:ind w:firstLine="0"/>
        <w:jc w:val="center"/>
      </w:pPr>
      <w:r>
        <w:rPr>
          <w:rFonts w:ascii="Times New Roman" w:hAnsi="Times New Roman"/>
          <w:b/>
          <w:sz w:val="28"/>
        </w:rPr>
        <w:t>Таблиця 3.6 — Технічна характеристика обраної колокованої пари ПСЗ № 3 — post893 (pan2)</w:t>
      </w:r>
    </w:p>
    <w:tbl>
      <w:tblPr>
        <w:tblStyle w:val="TableGrid"/>
        <w:tblW w:type="auto" w:w="0"/>
        <w:jc w:val="center"/>
        <w:tblLook w:firstColumn="1" w:firstRow="1" w:lastColumn="0" w:lastRow="0" w:noHBand="0" w:noVBand="1" w:val="04A0"/>
      </w:tblPr>
      <w:tblGrid>
        <w:gridCol w:w="3324"/>
        <w:gridCol w:w="3324"/>
        <w:gridCol w:w="3324"/>
      </w:tblGrid>
      <w:tr>
        <w:tc>
          <w:tcPr>
            <w:tcW w:type="dxa" w:w="2551"/>
          </w:tcPr>
          <w:p>
            <w:pPr>
              <w:ind w:firstLine="0"/>
              <w:jc w:val="center"/>
            </w:pPr>
            <w:r/>
            <w:r>
              <w:rPr>
                <w:rFonts w:ascii="Times New Roman" w:hAnsi="Times New Roman"/>
                <w:b/>
                <w:sz w:val="24"/>
              </w:rPr>
              <w:t>Параметр</w:t>
            </w:r>
          </w:p>
        </w:tc>
        <w:tc>
          <w:tcPr>
            <w:tcW w:type="dxa" w:w="3118"/>
          </w:tcPr>
          <w:p>
            <w:pPr>
              <w:ind w:firstLine="0"/>
              <w:jc w:val="center"/>
            </w:pPr>
            <w:r/>
            <w:r>
              <w:rPr>
                <w:rFonts w:ascii="Times New Roman" w:hAnsi="Times New Roman"/>
                <w:b/>
                <w:sz w:val="24"/>
              </w:rPr>
              <w:t>Референтний пост ПСЗ № 3</w:t>
            </w:r>
          </w:p>
        </w:tc>
        <w:tc>
          <w:tcPr>
            <w:tcW w:type="dxa" w:w="3118"/>
          </w:tcPr>
          <w:p>
            <w:pPr>
              <w:ind w:firstLine="0"/>
              <w:jc w:val="center"/>
            </w:pPr>
            <w:r/>
            <w:r>
              <w:rPr>
                <w:rFonts w:ascii="Times New Roman" w:hAnsi="Times New Roman"/>
                <w:b/>
                <w:sz w:val="24"/>
              </w:rPr>
              <w:t>Індикативна станція pan2</w:t>
            </w:r>
          </w:p>
        </w:tc>
      </w:tr>
      <w:tr>
        <w:tc>
          <w:tcPr>
            <w:tcW w:type="dxa" w:w="2551"/>
          </w:tcPr>
          <w:p>
            <w:pPr>
              <w:ind w:firstLine="0"/>
              <w:jc w:val="left"/>
            </w:pPr>
            <w:r/>
            <w:r>
              <w:rPr>
                <w:rFonts w:ascii="Times New Roman" w:hAnsi="Times New Roman"/>
                <w:sz w:val="24"/>
              </w:rPr>
              <w:t>Координати, WGS-84</w:t>
            </w:r>
          </w:p>
        </w:tc>
        <w:tc>
          <w:tcPr>
            <w:tcW w:type="dxa" w:w="3118"/>
          </w:tcPr>
          <w:p>
            <w:pPr>
              <w:ind w:firstLine="0"/>
              <w:jc w:val="left"/>
            </w:pPr>
            <w:r/>
            <w:r>
              <w:rPr>
                <w:rFonts w:ascii="Times New Roman" w:hAnsi="Times New Roman"/>
                <w:sz w:val="24"/>
              </w:rPr>
              <w:t>47,908753° N, 33,338845° E</w:t>
            </w:r>
          </w:p>
        </w:tc>
        <w:tc>
          <w:tcPr>
            <w:tcW w:type="dxa" w:w="3118"/>
          </w:tcPr>
          <w:p>
            <w:pPr>
              <w:ind w:firstLine="0"/>
              <w:jc w:val="left"/>
            </w:pPr>
            <w:r/>
            <w:r>
              <w:rPr>
                <w:rFonts w:ascii="Times New Roman" w:hAnsi="Times New Roman"/>
                <w:sz w:val="24"/>
              </w:rPr>
              <w:t>47,90495° N, 33,33708° E</w:t>
            </w:r>
          </w:p>
        </w:tc>
      </w:tr>
      <w:tr>
        <w:tc>
          <w:tcPr>
            <w:tcW w:type="dxa" w:w="2551"/>
          </w:tcPr>
          <w:p>
            <w:pPr>
              <w:ind w:firstLine="0"/>
              <w:jc w:val="left"/>
            </w:pPr>
            <w:r/>
            <w:r>
              <w:rPr>
                <w:rFonts w:ascii="Times New Roman" w:hAnsi="Times New Roman"/>
                <w:sz w:val="24"/>
              </w:rPr>
              <w:t>Висота забору, м над рівнем землі</w:t>
            </w:r>
          </w:p>
        </w:tc>
        <w:tc>
          <w:tcPr>
            <w:tcW w:type="dxa" w:w="3118"/>
          </w:tcPr>
          <w:p>
            <w:pPr>
              <w:ind w:firstLine="0"/>
              <w:jc w:val="left"/>
            </w:pPr>
            <w:r/>
            <w:r>
              <w:rPr>
                <w:rFonts w:ascii="Times New Roman" w:hAnsi="Times New Roman"/>
                <w:sz w:val="24"/>
              </w:rPr>
              <w:t>1,7</w:t>
            </w:r>
          </w:p>
        </w:tc>
        <w:tc>
          <w:tcPr>
            <w:tcW w:type="dxa" w:w="3118"/>
          </w:tcPr>
          <w:p>
            <w:pPr>
              <w:ind w:firstLine="0"/>
              <w:jc w:val="left"/>
            </w:pPr>
            <w:r/>
            <w:r>
              <w:rPr>
                <w:rFonts w:ascii="Times New Roman" w:hAnsi="Times New Roman"/>
                <w:sz w:val="24"/>
              </w:rPr>
              <w:t>≈ 4,0</w:t>
            </w:r>
          </w:p>
        </w:tc>
      </w:tr>
      <w:tr>
        <w:tc>
          <w:tcPr>
            <w:tcW w:type="dxa" w:w="2551"/>
          </w:tcPr>
          <w:p>
            <w:pPr>
              <w:ind w:firstLine="0"/>
              <w:jc w:val="left"/>
            </w:pPr>
            <w:r/>
            <w:r>
              <w:rPr>
                <w:rFonts w:ascii="Times New Roman" w:hAnsi="Times New Roman"/>
                <w:sz w:val="24"/>
              </w:rPr>
              <w:t>Метод вимірювання</w:t>
            </w:r>
          </w:p>
        </w:tc>
        <w:tc>
          <w:tcPr>
            <w:tcW w:type="dxa" w:w="3118"/>
          </w:tcPr>
          <w:p>
            <w:pPr>
              <w:ind w:firstLine="0"/>
              <w:jc w:val="left"/>
            </w:pPr>
            <w:r/>
            <w:r>
              <w:rPr>
                <w:rFonts w:ascii="Times New Roman" w:hAnsi="Times New Roman"/>
                <w:sz w:val="24"/>
              </w:rPr>
              <w:t>Гравіметричний, відбірник «Тайфун»</w:t>
            </w:r>
          </w:p>
        </w:tc>
        <w:tc>
          <w:tcPr>
            <w:tcW w:type="dxa" w:w="3118"/>
          </w:tcPr>
          <w:p>
            <w:pPr>
              <w:ind w:firstLine="0"/>
              <w:jc w:val="left"/>
            </w:pPr>
            <w:r/>
            <w:r>
              <w:rPr>
                <w:rFonts w:ascii="Times New Roman" w:hAnsi="Times New Roman"/>
                <w:sz w:val="24"/>
              </w:rPr>
              <w:t>Оптичний (лазерне розсіювання)</w:t>
            </w:r>
          </w:p>
        </w:tc>
      </w:tr>
      <w:tr>
        <w:tc>
          <w:tcPr>
            <w:tcW w:type="dxa" w:w="2551"/>
          </w:tcPr>
          <w:p>
            <w:pPr>
              <w:ind w:firstLine="0"/>
              <w:jc w:val="left"/>
            </w:pPr>
            <w:r/>
            <w:r>
              <w:rPr>
                <w:rFonts w:ascii="Times New Roman" w:hAnsi="Times New Roman"/>
                <w:sz w:val="24"/>
              </w:rPr>
              <w:t>Часовий крок</w:t>
            </w:r>
          </w:p>
        </w:tc>
        <w:tc>
          <w:tcPr>
            <w:tcW w:type="dxa" w:w="3118"/>
          </w:tcPr>
          <w:p>
            <w:pPr>
              <w:ind w:firstLine="0"/>
              <w:jc w:val="left"/>
            </w:pPr>
            <w:r/>
            <w:r>
              <w:rPr>
                <w:rFonts w:ascii="Times New Roman" w:hAnsi="Times New Roman"/>
                <w:sz w:val="24"/>
              </w:rPr>
              <w:t>01:00, 07:00, 13:00, 19:00</w:t>
            </w:r>
          </w:p>
        </w:tc>
        <w:tc>
          <w:tcPr>
            <w:tcW w:type="dxa" w:w="3118"/>
          </w:tcPr>
          <w:p>
            <w:pPr>
              <w:ind w:firstLine="0"/>
              <w:jc w:val="left"/>
            </w:pPr>
            <w:r/>
            <w:r>
              <w:rPr>
                <w:rFonts w:ascii="Times New Roman" w:hAnsi="Times New Roman"/>
                <w:sz w:val="24"/>
              </w:rPr>
              <w:t>15 хв безперервно</w:t>
            </w:r>
          </w:p>
        </w:tc>
      </w:tr>
      <w:tr>
        <w:tc>
          <w:tcPr>
            <w:tcW w:type="dxa" w:w="2551"/>
          </w:tcPr>
          <w:p>
            <w:pPr>
              <w:ind w:firstLine="0"/>
              <w:jc w:val="left"/>
            </w:pPr>
            <w:r/>
            <w:r>
              <w:rPr>
                <w:rFonts w:ascii="Times New Roman" w:hAnsi="Times New Roman"/>
                <w:sz w:val="24"/>
              </w:rPr>
              <w:t>Метеорологічні параметри</w:t>
            </w:r>
          </w:p>
        </w:tc>
        <w:tc>
          <w:tcPr>
            <w:tcW w:type="dxa" w:w="3118"/>
          </w:tcPr>
          <w:p>
            <w:pPr>
              <w:ind w:firstLine="0"/>
              <w:jc w:val="left"/>
            </w:pPr>
            <w:r/>
            <w:r>
              <w:rPr>
                <w:rFonts w:ascii="Times New Roman" w:hAnsi="Times New Roman"/>
                <w:sz w:val="24"/>
              </w:rPr>
              <w:t>T, RH, P, V_вітру, напрям вітру</w:t>
            </w:r>
          </w:p>
        </w:tc>
        <w:tc>
          <w:tcPr>
            <w:tcW w:type="dxa" w:w="3118"/>
          </w:tcPr>
          <w:p>
            <w:pPr>
              <w:ind w:firstLine="0"/>
              <w:jc w:val="left"/>
            </w:pPr>
            <w:r/>
            <w:r>
              <w:rPr>
                <w:rFonts w:ascii="Times New Roman" w:hAnsi="Times New Roman"/>
                <w:sz w:val="24"/>
              </w:rPr>
              <w:t>T, RH, P (вбудовані датчики)</w:t>
            </w:r>
          </w:p>
        </w:tc>
      </w:tr>
      <w:tr>
        <w:tc>
          <w:tcPr>
            <w:tcW w:type="dxa" w:w="2551"/>
          </w:tcPr>
          <w:p>
            <w:pPr>
              <w:ind w:firstLine="0"/>
              <w:jc w:val="left"/>
            </w:pPr>
            <w:r/>
            <w:r>
              <w:rPr>
                <w:rFonts w:ascii="Times New Roman" w:hAnsi="Times New Roman"/>
                <w:sz w:val="24"/>
              </w:rPr>
              <w:t>Метрологічна класифікація</w:t>
            </w:r>
          </w:p>
        </w:tc>
        <w:tc>
          <w:tcPr>
            <w:tcW w:type="dxa" w:w="3118"/>
          </w:tcPr>
          <w:p>
            <w:pPr>
              <w:ind w:firstLine="0"/>
              <w:jc w:val="left"/>
            </w:pPr>
            <w:r/>
            <w:r>
              <w:rPr>
                <w:rFonts w:ascii="Times New Roman" w:hAnsi="Times New Roman"/>
                <w:sz w:val="24"/>
              </w:rPr>
              <w:t>Референтний (Постанова КМУ № 827, дод. 3)</w:t>
            </w:r>
          </w:p>
        </w:tc>
        <w:tc>
          <w:tcPr>
            <w:tcW w:type="dxa" w:w="3118"/>
          </w:tcPr>
          <w:p>
            <w:pPr>
              <w:ind w:firstLine="0"/>
              <w:jc w:val="left"/>
            </w:pPr>
            <w:r/>
            <w:r>
              <w:rPr>
                <w:rFonts w:ascii="Times New Roman" w:hAnsi="Times New Roman"/>
                <w:sz w:val="24"/>
              </w:rPr>
              <w:t>Індикативний, сертифікат UA.TR.001 11-22 Rev.3</w:t>
            </w:r>
          </w:p>
        </w:tc>
      </w:tr>
      <w:tr>
        <w:tc>
          <w:tcPr>
            <w:tcW w:type="dxa" w:w="2551"/>
          </w:tcPr>
          <w:p>
            <w:pPr>
              <w:ind w:firstLine="0"/>
              <w:jc w:val="left"/>
            </w:pPr>
            <w:r/>
            <w:r>
              <w:rPr>
                <w:rFonts w:ascii="Times New Roman" w:hAnsi="Times New Roman"/>
                <w:sz w:val="24"/>
              </w:rPr>
              <w:t>Документація первинних даних</w:t>
            </w:r>
          </w:p>
        </w:tc>
        <w:tc>
          <w:tcPr>
            <w:tcW w:type="dxa" w:w="3118"/>
          </w:tcPr>
          <w:p>
            <w:pPr>
              <w:ind w:firstLine="0"/>
              <w:jc w:val="left"/>
            </w:pPr>
            <w:r/>
            <w:r>
              <w:rPr>
                <w:rFonts w:ascii="Times New Roman" w:hAnsi="Times New Roman"/>
                <w:sz w:val="24"/>
              </w:rPr>
              <w:t>Таблиці ТЗА (рукописні + електронні)</w:t>
            </w:r>
          </w:p>
        </w:tc>
        <w:tc>
          <w:tcPr>
            <w:tcW w:type="dxa" w:w="3118"/>
          </w:tcPr>
          <w:p>
            <w:pPr>
              <w:ind w:firstLine="0"/>
              <w:jc w:val="left"/>
            </w:pPr>
            <w:r/>
            <w:r>
              <w:rPr>
                <w:rFonts w:ascii="Times New Roman" w:hAnsi="Times New Roman"/>
                <w:sz w:val="24"/>
              </w:rPr>
              <w:t>CSV-архів CairCloud, файл системних подій</w:t>
            </w:r>
          </w:p>
        </w:tc>
      </w:tr>
      <w:tr>
        <w:tc>
          <w:tcPr>
            <w:tcW w:type="dxa" w:w="2551"/>
          </w:tcPr>
          <w:p>
            <w:pPr>
              <w:ind w:firstLine="0"/>
              <w:jc w:val="left"/>
            </w:pPr>
            <w:r/>
            <w:r>
              <w:rPr>
                <w:rFonts w:ascii="Times New Roman" w:hAnsi="Times New Roman"/>
                <w:sz w:val="24"/>
              </w:rPr>
              <w:t>Повнота архіву за 2024–2025 рр.</w:t>
            </w:r>
          </w:p>
        </w:tc>
        <w:tc>
          <w:tcPr>
            <w:tcW w:type="dxa" w:w="3118"/>
          </w:tcPr>
          <w:p>
            <w:pPr>
              <w:ind w:firstLine="0"/>
              <w:jc w:val="left"/>
            </w:pPr>
            <w:r/>
            <w:r>
              <w:rPr>
                <w:rFonts w:ascii="Times New Roman" w:hAnsi="Times New Roman"/>
                <w:sz w:val="24"/>
              </w:rPr>
              <w:t>≈ 94 %</w:t>
            </w:r>
          </w:p>
        </w:tc>
        <w:tc>
          <w:tcPr>
            <w:tcW w:type="dxa" w:w="3118"/>
          </w:tcPr>
          <w:p>
            <w:pPr>
              <w:ind w:firstLine="0"/>
              <w:jc w:val="left"/>
            </w:pPr>
            <w:r/>
            <w:r>
              <w:rPr>
                <w:rFonts w:ascii="Times New Roman" w:hAnsi="Times New Roman"/>
                <w:sz w:val="24"/>
              </w:rPr>
              <w:t>≈ 98 %</w:t>
            </w:r>
          </w:p>
        </w:tc>
      </w:tr>
    </w:tbl>
    <w:p>
      <w:pPr>
        <w:spacing w:line="360" w:lineRule="auto"/>
        <w:ind w:firstLine="709"/>
        <w:jc w:val="both"/>
      </w:pPr>
      <w:r>
        <w:rPr>
          <w:rFonts w:ascii="Times New Roman" w:hAnsi="Times New Roman"/>
          <w:sz w:val="28"/>
        </w:rPr>
        <w:t>Окремо слід прокоментувати схему синхронізації часових рядів для обраної колокованої пари. Референтні дані ТЗА посту № 3 оформлюються у локальному часі (GMT+2 / GMT+3 з урахуванням переходу на літній і зимовий час), тоді як індикативні дані станції pan2 — у часі за UTC. Перетворення часових міток у єдину часову шкалу виконується на етапі цифровізації первинних даних з використанням контрольованих програмних засобів, що детально описано у Розділі 4. Окремо обробляються дві дати переходу між літнім і зимовим часом, у які потенційно можливі невідповідності у годинній мітці. Аналіз показав, що ці дати містять приблизно по чотири синхронізовані запити, тобто їх внесок у загальний обсяг вибірки є несуттєвим, але вони підлягають окремій перевірці на узгодженість.</w:t>
      </w:r>
    </w:p>
    <w:p>
      <w:pPr>
        <w:spacing w:line="360" w:lineRule="auto"/>
        <w:ind w:firstLine="709"/>
        <w:jc w:val="both"/>
      </w:pPr>
      <w:r>
        <w:rPr>
          <w:rFonts w:ascii="Times New Roman" w:hAnsi="Times New Roman"/>
          <w:sz w:val="28"/>
        </w:rPr>
        <w:t>Архів первинних даних, отриманий у рамках колокованих вимірювань на пості № 3, формується у трьох форматах: відскановані ТЗА у вигляді PDF-файлів з підписами і печатками лабораторії; цифровий зведений Excel-файл, у якому об'єднано переписані вручну значення TSP та метеорологічних параметрів за часовими мітками; автоматично завантажений CSV-архів CairCloud з індикативним PM₁₀ та супутніми параметрами станції. Така трирівнева структура архіву забезпечує можливість повної ретроспективної верифікації даних на будь-якому етапі обробки. Файли зберігаються у захищеному робочому середовищі з регулярним резервним копіюванням, що виключає ризик втрати первинних даних.</w:t>
      </w:r>
    </w:p>
    <w:p>
      <w:pPr>
        <w:spacing w:line="360" w:lineRule="auto"/>
        <w:ind w:firstLine="709"/>
        <w:jc w:val="both"/>
      </w:pPr>
      <w:r>
        <w:rPr>
          <w:rFonts w:ascii="Times New Roman" w:hAnsi="Times New Roman"/>
          <w:sz w:val="28"/>
        </w:rPr>
        <w:t>Сукупність технічних характеристик обраної колокованої пари дозволяє стверджувати, що вона придатна для коректного отримання статистично значущого набору парних значень PM₁₀ і TSP, необхідного для розв'язання задач, сформульованих у пункті 3.3.3. Подальша обробка цього набору, побудова моделі корекції та оцінювання її точності описано у Розділах 4–7 дисертаційної роботи.</w:t>
      </w:r>
    </w:p>
    <w:p>
      <w:pPr>
        <w:spacing w:before="240" w:after="120"/>
        <w:ind w:firstLine="0"/>
        <w:jc w:val="center"/>
      </w:pPr>
      <w:r>
        <w:rPr>
          <w:rFonts w:ascii="Times New Roman" w:hAnsi="Times New Roman"/>
          <w:b/>
          <w:sz w:val="28"/>
        </w:rPr>
        <w:t>Висновки до розділу 3</w:t>
      </w:r>
    </w:p>
    <w:p>
      <w:pPr>
        <w:spacing w:line="360" w:lineRule="auto"/>
        <w:ind w:firstLine="709"/>
        <w:jc w:val="both"/>
      </w:pPr>
      <w:r>
        <w:rPr>
          <w:rFonts w:ascii="Times New Roman" w:hAnsi="Times New Roman"/>
          <w:sz w:val="28"/>
        </w:rPr>
        <w:t>У третьому розділі обґрунтовано вибір об'єкта і схеми експериментальної частини дисертаційного дослідження. Об'єктом обрано Криворізьку агломерацію, для якої характерне поєднання великого гірничодобувного й металургійного виробництв з розгалуженою мережею референтних і сертифікованих індикативних пунктів спостереження за станом атмосферного повітря. Аерозольне середовище такого типу не має достатньої доказової бази у вітчизняних колокованих дослідженнях TSP/PM₁₀, що робить вибір цього міста науково обґрунтованим і практично доцільним з точки зору підвищення екологічної безпеки.</w:t>
      </w:r>
    </w:p>
    <w:p>
      <w:pPr>
        <w:spacing w:line="360" w:lineRule="auto"/>
        <w:ind w:firstLine="709"/>
        <w:jc w:val="both"/>
      </w:pPr>
      <w:r>
        <w:rPr>
          <w:rFonts w:ascii="Times New Roman" w:hAnsi="Times New Roman"/>
          <w:sz w:val="28"/>
        </w:rPr>
        <w:t>Аналіз мережі постів спостереження виявив п'ять референтних пунктів гідрометеорологічної служби (№ 1, 2, 3, 6, 7) і чотири індикативні станції ENVEA Cairnet (post893/pan2, post906/pan3, post939/pan5, post940/pan6). Просторовий розподіл показав, що за критерієм локальної однорідності аерозолю (відстань у межах 1 000 м) у місті існують лише дві придатні колоковані пари: ПСЗ № 3 — post893 (pan2) з відстанню 443 м і ПСЗ № 7 — post939 (pan5) з відстанню 835 м. Інші референтні пости не мають у радіусі 1,5 км сертифікованих індикативних станцій.</w:t>
      </w:r>
    </w:p>
    <w:p>
      <w:pPr>
        <w:spacing w:line="360" w:lineRule="auto"/>
        <w:ind w:firstLine="709"/>
        <w:jc w:val="both"/>
      </w:pPr>
      <w:r>
        <w:rPr>
          <w:rFonts w:ascii="Times New Roman" w:hAnsi="Times New Roman"/>
          <w:sz w:val="28"/>
        </w:rPr>
        <w:t>Розглянуто методичні засади колокованих вимірювань відповідно до Керівництва Європейського директорату з демонстрації еквівалентності методів моніторингу атмосферного повітря (GDE 2010), стандартів EN 12341 та EN 16450, методичних документів Агентства з охорони довкілля США (QA/G-5 і 40 CFR Part 58, Appendix A) і національних нормативних актів — Постанов КМУ № 827 і № 94, Наказів МВС № 300 та Міндовкілля № 590. Доведено, що чинна нормативно-методична база України дозволяє проводити колоковані вимірювання у пунктах, де референтні і індикативні засоби розташовані просторово близько, з використанням отриманих даних для уточнення показників державного моніторингу.</w:t>
      </w:r>
    </w:p>
    <w:p>
      <w:pPr>
        <w:spacing w:line="360" w:lineRule="auto"/>
        <w:ind w:firstLine="709"/>
        <w:jc w:val="both"/>
      </w:pPr>
      <w:r>
        <w:rPr>
          <w:rFonts w:ascii="Times New Roman" w:hAnsi="Times New Roman"/>
          <w:sz w:val="28"/>
        </w:rPr>
        <w:t>Сформульовано три ключові задачі колокованих вимірювань для Криворізької агломерації — формування репрезентативної вибірки парних значень TSP/PM₁₀, оцінювання сезонної і метеозалежної мінливості коефіцієнта перерахунку, а також створення емпіричної основи для розробки програмно-алгоритмічного методу корекції індикативних вимірювань. Виявлено, що пара ПСЗ № 3 — post893 (pan2) задовольняє усі чотири критерії вибору ведучого пункту: мінімальна відстань між інструментами, репрезентативність змішаного промислово-міського аерозолю, повний набір метеорологічних вимірювань і висока повнота архіву первинних даних (понад 94 % для ТЗА і понад 98 % для CairCloud).</w:t>
      </w:r>
    </w:p>
    <w:p>
      <w:pPr>
        <w:spacing w:line="360" w:lineRule="auto"/>
        <w:ind w:firstLine="709"/>
        <w:jc w:val="both"/>
      </w:pPr>
      <w:r>
        <w:rPr>
          <w:rFonts w:ascii="Times New Roman" w:hAnsi="Times New Roman"/>
          <w:sz w:val="28"/>
        </w:rPr>
        <w:t>Прийнято до використання двопостову схему: ведучим пунктом є пара ПСЗ № 3 — post893 (pan2) на площі Визволення в Центрально-Міському районі, контрольним — пара ПСЗ № 7 — post939 (pan5) у житловому секторі північно-східної частини міста. Така комбінація відповідає рекомендаціям GDE 2010 щодо включення у програму паралельних вимірювань пунктів з різними функціональними характеристиками, забезпечує повноту просторового покриття типових для агломерацій умов і створює можливість незалежного тестування програмно-алгоритмічного методу корекції на пункті, що не використовується для первинного навчання моделі.</w:t>
      </w:r>
    </w:p>
    <w:p>
      <w:pPr>
        <w:spacing w:line="360" w:lineRule="auto"/>
        <w:ind w:firstLine="709"/>
        <w:jc w:val="both"/>
      </w:pPr>
      <w:r>
        <w:rPr>
          <w:rFonts w:ascii="Times New Roman" w:hAnsi="Times New Roman"/>
          <w:sz w:val="28"/>
        </w:rPr>
        <w:t>Сформовано технічну характеристику ведучого колокованого пункту: висоти забору проб (1,7 м для TSP і близько 4 м для оптичного сенсора PM₁₀), азимут і відстань між інструментами (220°, 443 м), узгодженість часових міток (на годинну сітку 01:00, 07:00, 13:00, 19:00), порядок фільтрації первинних даних за кодами якості (включення лише QC = A). Ця характеристика створює методичну основу для процедур, що розглядаються в наступних розділах: цифровізації і верифікації первинних даних (Розділ 4), валідації індикативних вимірювань (Розділ 5), розрахунку коефіцієнта PM₁₀/TSP (Розділ 6), побудови програмно-алгоритмічного методу корекції (Розділ 7) і оцінювання його впливу на рівень екологічної безпеки (Розділ 8).</w:t>
      </w:r>
    </w:p>
    <w:p>
      <w:pPr>
        <w:ind w:firstLine="0"/>
      </w:pPr>
      <w:r>
        <w:br w:type="page"/>
      </w:r>
    </w:p>
    <w:p>
      <w:pPr>
        <w:spacing w:before="240" w:after="120"/>
        <w:ind w:firstLine="0"/>
        <w:jc w:val="center"/>
      </w:pPr>
      <w:r>
        <w:rPr>
          <w:rFonts w:ascii="Times New Roman" w:hAnsi="Times New Roman"/>
          <w:b/>
          <w:sz w:val="28"/>
        </w:rPr>
        <w:t>СПИСОК ВИКОРИСТАНИХ ДЖЕРЕЛ</w:t>
      </w:r>
    </w:p>
    <w:p>
      <w:pPr>
        <w:spacing w:line="360" w:lineRule="auto"/>
        <w:ind w:firstLine="709"/>
        <w:jc w:val="both"/>
      </w:pPr>
      <w:r>
        <w:rPr>
          <w:rFonts w:ascii="Times New Roman" w:hAnsi="Times New Roman"/>
          <w:sz w:val="28"/>
        </w:rPr>
        <w:t>1. Деякі питання здійснення державного моніторингу в галузі охорони атмосферного повітря: Постанова Кабінету Міністрів України від 14.08.2019 № 827. URL: https://zakon.rada.gov.ua/laws/show/827-2019-п (дата звернення: 02.05.2026).</w:t>
      </w:r>
    </w:p>
    <w:p>
      <w:pPr>
        <w:spacing w:line="360" w:lineRule="auto"/>
        <w:ind w:firstLine="709"/>
        <w:jc w:val="both"/>
      </w:pPr>
      <w:r>
        <w:rPr>
          <w:rFonts w:ascii="Times New Roman" w:hAnsi="Times New Roman"/>
          <w:sz w:val="28"/>
        </w:rPr>
        <w:t>2. Про затвердження Порядку формування індексу якості атмосферного повітря: Наказ Міністерства захисту довкілля та природних ресурсів України від 24.03.2025 № 590, зареєстровано в Міністерстві юстиції України 11.04.2025 за № 536/43942. URL: https://zakon.rada.gov.ua/laws/show/z0536-25 (дата звернення: 02.05.2026).</w:t>
      </w:r>
    </w:p>
    <w:p>
      <w:pPr>
        <w:spacing w:line="360" w:lineRule="auto"/>
        <w:ind w:firstLine="709"/>
        <w:jc w:val="both"/>
      </w:pPr>
      <w:r>
        <w:rPr>
          <w:rFonts w:ascii="Times New Roman" w:hAnsi="Times New Roman"/>
          <w:sz w:val="28"/>
        </w:rPr>
        <w:t>3. Огляд стану забруднення довкілля на території України за 2024 рік / Центральна геофізична обсерваторія імені Бориса Срезневського. Київ, 2025. URL: https://cgo-sreznevskyi.kyiv.ua/images/ОГЛЯД_2024_повний_варіантdoc_1-сжатый.pdf (дата звернення: 02.05.2026).</w:t>
      </w:r>
    </w:p>
    <w:p>
      <w:pPr>
        <w:spacing w:line="360" w:lineRule="auto"/>
        <w:ind w:firstLine="709"/>
        <w:jc w:val="both"/>
      </w:pPr>
      <w:r>
        <w:rPr>
          <w:rFonts w:ascii="Times New Roman" w:hAnsi="Times New Roman"/>
          <w:sz w:val="28"/>
        </w:rPr>
        <w:t>4. Огляд стану забруднення довкілля на території України за І півріччя 2025 р. / Центральна геофізична обсерваторія імені Бориса Срезневського. Київ, 2025. URL: https://cgo-sreznevskyi.kyiv.ua/images/oglyad-stanu-zabrudnennya_-І_-2025.pdf (дата звернення: 02.05.2026).</w:t>
      </w:r>
    </w:p>
    <w:p>
      <w:pPr>
        <w:spacing w:line="360" w:lineRule="auto"/>
        <w:ind w:firstLine="709"/>
        <w:jc w:val="both"/>
      </w:pPr>
      <w:r>
        <w:rPr>
          <w:rFonts w:ascii="Times New Roman" w:hAnsi="Times New Roman"/>
          <w:sz w:val="28"/>
        </w:rPr>
        <w:t>5. Про затвердження нормативів граничнодопустимих викидів забруднюючих речовин із стаціонарних джерел: Наказ Міністерства охорони навколишнього природного середовища України від 27.06.2006 № 309, зареєстровано в Міністерстві юстиції України 01.08.2006 за № 912/12786. URL: https://zakon.rada.gov.ua/laws/show/z0912-06 (дата звернення: 02.05.2026).</w:t>
      </w:r>
    </w:p>
    <w:p>
      <w:pPr>
        <w:spacing w:line="360" w:lineRule="auto"/>
        <w:ind w:firstLine="709"/>
        <w:jc w:val="both"/>
      </w:pPr>
      <w:r>
        <w:rPr>
          <w:rFonts w:ascii="Times New Roman" w:hAnsi="Times New Roman"/>
          <w:sz w:val="28"/>
        </w:rPr>
        <w:t>6. Про внесення змін до постанов Кабінету Міністрів України від 13 грудня 2001 р. № 1655 і від 14 серпня 2019 р. № 827: Постанова Кабінету Міністрів України від 07.05.2024 № 513. URL: https://zakon.rada.gov.ua/laws/show/513-2024-п (дата звернення: 02.05.2026).</w:t>
      </w:r>
    </w:p>
    <w:p>
      <w:pPr>
        <w:spacing w:line="360" w:lineRule="auto"/>
        <w:ind w:firstLine="709"/>
        <w:jc w:val="both"/>
      </w:pPr>
      <w:r>
        <w:rPr>
          <w:rFonts w:ascii="Times New Roman" w:hAnsi="Times New Roman"/>
          <w:sz w:val="28"/>
        </w:rPr>
        <w:t>7. Brook J. R., Dann T. F., Burnett R. T. The relationship among TSP, PM10, PM2.5, and inorganic constituents of atmospheric particulate matter at multiple Canadian locations. Journal of the Air &amp; Waste Management Association. 1997. Vol. 47, no. 1. P. 2–19. DOI: https://doi.org/10.1080/10473289.1997.10464407.</w:t>
      </w:r>
    </w:p>
    <w:p>
      <w:pPr>
        <w:spacing w:line="360" w:lineRule="auto"/>
        <w:ind w:firstLine="709"/>
        <w:jc w:val="both"/>
      </w:pPr>
      <w:r>
        <w:rPr>
          <w:rFonts w:ascii="Times New Roman" w:hAnsi="Times New Roman"/>
          <w:sz w:val="28"/>
        </w:rPr>
        <w:t>8. Gholampour A., Nabizadeh R., Naseri S. et al. Exposure and health impacts of outdoor particulate matter in two urban and industrialized area of Tabriz, Iran. Journal of Environmental Health Science and Engineering. 2014. Vol. 12. Art. 27. DOI: https://doi.org/10.1186/2052-336X-12-27.</w:t>
      </w:r>
    </w:p>
    <w:p>
      <w:pPr>
        <w:spacing w:line="360" w:lineRule="auto"/>
        <w:ind w:firstLine="709"/>
        <w:jc w:val="both"/>
      </w:pPr>
      <w:r>
        <w:rPr>
          <w:rFonts w:ascii="Times New Roman" w:hAnsi="Times New Roman"/>
          <w:sz w:val="28"/>
        </w:rPr>
        <w:t>9. Vogt M., Schneider P., Castell N., Hamer P. Assessment of low-cost particulate matter sensor systems against optical and gravimetric methods in a field co-location in Norway. Atmosphere. 2021. Vol. 12, no. 8. Art. 961. DOI: https://doi.org/10.3390/atmos12080961.</w:t>
      </w:r>
    </w:p>
    <w:p>
      <w:pPr>
        <w:spacing w:line="360" w:lineRule="auto"/>
        <w:ind w:firstLine="709"/>
        <w:jc w:val="both"/>
      </w:pPr>
      <w:r>
        <w:rPr>
          <w:rFonts w:ascii="Times New Roman" w:hAnsi="Times New Roman"/>
          <w:sz w:val="28"/>
        </w:rPr>
        <w:t>10. Air pollution in Kryvyi Rih at very high level due to mining processing plants operations / Business &amp; Human Rights Resource Centre. 2021. URL: https://www.business-humanrights.org/en/latest-news/ukraine-air-pollution-in-kryvyi-rih-at-very-high-level-due-to-mining-processing-plants-operations/ (дата звернення: 02.05.2026).</w:t>
      </w:r>
    </w:p>
    <w:p>
      <w:pPr>
        <w:spacing w:line="360" w:lineRule="auto"/>
        <w:ind w:firstLine="709"/>
        <w:jc w:val="both"/>
      </w:pPr>
      <w:r>
        <w:rPr>
          <w:rFonts w:ascii="Times New Roman" w:hAnsi="Times New Roman"/>
          <w:sz w:val="28"/>
        </w:rPr>
        <w:t>11. Directive (EU) 2024/2881 of the European Parliament and of the Council of 23 October 2024 on ambient air quality and cleaner air for Europe (recast). Official Journal of the European Union. 2024. URL: https://eur-lex.europa.eu/legal-content/EN/TXT/PDF/?uri=OJ:L_202402881 (дата звернення: 02.05.2026).</w:t>
      </w:r>
    </w:p>
    <w:p>
      <w:pPr>
        <w:spacing w:line="360" w:lineRule="auto"/>
        <w:ind w:firstLine="709"/>
        <w:jc w:val="both"/>
      </w:pPr>
      <w:r>
        <w:rPr>
          <w:rFonts w:ascii="Times New Roman" w:hAnsi="Times New Roman"/>
          <w:sz w:val="28"/>
        </w:rPr>
        <w:t>12. Деякі питання функціонування державної системи моніторингу довкілля та її підсистем: Постанова Кабінету Міністрів України від 13.06.2024 № 684. URL: https://zakon.rada.gov.ua/laws/show/684-2024-п (дата звернення: 02.05.2026).</w:t>
      </w:r>
    </w:p>
    <w:p>
      <w:pPr>
        <w:spacing w:line="360" w:lineRule="auto"/>
        <w:ind w:firstLine="709"/>
        <w:jc w:val="both"/>
      </w:pPr>
      <w:r>
        <w:rPr>
          <w:rFonts w:ascii="Times New Roman" w:hAnsi="Times New Roman"/>
          <w:sz w:val="28"/>
        </w:rPr>
        <w:t>13. Про охорону навколишнього природного середовища: Закон України від 25.06.1991 № 1264-XII. URL: https://zakon.rada.gov.ua/laws/show/1264-12 (дата звернення: 02.05.2026).</w:t>
      </w:r>
    </w:p>
    <w:p>
      <w:pPr>
        <w:spacing w:line="360" w:lineRule="auto"/>
        <w:ind w:firstLine="709"/>
        <w:jc w:val="both"/>
      </w:pPr>
      <w:r>
        <w:rPr>
          <w:rFonts w:ascii="Times New Roman" w:hAnsi="Times New Roman"/>
          <w:sz w:val="28"/>
        </w:rPr>
        <w:t>14. Ambient (outdoor) air pollution: fact sheet / World Health Organization. URL: https://www.who.int/news-room/fact-sheets/detail/ambient-(outdoor)-air-quality-and-health (дата звернення: 02.05.2026).</w:t>
      </w:r>
    </w:p>
    <w:p>
      <w:pPr>
        <w:spacing w:line="360" w:lineRule="auto"/>
        <w:ind w:firstLine="709"/>
        <w:jc w:val="both"/>
      </w:pPr>
      <w:r>
        <w:rPr>
          <w:rFonts w:ascii="Times New Roman" w:hAnsi="Times New Roman"/>
          <w:sz w:val="28"/>
        </w:rPr>
        <w:t>15. WHO global air quality guidelines: particulate matter (PM2.5 and PM10), ozone, nitrogen dioxide, sulfur dioxide and carbon monoxide / World Health Organization. Geneva: WHO, 2021. 273 p. URL: https://www.who.int/publications/i/item/9789240034228 (дата звернення: 02.05.2026).</w:t>
      </w:r>
    </w:p>
    <w:p>
      <w:pPr>
        <w:spacing w:line="360" w:lineRule="auto"/>
        <w:ind w:firstLine="709"/>
        <w:jc w:val="both"/>
      </w:pPr>
      <w:r>
        <w:rPr>
          <w:rFonts w:ascii="Times New Roman" w:hAnsi="Times New Roman"/>
          <w:sz w:val="28"/>
        </w:rPr>
        <w:t>16. How air pollution affects our health / European Environment Agency. Copenhagen, 2023. URL: https://www.eea.europa.eu/en/topics/in-depth/air-pollution/how-it-affects-our-health (дата звернення: 02.05.2026).</w:t>
      </w:r>
    </w:p>
    <w:p>
      <w:pPr>
        <w:spacing w:line="360" w:lineRule="auto"/>
        <w:ind w:firstLine="709"/>
        <w:jc w:val="both"/>
      </w:pPr>
      <w:r>
        <w:rPr>
          <w:rFonts w:ascii="Times New Roman" w:hAnsi="Times New Roman"/>
          <w:sz w:val="28"/>
        </w:rPr>
        <w:t>17. Про охорону атмосферного повітря: Закон України від 16.10.1992 № 2707-XII. URL: https://zakon.rada.gov.ua/laws/show/2707-12 (дата звернення: 02.05.2026).</w:t>
      </w:r>
    </w:p>
    <w:p>
      <w:pPr>
        <w:spacing w:line="360" w:lineRule="auto"/>
        <w:ind w:firstLine="709"/>
        <w:jc w:val="both"/>
      </w:pPr>
      <w:r>
        <w:rPr>
          <w:rFonts w:ascii="Times New Roman" w:hAnsi="Times New Roman"/>
          <w:sz w:val="28"/>
        </w:rPr>
        <w:t>18. 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 Закон України від 20.03.2023 № 2973-IX. URL: https://zakon.rada.gov.ua/laws/show/2973-20 (дата звернення: 02.05.2026).</w:t>
      </w:r>
    </w:p>
    <w:p>
      <w:pPr>
        <w:spacing w:line="360" w:lineRule="auto"/>
        <w:ind w:firstLine="709"/>
        <w:jc w:val="both"/>
      </w:pPr>
      <w:r>
        <w:rPr>
          <w:rFonts w:ascii="Times New Roman" w:hAnsi="Times New Roman"/>
          <w:sz w:val="28"/>
        </w:rPr>
        <w:t>19. Про затвердження Порядку розміщення пунктів спостережень за станом атмосферного повітря: Наказ Міністерства внутрішніх справ України від 21.04.2021 № 300, зареєстровано в Міністерстві юстиції України 17.05.2021 за № 635/36257. URL: https://zakon.rada.gov.ua/laws/show/z0635-21 (дата звернення: 02.05.2026).</w:t>
      </w:r>
    </w:p>
    <w:p>
      <w:pPr>
        <w:spacing w:line="360" w:lineRule="auto"/>
        <w:ind w:firstLine="709"/>
        <w:jc w:val="both"/>
      </w:pPr>
      <w:r>
        <w:rPr>
          <w:rFonts w:ascii="Times New Roman" w:hAnsi="Times New Roman"/>
          <w:sz w:val="28"/>
        </w:rPr>
        <w:t>20. Зелена книга «Моніторинг довкілля» / Міністерство захисту довкілля та природних ресурсів України. Київ, 2022. URL: https://mepr.gov.ua/wp-content/uploads/2023/02/Monitoring-Green-Paper_15_02_2022.pdf (дата звернення: 02.05.2026).</w:t>
      </w:r>
    </w:p>
    <w:p>
      <w:pPr>
        <w:spacing w:line="360" w:lineRule="auto"/>
        <w:ind w:firstLine="709"/>
        <w:jc w:val="both"/>
      </w:pPr>
      <w:r>
        <w:rPr>
          <w:rFonts w:ascii="Times New Roman" w:hAnsi="Times New Roman"/>
          <w:sz w:val="28"/>
        </w:rPr>
        <w:t>21. Directive 2008/50/EC of the European Parliament and of the Council of 21 May 2008 on ambient air quality and cleaner air for Europe. Official Journal of the European Union. 2008. L 152. P. 1–44. URL: https://eur-lex.europa.eu/legal-content/EN/TXT/PDF/?uri=OJ:L:2008:152:FULL (дата звернення: 02.05.2026).</w:t>
      </w:r>
    </w:p>
    <w:p>
      <w:pPr>
        <w:spacing w:line="360" w:lineRule="auto"/>
        <w:ind w:firstLine="709"/>
        <w:jc w:val="both"/>
      </w:pPr>
      <w:r>
        <w:rPr>
          <w:rFonts w:ascii="Times New Roman" w:hAnsi="Times New Roman"/>
          <w:sz w:val="28"/>
        </w:rPr>
        <w:t>22. Benchmark analysis against the standards in the revised Directive (EU) 2024/2881 / European Environment Agency. Air quality status report 2025. Copenhagen: EEA, 2025. URL: https://www.eea.europa.eu/en/analysis/publications/air-quality-status-report-2025/benchmark-analysis-against-the-standards-in-the-revised-directive-eu-2024-2881 (дата звернення: 02.05.2026).</w:t>
      </w:r>
    </w:p>
    <w:p>
      <w:pPr>
        <w:spacing w:line="360" w:lineRule="auto"/>
        <w:ind w:firstLine="709"/>
        <w:jc w:val="both"/>
      </w:pPr>
      <w:r>
        <w:rPr>
          <w:rFonts w:ascii="Times New Roman" w:hAnsi="Times New Roman"/>
          <w:sz w:val="28"/>
        </w:rPr>
        <w:t>23. EN 16450:2017. Ambient air — Automated measuring systems for the measurement of the concentration of particulate matter (PM10; PM2,5). Brussels: European Committee for Standardization (CEN), 2017. URL: https://standards.iteh.ai/catalog/standards/cen/21722c9a-74b9-4f47-901c-40ecec95dcfe/en-16450-2017 (дата звернення: 02.05.2026).</w:t>
      </w:r>
    </w:p>
    <w:p>
      <w:pPr>
        <w:spacing w:line="360" w:lineRule="auto"/>
        <w:ind w:firstLine="709"/>
        <w:jc w:val="both"/>
      </w:pPr>
      <w:r>
        <w:rPr>
          <w:rFonts w:ascii="Times New Roman" w:hAnsi="Times New Roman"/>
          <w:sz w:val="28"/>
        </w:rPr>
        <w:t>24. ISO 11222:2002. Air quality — Determination of the uncertainty of the time average of air quality measurements. Geneva: International Organization for Standardization, 2002. URL: https://www.iso.org/standard/32066.html (дата звернення: 02.05.2026).</w:t>
      </w:r>
    </w:p>
    <w:p>
      <w:pPr>
        <w:spacing w:line="360" w:lineRule="auto"/>
        <w:ind w:firstLine="709"/>
        <w:jc w:val="both"/>
      </w:pPr>
      <w:r>
        <w:rPr>
          <w:rFonts w:ascii="Times New Roman" w:hAnsi="Times New Roman"/>
          <w:sz w:val="28"/>
        </w:rPr>
        <w:t>25. US EPA. National Ambient Air Quality Standards for Particulate Matter. Federal Register. 1987. Vol. 52, No. 126. P. 24634–24641. URL: https://www.epa.gov/sites/default/files/2020-07/documents/pm-1987-final-52fr246341.pdf (дата звернення: 02.05.2026).</w:t>
      </w:r>
    </w:p>
    <w:p>
      <w:pPr>
        <w:spacing w:line="360" w:lineRule="auto"/>
        <w:ind w:firstLine="709"/>
        <w:jc w:val="both"/>
      </w:pPr>
      <w:r>
        <w:rPr>
          <w:rFonts w:ascii="Times New Roman" w:hAnsi="Times New Roman"/>
          <w:sz w:val="28"/>
        </w:rPr>
        <w:t>26. Monn Ch. et al. Particulate matter &lt;10 μm (PM10) and total suspended particulates (TSP) in urban, rural and alpine air in Switzerland. Atmospheric Environment. 1995. Vol. 29, No. 19. P. 2565–2573. URL: https://doi.org/10.1016/1352-2310(94)00279-G (дата звернення: 02.05.2026).</w:t>
      </w:r>
    </w:p>
    <w:p>
      <w:pPr>
        <w:spacing w:line="360" w:lineRule="auto"/>
        <w:ind w:firstLine="709"/>
        <w:jc w:val="both"/>
      </w:pPr>
      <w:r>
        <w:rPr>
          <w:rFonts w:ascii="Times New Roman" w:hAnsi="Times New Roman"/>
          <w:sz w:val="28"/>
        </w:rPr>
        <w:t>27. Mitra A. K., Bhattacharyya A. Seasonal variations of PM10 and TSP in residential and industrial sites in an urban area of Kolkata, India. Journal of Environmental Monitoring. 2006. Vol. 8. P. 1063–1070. URL: https://doi.org/10.1039/b609534h (дата звернення: 02.05.2026).</w:t>
      </w:r>
    </w:p>
    <w:p>
      <w:pPr>
        <w:spacing w:line="360" w:lineRule="auto"/>
        <w:ind w:firstLine="709"/>
        <w:jc w:val="both"/>
      </w:pPr>
      <w:r>
        <w:rPr>
          <w:rFonts w:ascii="Times New Roman" w:hAnsi="Times New Roman"/>
          <w:sz w:val="28"/>
        </w:rPr>
        <w:t>28. Keresztesi Á. et al. Temporal evolution of PM2,5, PM10, and total suspended particles (TSP) in the Ciuc basin (Transylvania) with specific microclimate condition from 2010 to 2019. Environmental Science and Pollution Research. 2023. Vol. 30. P. 64870–64884. URL: https://doi.org/10.1007/s11356-023-26875-z (дата звернення: 02.05.2026).</w:t>
      </w:r>
    </w:p>
    <w:p>
      <w:pPr>
        <w:spacing w:line="360" w:lineRule="auto"/>
        <w:ind w:firstLine="709"/>
        <w:jc w:val="both"/>
      </w:pPr>
      <w:r>
        <w:rPr>
          <w:rFonts w:ascii="Times New Roman" w:hAnsi="Times New Roman"/>
          <w:sz w:val="28"/>
        </w:rPr>
        <w:t>29. Tolis E. I. et al. Particulate matter over a seven year period in urban and rural areas within, proximal and far from mining and power station operations in Greece. Environmental Monitoring and Assessment. 2006. Vol. 122. P. 325–345. URL: https://doi.org/10.1007/s10661-005-9162-9 (дата звернення: 02.05.2026).</w:t>
      </w:r>
    </w:p>
    <w:p>
      <w:pPr>
        <w:spacing w:line="360" w:lineRule="auto"/>
        <w:ind w:firstLine="709"/>
        <w:jc w:val="both"/>
      </w:pPr>
      <w:r>
        <w:rPr>
          <w:rFonts w:ascii="Times New Roman" w:hAnsi="Times New Roman"/>
          <w:sz w:val="28"/>
        </w:rPr>
        <w:t>30. Bell M. L. et al. Environmental health indicators and a case study of air pollution in Latin American cities. Environmental Research. 2011. Vol. 111. P. 57–66. URL: https://doi.org/10.1016/j.envres.2010.10.002 (дата звернення: 02.05.2026).</w:t>
      </w:r>
    </w:p>
    <w:p>
      <w:pPr>
        <w:spacing w:line="360" w:lineRule="auto"/>
        <w:ind w:firstLine="709"/>
        <w:jc w:val="both"/>
      </w:pPr>
      <w:r>
        <w:rPr>
          <w:rFonts w:ascii="Times New Roman" w:hAnsi="Times New Roman"/>
          <w:sz w:val="28"/>
        </w:rPr>
        <w:t>31. Маремуха Т. П. Гігієнічна оцінка забруднення атмосферного повітря теплоенергетичними об'єктами: дис. … канд. мед. наук. Київ: ДУ «Інститут громадського здоров'я ім. О. М. Марзєєва НАМН України», 2021. URL: https://health.gov.ua/wp-content/uploads/2024/02/thesis_files_text_maremukha_t_p.pdf (дата звернення: 02.05.2026).</w:t>
      </w:r>
    </w:p>
    <w:p>
      <w:pPr>
        <w:spacing w:line="360" w:lineRule="auto"/>
        <w:ind w:firstLine="709"/>
        <w:jc w:val="both"/>
      </w:pPr>
      <w:r>
        <w:rPr>
          <w:rFonts w:ascii="Times New Roman" w:hAnsi="Times New Roman"/>
          <w:sz w:val="28"/>
        </w:rPr>
        <w:t>32. Ананьєва О. В. Оцінка забруднення атмосферного повітря викидами автомобільного транспорту (на прикладі м. Києва): дис. … канд. мед. наук. Київ: ДУ «Інститут громадського здоров'я ім. О. М. Марзєєва НАМН України», 2021. URL: https://health.gov.ua/wp-content/uploads/2024/02/thesis_files_text_ananiieva.pdf (дата звернення: 02.05.2026).</w:t>
      </w:r>
    </w:p>
    <w:p>
      <w:pPr>
        <w:spacing w:line="360" w:lineRule="auto"/>
        <w:ind w:firstLine="709"/>
        <w:jc w:val="both"/>
      </w:pPr>
      <w:r>
        <w:rPr>
          <w:rFonts w:ascii="Times New Roman" w:hAnsi="Times New Roman"/>
          <w:sz w:val="28"/>
        </w:rPr>
        <w:t>33. Адаменко С. Я., Архипова Л. М. Дослідження закономірностей змін PM2,5 та PM10 в атмосферному повітрі Прикарпаття. Екологічна безпека та природокористування. 2024. № 1. URL: https://ekmair.ukma.edu.ua/bitstreams/0dea7677-007d-44c1-80f4-db1d7419bae0/download (дата звернення: 02.05.2026).</w:t>
      </w:r>
    </w:p>
    <w:p>
      <w:pPr>
        <w:spacing w:line="360" w:lineRule="auto"/>
        <w:ind w:firstLine="709"/>
        <w:jc w:val="both"/>
      </w:pPr>
      <w:r>
        <w:rPr>
          <w:rFonts w:ascii="Times New Roman" w:hAnsi="Times New Roman"/>
          <w:sz w:val="28"/>
        </w:rPr>
        <w:t>34. Петросян А. А., Маремуха Т. П., Моргульова В. В. Удосконалення та організація автоматизованої системи моніторингу за якістю атмосферного повітря в Україні. Молодий вчений. 2020. № 8 (84). С. 97–102. URL: https://doi.org/10.32839/2304-5809/2020-8-84-19 (дата звернення: 02.05.2026).</w:t>
      </w:r>
    </w:p>
    <w:p>
      <w:pPr>
        <w:spacing w:line="360" w:lineRule="auto"/>
        <w:ind w:firstLine="709"/>
        <w:jc w:val="both"/>
      </w:pPr>
      <w:r>
        <w:rPr>
          <w:rFonts w:ascii="Times New Roman" w:hAnsi="Times New Roman"/>
          <w:sz w:val="28"/>
        </w:rPr>
        <w:t>35. He Y. et al. Analysis of the Dust-Concentration Distribution Law in an Open-Pit Mine and Its Influencing Factors. Frontiers in Earth Science. 2022. Vol. 10. URL: https://doi.org/10.3389/feart.2022.1046603 (дата звернення: 02.05.2026).</w:t>
      </w:r>
    </w:p>
    <w:p>
      <w:pPr>
        <w:spacing w:line="360" w:lineRule="auto"/>
        <w:ind w:firstLine="709"/>
        <w:jc w:val="both"/>
      </w:pPr>
      <w:r>
        <w:rPr>
          <w:rFonts w:ascii="Times New Roman" w:hAnsi="Times New Roman"/>
          <w:sz w:val="28"/>
        </w:rPr>
        <w:t>36. Huertas J. I., Huertas M. E., Izquierdo S., Gonzalez E. D. Standardized emissions inventory methodology for open-pit mining areas. Environmental Science and Pollution Research. 2012. Vol. 19. P. 2784–2794. URL: https://doi.org/10.1007/s11356-012-0778-3 (дата звернення: 02.05.2026).</w:t>
      </w:r>
    </w:p>
    <w:p>
      <w:pPr>
        <w:spacing w:line="360" w:lineRule="auto"/>
        <w:ind w:firstLine="709"/>
        <w:jc w:val="both"/>
      </w:pPr>
      <w:r>
        <w:rPr>
          <w:rFonts w:ascii="Times New Roman" w:hAnsi="Times New Roman"/>
          <w:sz w:val="28"/>
        </w:rPr>
        <w:t>37. Rienda I. C., Alves C. Road dust resuspension: A review. Atmospheric Research. 2021. Vol. 261. P. 105740. URL: https://doi.org/10.1016/j.atmosres.2021.105740 (дата звернення: 02.05.2026).</w:t>
      </w:r>
    </w:p>
    <w:p>
      <w:pPr>
        <w:spacing w:line="360" w:lineRule="auto"/>
        <w:ind w:firstLine="709"/>
        <w:jc w:val="both"/>
      </w:pPr>
      <w:r>
        <w:rPr>
          <w:rFonts w:ascii="Times New Roman" w:hAnsi="Times New Roman"/>
          <w:sz w:val="28"/>
        </w:rPr>
        <w:t>38. Mohan Kumar S., Srimuruganandam B. Review of Road Dust Resuspension Modelling Approaches and Comparisons Analysis for a UK Case Study. Atmosphere. 2022. Vol. 13, No. 9. Art. 1403. URL: https://doi.org/10.3390/atmos13091403 (дата звернення: 02.05.2026).</w:t>
      </w:r>
    </w:p>
    <w:p>
      <w:pPr>
        <w:spacing w:line="360" w:lineRule="auto"/>
        <w:ind w:firstLine="709"/>
        <w:jc w:val="both"/>
      </w:pPr>
      <w:r>
        <w:rPr>
          <w:rFonts w:ascii="Times New Roman" w:hAnsi="Times New Roman"/>
          <w:sz w:val="28"/>
        </w:rPr>
        <w:t>39. Volná V. et al. Detailed Assessment of the Effects of Meteorological Conditions on PM10 Concentrations in the Northeastern Part of the Czech Republic. Atmosphere. 2020. Vol. 11, No. 5. Art. 497. URL: https://doi.org/10.3390/atmos11050497 (дата звернення: 02.05.2026).</w:t>
      </w:r>
    </w:p>
    <w:p>
      <w:pPr>
        <w:spacing w:line="360" w:lineRule="auto"/>
        <w:ind w:firstLine="709"/>
        <w:jc w:val="both"/>
      </w:pPr>
      <w:r>
        <w:rPr>
          <w:rFonts w:ascii="Times New Roman" w:hAnsi="Times New Roman"/>
          <w:sz w:val="28"/>
        </w:rPr>
        <w:t>40. Di Antonio A., Popoola O. A. M., Ouyang B., Saffell J., Jones R. L. Developing a Relative Humidity Correction for Low-Cost Sensors Measuring Ambient Particulate Matter. Sensors. 2018. Vol. 18, No. 9. Art. 2790. DOI: https://doi.org/10.3390/s18092790.</w:t>
      </w:r>
    </w:p>
    <w:p>
      <w:pPr>
        <w:spacing w:line="360" w:lineRule="auto"/>
        <w:ind w:firstLine="709"/>
        <w:jc w:val="both"/>
      </w:pPr>
      <w:r>
        <w:rPr>
          <w:rFonts w:ascii="Times New Roman" w:hAnsi="Times New Roman"/>
          <w:sz w:val="28"/>
        </w:rPr>
        <w:t>41. Owczarek T. Equivalence of low-cost PM10 concentration measuring devices with a reference method using various correction functions. Economics and Environment. 2024. Vol. 87, No. 4. Art. 627. URL: https://doi.org/10.34659/eis.2023.87.4.627 (дата звернення: 02.05.2026).</w:t>
      </w:r>
    </w:p>
    <w:p>
      <w:pPr>
        <w:spacing w:line="360" w:lineRule="auto"/>
        <w:ind w:firstLine="709"/>
        <w:jc w:val="both"/>
      </w:pPr>
      <w:r>
        <w:rPr>
          <w:rFonts w:ascii="Times New Roman" w:hAnsi="Times New Roman"/>
          <w:sz w:val="28"/>
        </w:rPr>
        <w:t>42. Milovanovic B. et al. Developing Relative Humidity and Temperature Corrections for Low-Cost Sensors Using Machine Learning. Sensors. 2021. Vol. 21, No. 10. Art. 3338. DOI: https://doi.org/10.3390/s21103338.</w:t>
      </w:r>
    </w:p>
    <w:p>
      <w:pPr>
        <w:spacing w:line="360" w:lineRule="auto"/>
        <w:ind w:firstLine="709"/>
        <w:jc w:val="both"/>
      </w:pPr>
      <w:r>
        <w:rPr>
          <w:rFonts w:ascii="Times New Roman" w:hAnsi="Times New Roman"/>
          <w:sz w:val="28"/>
        </w:rPr>
        <w:t>43. Rai A. C. et al. End-user perspective of low-cost sensors for outdoor air pollution monitoring. Science of the Total Environment. 2017. Vol. 607–608. P. 691–705. URL: https://doi.org/10.1016/j.scitotenv.2017.06.266 (дата звернення: 02.05.2026).</w:t>
      </w:r>
    </w:p>
    <w:p>
      <w:pPr>
        <w:spacing w:line="360" w:lineRule="auto"/>
        <w:ind w:firstLine="709"/>
        <w:jc w:val="both"/>
      </w:pPr>
      <w:r>
        <w:rPr>
          <w:rFonts w:ascii="Times New Roman" w:hAnsi="Times New Roman"/>
          <w:sz w:val="28"/>
        </w:rPr>
        <w:t>44. Kumar V., Sahu M. Evaluation of nine machine learning regression algorithms for calibration of low-cost PM2,5 sensor. Journal of Aerosol Science. 2021. Vol. 157. Art. 105809. URL: https://doi.org/10.1016/j.jaerosci.2021.105809 (дата звернення: 02.05.2026).</w:t>
      </w:r>
    </w:p>
    <w:p>
      <w:pPr>
        <w:spacing w:line="360" w:lineRule="auto"/>
        <w:ind w:firstLine="709"/>
        <w:jc w:val="both"/>
      </w:pPr>
      <w:r>
        <w:rPr>
          <w:rFonts w:ascii="Times New Roman" w:hAnsi="Times New Roman"/>
          <w:sz w:val="28"/>
        </w:rPr>
        <w:t>45. Chen R. et al. Correction of Light Scattering-Based Total Suspended Particulate Measurements through Machine Learning. Atmosphere. 2020. Vol. 11, No. 2. Art. 139. URL: https://doi.org/10.3390/atmos11020139 (дата звернення: 02.05.2026).</w:t>
      </w:r>
    </w:p>
    <w:p>
      <w:pPr>
        <w:spacing w:line="360" w:lineRule="auto"/>
        <w:ind w:firstLine="709"/>
        <w:jc w:val="both"/>
      </w:pPr>
      <w:r>
        <w:rPr>
          <w:rFonts w:ascii="Times New Roman" w:hAnsi="Times New Roman"/>
          <w:sz w:val="28"/>
        </w:rPr>
        <w:t>46. Batur M., Babii K. Spatial assessment of air pollution due to mining and industrial activities: a case study of Kryvyi Rih, Ukraine. IOP Conference Series: Earth and Environmental Science. 2022. Vol. 960. Art. 012006. DOI: https://doi.org/10.1088/1755-1315/960/1/012006.</w:t>
      </w:r>
    </w:p>
    <w:p>
      <w:pPr>
        <w:spacing w:line="360" w:lineRule="auto"/>
        <w:ind w:firstLine="709"/>
        <w:jc w:val="both"/>
      </w:pPr>
      <w:r>
        <w:rPr>
          <w:rFonts w:ascii="Times New Roman" w:hAnsi="Times New Roman"/>
          <w:sz w:val="28"/>
        </w:rPr>
        <w:t>47. United Nations Development Programme. Kryvyi Rih: How an industrial city is shaping a new quality of life. 2026. URL: https://www.undp.org/ukraine/stories/kryvyi-rih-how-industrial-city-shaping-new-quality-life (дата звернення: 02.05.2026).</w:t>
      </w:r>
    </w:p>
    <w:p>
      <w:pPr>
        <w:spacing w:line="360" w:lineRule="auto"/>
        <w:ind w:firstLine="709"/>
        <w:jc w:val="both"/>
      </w:pPr>
      <w:r>
        <w:rPr>
          <w:rFonts w:ascii="Times New Roman" w:hAnsi="Times New Roman"/>
          <w:sz w:val="28"/>
        </w:rPr>
        <w:t>48. РД 52.04.186-89. Руководство по контролю загрязнения атмосферы. Ленинград: Гидрометеоиздат, 1991. 695 с.</w:t>
      </w:r>
    </w:p>
    <w:p>
      <w:pPr>
        <w:spacing w:line="360" w:lineRule="auto"/>
        <w:ind w:firstLine="709"/>
        <w:jc w:val="both"/>
      </w:pPr>
      <w:r>
        <w:rPr>
          <w:rFonts w:ascii="Times New Roman" w:hAnsi="Times New Roman"/>
          <w:sz w:val="28"/>
        </w:rPr>
        <w:t>49. Програма державного моніторингу в галузі охорони атмосферного повітря для агломерації «Кривий Ріг» на 2022–2026 роки: затверджена рішенням Криворізької міської ради. Кривий Ріг, 2022. URL: https://kr.gov.ua/ua/news/pg/280720704325623_s/ (дата звернення: 02.05.2026).</w:t>
      </w:r>
    </w:p>
    <w:p>
      <w:pPr>
        <w:spacing w:line="360" w:lineRule="auto"/>
        <w:ind w:firstLine="709"/>
        <w:jc w:val="both"/>
      </w:pPr>
      <w:r>
        <w:rPr>
          <w:rFonts w:ascii="Times New Roman" w:hAnsi="Times New Roman"/>
          <w:sz w:val="28"/>
        </w:rPr>
        <w:t>50. Про затвердження Технічного регламенту законодавчо регульованих засобів вимірювальної техніки: Постанова Кабінету Міністрів України від 13.01.2016 № 94. URL: https://zakon.rada.gov.ua/laws/show/94-2016-п (дата звернення: 02.05.2026).</w:t>
      </w:r>
    </w:p>
    <w:p>
      <w:pPr>
        <w:spacing w:line="360" w:lineRule="auto"/>
        <w:ind w:firstLine="709"/>
        <w:jc w:val="both"/>
      </w:pPr>
      <w:r>
        <w:rPr>
          <w:rFonts w:ascii="Times New Roman" w:hAnsi="Times New Roman"/>
          <w:sz w:val="28"/>
        </w:rPr>
        <w:t>51. EN 12341:2014. Ambient air — Standard gravimetric measurement method for the determination of the PM10 or PM2,5 mass concentration of suspended particulate matter. Brussels: European Committee for Standardization (CEN), 2014. URL: https://standards.iteh.ai/catalog/standards/cen/2c5b1eda-0b27-4ad1-87ff-1d9f3e3f6c20/en-12341-2014 (дата звернення: 02.05.2026).</w:t>
      </w:r>
    </w:p>
    <w:p>
      <w:pPr>
        <w:spacing w:line="360" w:lineRule="auto"/>
        <w:ind w:firstLine="709"/>
        <w:jc w:val="both"/>
      </w:pPr>
      <w:r>
        <w:rPr>
          <w:rFonts w:ascii="Times New Roman" w:hAnsi="Times New Roman"/>
          <w:sz w:val="28"/>
        </w:rPr>
        <w:t>52. Cairnet — Smart Air Quality Monitoring Network: технічна документація / ENVEA Group. URL: https://envea.global/product/cairnet/ (дата звернення: 02.05.2026).</w:t>
      </w:r>
    </w:p>
    <w:p>
      <w:pPr>
        <w:spacing w:line="360" w:lineRule="auto"/>
        <w:ind w:firstLine="709"/>
        <w:jc w:val="both"/>
      </w:pPr>
      <w:r>
        <w:rPr>
          <w:rFonts w:ascii="Times New Roman" w:hAnsi="Times New Roman"/>
          <w:sz w:val="28"/>
        </w:rPr>
        <w:t>53. Guide to the Demonstration of Equivalence of Ambient Air Monitoring Methods: Report by an EC Working Group on Guidance for the Demonstration of Equivalence. Brussels: European Commission, 2010. 94 p. URL: https://ec.europa.eu/environment/air/quality/legislation/pdf/equivalence.pdf (дата звернення: 02.05.2026).</w:t>
      </w:r>
    </w:p>
    <w:p>
      <w:pPr>
        <w:spacing w:line="360" w:lineRule="auto"/>
        <w:ind w:firstLine="709"/>
        <w:jc w:val="both"/>
      </w:pPr>
      <w:r>
        <w:rPr>
          <w:rFonts w:ascii="Times New Roman" w:hAnsi="Times New Roman"/>
          <w:sz w:val="28"/>
        </w:rPr>
        <w:t>54. US EPA. Quality Assurance Handbook for Air Pollution Measurement Systems. Vol. II: Ambient Air Quality Monitoring Program. EPA-454/B-17-001. Research Triangle Park, NC: US Environmental Protection Agency, 2017. URL: https://www.epa.gov/amtic/quality-assurance-handbook-and-guidance-documents-air-pollution-measurements (дата звернення: 02.05.2026).</w:t>
      </w:r>
    </w:p>
    <w:p>
      <w:pPr>
        <w:spacing w:line="360" w:lineRule="auto"/>
        <w:ind w:firstLine="709"/>
        <w:jc w:val="both"/>
      </w:pPr>
      <w:r>
        <w:rPr>
          <w:rFonts w:ascii="Times New Roman" w:hAnsi="Times New Roman"/>
          <w:sz w:val="28"/>
        </w:rPr>
        <w:t>55. Криворізькі підприємства зменшили викиди шкідливих речовин в атмосферу: як змінились показники якості повітря / Криворізька міська рада. URL: https://krivbass.city/news/view/krivorizki-pidpriemstva-zmenshili-vikidi-shkidlivih-rechovin-v-atmosferu-yak-zminilis-pokazniki-yakosti-povyatrya (дата звернення: 02.05.2026).</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