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TÍCH HỢP NGUỒN CÂU HỎI</w:t>
      </w:r>
    </w:p>
    <w:p>
      <w:pPr>
        <w:jc w:val="center"/>
      </w:pPr>
      <w:r>
        <w:rPr>
          <w:b/>
          <w:sz w:val="24"/>
        </w:rPr>
        <w:t>CHEM-MAP TUTOR AI 3.1 – NGÂN HÀNG GIÁO VIÊN</w:t>
      </w:r>
    </w:p>
    <w:p>
      <w:pPr>
        <w:jc w:val="center"/>
      </w:pPr>
      <w:r>
        <w:t>Tác giả giải pháp: Lê Bá Nhẫn – Trường THPT Hòn Đất</w:t>
      </w:r>
    </w:p>
    <w:p>
      <w:pPr>
        <w:pStyle w:val="Heading1"/>
      </w:pPr>
      <w:r>
        <w:t>1. Tổng hợp nguồn đã tiếp nhận</w:t>
      </w:r>
    </w:p>
    <w:p>
      <w:r>
        <w:t>Đã nhập 13 tệp Word của giáo viên, có tổng cộng 416 câu hỏi theo cấu trúc bốn phần 18–4–6–4. Các câu mới được lưu vào cơ sở dữ liệu kèm tên tài liệu, chương, số câu, lời giải và phân tích lỗi sai. Câu chưa được xác nhận chuyên môn không được tự động đưa vào đề trực tuyến.</w:t>
      </w:r>
    </w:p>
    <w:tbl>
      <w:tblPr>
        <w:tblStyle w:val="TableGrid"/>
        <w:tblW w:type="auto" w:w="0"/>
        <w:jc w:val="center"/>
        <w:tblLook w:firstColumn="1" w:firstRow="1" w:lastColumn="0" w:lastRow="0" w:noHBand="0" w:noVBand="1" w:val="04A0"/>
      </w:tblPr>
      <w:tblGrid>
        <w:gridCol w:w="2367"/>
        <w:gridCol w:w="2367"/>
        <w:gridCol w:w="2367"/>
        <w:gridCol w:w="2367"/>
      </w:tblGrid>
      <w:tr>
        <w:tc>
          <w:tcPr>
            <w:tcW w:type="dxa" w:w="2367"/>
            <w:shd w:fill="16476C"/>
            <w:vAlign w:val="center"/>
          </w:tcPr>
          <w:p>
            <w:pPr>
              <w:spacing w:after="60"/>
            </w:pPr>
            <w:r>
              <w:rPr>
                <w:rFonts w:ascii="Times New Roman" w:hAnsi="Times New Roman"/>
                <w:b/>
                <w:color w:val="FFFFFF"/>
                <w:sz w:val="19"/>
              </w:rPr>
              <w:t>Nguồn</w:t>
            </w:r>
          </w:p>
        </w:tc>
        <w:tc>
          <w:tcPr>
            <w:tcW w:type="dxa" w:w="2367"/>
            <w:shd w:fill="16476C"/>
            <w:vAlign w:val="center"/>
          </w:tcPr>
          <w:p>
            <w:pPr>
              <w:spacing w:after="60"/>
            </w:pPr>
            <w:r>
              <w:rPr>
                <w:rFonts w:ascii="Times New Roman" w:hAnsi="Times New Roman"/>
                <w:b/>
                <w:color w:val="FFFFFF"/>
                <w:sz w:val="19"/>
              </w:rPr>
              <w:t>Chương</w:t>
            </w:r>
          </w:p>
        </w:tc>
        <w:tc>
          <w:tcPr>
            <w:tcW w:type="dxa" w:w="2367"/>
            <w:shd w:fill="16476C"/>
            <w:vAlign w:val="center"/>
          </w:tcPr>
          <w:p>
            <w:pPr>
              <w:spacing w:after="60"/>
            </w:pPr>
            <w:r>
              <w:rPr>
                <w:rFonts w:ascii="Times New Roman" w:hAnsi="Times New Roman"/>
                <w:b/>
                <w:color w:val="FFFFFF"/>
                <w:sz w:val="19"/>
              </w:rPr>
              <w:t>Mỗi chương</w:t>
            </w:r>
          </w:p>
        </w:tc>
        <w:tc>
          <w:tcPr>
            <w:tcW w:type="dxa" w:w="2367"/>
            <w:shd w:fill="16476C"/>
            <w:vAlign w:val="center"/>
          </w:tcPr>
          <w:p>
            <w:pPr>
              <w:spacing w:after="60"/>
            </w:pPr>
            <w:r>
              <w:rPr>
                <w:rFonts w:ascii="Times New Roman" w:hAnsi="Times New Roman"/>
                <w:b/>
                <w:color w:val="FFFFFF"/>
                <w:sz w:val="19"/>
              </w:rPr>
              <w:t>Tổng số</w:t>
            </w:r>
          </w:p>
        </w:tc>
      </w:tr>
      <w:tr>
        <w:tc>
          <w:tcPr>
            <w:tcW w:type="dxa" w:w="2367"/>
            <w:vAlign w:val="center"/>
          </w:tcPr>
          <w:p>
            <w:pPr>
              <w:spacing w:after="60"/>
            </w:pPr>
            <w:r>
              <w:rPr>
                <w:rFonts w:ascii="Times New Roman" w:hAnsi="Times New Roman"/>
                <w:sz w:val="19"/>
              </w:rPr>
              <w:t>Hóa học 10</w:t>
            </w:r>
          </w:p>
        </w:tc>
        <w:tc>
          <w:tcPr>
            <w:tcW w:type="dxa" w:w="2367"/>
            <w:vAlign w:val="center"/>
          </w:tcPr>
          <w:p>
            <w:pPr>
              <w:spacing w:after="60"/>
            </w:pPr>
            <w:r>
              <w:rPr>
                <w:rFonts w:ascii="Times New Roman" w:hAnsi="Times New Roman"/>
                <w:sz w:val="19"/>
              </w:rPr>
              <w:t>7</w:t>
            </w:r>
          </w:p>
        </w:tc>
        <w:tc>
          <w:tcPr>
            <w:tcW w:type="dxa" w:w="2367"/>
            <w:vAlign w:val="center"/>
          </w:tcPr>
          <w:p>
            <w:pPr>
              <w:spacing w:after="60"/>
            </w:pPr>
            <w:r>
              <w:rPr>
                <w:rFonts w:ascii="Times New Roman" w:hAnsi="Times New Roman"/>
                <w:sz w:val="19"/>
              </w:rPr>
              <w:t>18 TN + 4 Đ/S + 6 ngắn + 4 tự luận</w:t>
            </w:r>
          </w:p>
        </w:tc>
        <w:tc>
          <w:tcPr>
            <w:tcW w:type="dxa" w:w="2367"/>
            <w:vAlign w:val="center"/>
          </w:tcPr>
          <w:p>
            <w:pPr>
              <w:spacing w:after="60"/>
            </w:pPr>
            <w:r>
              <w:rPr>
                <w:rFonts w:ascii="Times New Roman" w:hAnsi="Times New Roman"/>
                <w:sz w:val="19"/>
              </w:rPr>
              <w:t>224</w:t>
            </w:r>
          </w:p>
        </w:tc>
      </w:tr>
      <w:tr>
        <w:tc>
          <w:tcPr>
            <w:tcW w:type="dxa" w:w="2367"/>
            <w:vAlign w:val="center"/>
          </w:tcPr>
          <w:p>
            <w:pPr>
              <w:spacing w:after="60"/>
            </w:pPr>
            <w:r>
              <w:rPr>
                <w:rFonts w:ascii="Times New Roman" w:hAnsi="Times New Roman"/>
                <w:sz w:val="19"/>
              </w:rPr>
              <w:t>Hóa học 11</w:t>
            </w:r>
          </w:p>
        </w:tc>
        <w:tc>
          <w:tcPr>
            <w:tcW w:type="dxa" w:w="2367"/>
            <w:vAlign w:val="center"/>
          </w:tcPr>
          <w:p>
            <w:pPr>
              <w:spacing w:after="60"/>
            </w:pPr>
            <w:r>
              <w:rPr>
                <w:rFonts w:ascii="Times New Roman" w:hAnsi="Times New Roman"/>
                <w:sz w:val="19"/>
              </w:rPr>
              <w:t>6</w:t>
            </w:r>
          </w:p>
        </w:tc>
        <w:tc>
          <w:tcPr>
            <w:tcW w:type="dxa" w:w="2367"/>
            <w:vAlign w:val="center"/>
          </w:tcPr>
          <w:p>
            <w:pPr>
              <w:spacing w:after="60"/>
            </w:pPr>
            <w:r>
              <w:rPr>
                <w:rFonts w:ascii="Times New Roman" w:hAnsi="Times New Roman"/>
                <w:sz w:val="19"/>
              </w:rPr>
              <w:t>18 TN + 4 Đ/S + 6 ngắn + 4 tự luận</w:t>
            </w:r>
          </w:p>
        </w:tc>
        <w:tc>
          <w:tcPr>
            <w:tcW w:type="dxa" w:w="2367"/>
            <w:vAlign w:val="center"/>
          </w:tcPr>
          <w:p>
            <w:pPr>
              <w:spacing w:after="60"/>
            </w:pPr>
            <w:r>
              <w:rPr>
                <w:rFonts w:ascii="Times New Roman" w:hAnsi="Times New Roman"/>
                <w:sz w:val="19"/>
              </w:rPr>
              <w:t>192</w:t>
            </w:r>
          </w:p>
        </w:tc>
      </w:tr>
      <w:tr>
        <w:tc>
          <w:tcPr>
            <w:tcW w:type="dxa" w:w="2367"/>
            <w:vAlign w:val="center"/>
          </w:tcPr>
          <w:p>
            <w:pPr>
              <w:spacing w:after="60"/>
            </w:pPr>
            <w:r>
              <w:rPr>
                <w:rFonts w:ascii="Times New Roman" w:hAnsi="Times New Roman"/>
                <w:sz w:val="19"/>
              </w:rPr>
              <w:t>Hóa học 12</w:t>
            </w:r>
          </w:p>
        </w:tc>
        <w:tc>
          <w:tcPr>
            <w:tcW w:type="dxa" w:w="2367"/>
            <w:vAlign w:val="center"/>
          </w:tcPr>
          <w:p>
            <w:pPr>
              <w:spacing w:after="60"/>
            </w:pPr>
            <w:r>
              <w:rPr>
                <w:rFonts w:ascii="Times New Roman" w:hAnsi="Times New Roman"/>
                <w:sz w:val="19"/>
              </w:rPr>
              <w:t>0</w:t>
            </w:r>
          </w:p>
        </w:tc>
        <w:tc>
          <w:tcPr>
            <w:tcW w:type="dxa" w:w="2367"/>
            <w:vAlign w:val="center"/>
          </w:tcPr>
          <w:p>
            <w:pPr>
              <w:spacing w:after="60"/>
            </w:pPr>
            <w:r>
              <w:rPr>
                <w:rFonts w:ascii="Times New Roman" w:hAnsi="Times New Roman"/>
                <w:sz w:val="19"/>
              </w:rPr>
              <w:t>Chưa bổ sung</w:t>
            </w:r>
          </w:p>
        </w:tc>
        <w:tc>
          <w:tcPr>
            <w:tcW w:type="dxa" w:w="2367"/>
            <w:vAlign w:val="center"/>
          </w:tcPr>
          <w:p>
            <w:pPr>
              <w:spacing w:after="60"/>
            </w:pPr>
            <w:r>
              <w:rPr>
                <w:rFonts w:ascii="Times New Roman" w:hAnsi="Times New Roman"/>
                <w:sz w:val="19"/>
              </w:rPr>
              <w:t>0</w:t>
            </w:r>
          </w:p>
        </w:tc>
      </w:tr>
      <w:tr>
        <w:tc>
          <w:tcPr>
            <w:tcW w:type="dxa" w:w="2367"/>
            <w:vAlign w:val="center"/>
          </w:tcPr>
          <w:p>
            <w:pPr>
              <w:spacing w:after="60"/>
            </w:pPr>
            <w:r>
              <w:rPr>
                <w:rFonts w:ascii="Times New Roman" w:hAnsi="Times New Roman"/>
                <w:sz w:val="19"/>
              </w:rPr>
              <w:t>TỔNG</w:t>
            </w:r>
          </w:p>
        </w:tc>
        <w:tc>
          <w:tcPr>
            <w:tcW w:type="dxa" w:w="2367"/>
            <w:vAlign w:val="center"/>
          </w:tcPr>
          <w:p>
            <w:pPr>
              <w:spacing w:after="60"/>
            </w:pPr>
            <w:r>
              <w:rPr>
                <w:rFonts w:ascii="Times New Roman" w:hAnsi="Times New Roman"/>
                <w:sz w:val="19"/>
              </w:rPr>
              <w:t>13</w:t>
            </w:r>
          </w:p>
        </w:tc>
        <w:tc>
          <w:tcPr>
            <w:tcW w:type="dxa" w:w="2367"/>
            <w:vAlign w:val="center"/>
          </w:tcPr>
          <w:p>
            <w:pPr>
              <w:spacing w:after="60"/>
            </w:pPr>
            <w:r>
              <w:rPr>
                <w:rFonts w:ascii="Times New Roman" w:hAnsi="Times New Roman"/>
                <w:sz w:val="19"/>
              </w:rPr>
              <w:t>32 câu/chương</w:t>
            </w:r>
          </w:p>
        </w:tc>
        <w:tc>
          <w:tcPr>
            <w:tcW w:type="dxa" w:w="2367"/>
            <w:vAlign w:val="center"/>
          </w:tcPr>
          <w:p>
            <w:pPr>
              <w:spacing w:after="60"/>
            </w:pPr>
            <w:r>
              <w:rPr>
                <w:rFonts w:ascii="Times New Roman" w:hAnsi="Times New Roman"/>
                <w:sz w:val="19"/>
              </w:rPr>
              <w:t>416</w:t>
            </w:r>
          </w:p>
        </w:tc>
      </w:tr>
    </w:tbl>
    <w:p>
      <w:r>
        <w:t>Theo hình thức: Phần I – 234 câu nhiều phương án; Phần II – 52 câu Đúng/Sai; Phần III – 78 câu trả lời ngắn; Phần IV – 52 câu tự luận.</w:t>
      </w:r>
    </w:p>
    <w:p>
      <w:pPr>
        <w:pStyle w:val="Heading1"/>
      </w:pPr>
      <w:r>
        <w:t>2. Danh mục 13 chương có nguồn</w:t>
      </w:r>
    </w:p>
    <w:p>
      <w:pPr>
        <w:spacing w:after="40"/>
      </w:pPr>
      <w:r>
        <w:rPr>
          <w:b/>
        </w:rPr>
        <w:t xml:space="preserve">Hóa 10  |  </w:t>
      </w:r>
      <w:r>
        <w:t>Cấu tạo nguyên tử</w:t>
      </w:r>
    </w:p>
    <w:p>
      <w:pPr>
        <w:spacing w:after="40"/>
      </w:pPr>
      <w:r>
        <w:rPr>
          <w:b/>
        </w:rPr>
        <w:t xml:space="preserve">Hóa 10  |  </w:t>
      </w:r>
      <w:r>
        <w:t>Bảng tuần hoàn và định luật tuần hoàn</w:t>
      </w:r>
    </w:p>
    <w:p>
      <w:pPr>
        <w:spacing w:after="40"/>
      </w:pPr>
      <w:r>
        <w:rPr>
          <w:b/>
        </w:rPr>
        <w:t xml:space="preserve">Hóa 10  |  </w:t>
      </w:r>
      <w:r>
        <w:t>Liên kết hóa học</w:t>
      </w:r>
    </w:p>
    <w:p>
      <w:pPr>
        <w:spacing w:after="40"/>
      </w:pPr>
      <w:r>
        <w:rPr>
          <w:b/>
        </w:rPr>
        <w:t xml:space="preserve">Hóa 10  |  </w:t>
      </w:r>
      <w:r>
        <w:t>Phản ứng oxi hóa – khử</w:t>
      </w:r>
    </w:p>
    <w:p>
      <w:pPr>
        <w:spacing w:after="40"/>
      </w:pPr>
      <w:r>
        <w:rPr>
          <w:b/>
        </w:rPr>
        <w:t xml:space="preserve">Hóa 10  |  </w:t>
      </w:r>
      <w:r>
        <w:t>Năng lượng hóa học</w:t>
      </w:r>
    </w:p>
    <w:p>
      <w:pPr>
        <w:spacing w:after="40"/>
      </w:pPr>
      <w:r>
        <w:rPr>
          <w:b/>
        </w:rPr>
        <w:t xml:space="preserve">Hóa 10  |  </w:t>
      </w:r>
      <w:r>
        <w:t>Tốc độ phản ứng</w:t>
      </w:r>
    </w:p>
    <w:p>
      <w:pPr>
        <w:spacing w:after="40"/>
      </w:pPr>
      <w:r>
        <w:rPr>
          <w:b/>
        </w:rPr>
        <w:t xml:space="preserve">Hóa 10  |  </w:t>
      </w:r>
      <w:r>
        <w:t>Nguyên tố nhóm halogen</w:t>
      </w:r>
    </w:p>
    <w:p>
      <w:pPr>
        <w:spacing w:after="40"/>
      </w:pPr>
      <w:r>
        <w:rPr>
          <w:b/>
        </w:rPr>
        <w:t xml:space="preserve">Hóa 11  |  </w:t>
      </w:r>
      <w:r>
        <w:t>Cân bằng hóa học</w:t>
      </w:r>
    </w:p>
    <w:p>
      <w:pPr>
        <w:spacing w:after="40"/>
      </w:pPr>
      <w:r>
        <w:rPr>
          <w:b/>
        </w:rPr>
        <w:t xml:space="preserve">Hóa 11  |  </w:t>
      </w:r>
      <w:r>
        <w:t>Nitrogen – Sulfur</w:t>
      </w:r>
    </w:p>
    <w:p>
      <w:pPr>
        <w:spacing w:after="40"/>
      </w:pPr>
      <w:r>
        <w:rPr>
          <w:b/>
        </w:rPr>
        <w:t xml:space="preserve">Hóa 11  |  </w:t>
      </w:r>
      <w:r>
        <w:t>Đại cương hóa học hữu cơ</w:t>
      </w:r>
    </w:p>
    <w:p>
      <w:pPr>
        <w:spacing w:after="40"/>
      </w:pPr>
      <w:r>
        <w:rPr>
          <w:b/>
        </w:rPr>
        <w:t xml:space="preserve">Hóa 11  |  </w:t>
      </w:r>
      <w:r>
        <w:t>Hydrocarbon</w:t>
      </w:r>
    </w:p>
    <w:p>
      <w:pPr>
        <w:spacing w:after="40"/>
      </w:pPr>
      <w:r>
        <w:rPr>
          <w:b/>
        </w:rPr>
        <w:t xml:space="preserve">Hóa 11  |  </w:t>
      </w:r>
      <w:r>
        <w:t>Dẫn xuất halogen – Alcohol – Phenol</w:t>
      </w:r>
    </w:p>
    <w:p>
      <w:pPr>
        <w:spacing w:after="40"/>
      </w:pPr>
      <w:r>
        <w:rPr>
          <w:b/>
        </w:rPr>
        <w:t xml:space="preserve">Hóa 11  |  </w:t>
      </w:r>
      <w:r>
        <w:t>Hợp chất carbonyl và carboxylic acid</w:t>
      </w:r>
    </w:p>
    <w:p>
      <w:pPr>
        <w:pStyle w:val="Heading1"/>
        <w:pageBreakBefore/>
      </w:pPr>
      <w:r>
        <w:t>3. Trạng thái khoa học và an toàn sử dụng</w:t>
      </w:r>
    </w:p>
    <w:p>
      <w:r>
        <w:t>416 câu mới đều được đánh dấu “Chờ duyệt”. Hệ thống tự tách được bốn phương án và đáp án của 234 câu trắc nghiệm nhiều lựa chọn; riêng một số câu trả lời ngắn có đáp án chứa nhiều ý, đơn vị hoặc biểu thức chưa thể xác định an toàn dưới dạng một số thực để chấm tự động.</w:t>
      </w:r>
    </w:p>
    <w:p>
      <w:r>
        <w:t>Giáo viên cần đối chiếu từng câu với file DOCX gốc trước khi phê duyệt: kiểm tra hình và đồ thị, công thức có chỉ số – điện tích, điều kiện phản ứng, đơn vị, kết quả tính toán và tính duy nhất của phương án đúng. Các câu không đủ dữ kiện phải được hiệu đính trước khi dùng cho học sinh.</w:t>
      </w:r>
    </w:p>
    <w:p>
      <w:pPr>
        <w:pStyle w:val="Heading1"/>
      </w:pPr>
      <w:r>
        <w:t>4. Quy trình sử dụng ngay trong WebApp 3.1</w:t>
      </w:r>
    </w:p>
    <w:p>
      <w:pPr/>
      <w:r>
        <w:rPr>
          <w:b/>
        </w:rPr>
        <w:t xml:space="preserve">Bước 1. </w:t>
      </w:r>
      <w:r>
        <w:t>Chạy WebApp bằng máy chủ FastAPI và đăng nhập quyền Giáo viên.</w:t>
      </w:r>
    </w:p>
    <w:p>
      <w:pPr/>
      <w:r>
        <w:rPr>
          <w:b/>
        </w:rPr>
        <w:t xml:space="preserve">Bước 2. </w:t>
      </w:r>
      <w:r>
        <w:t>Mở menu “Nguồn câu hỏi DOCX (13 chương)”, lọc khối 10/11 và phần I–IV.</w:t>
      </w:r>
    </w:p>
    <w:p>
      <w:pPr/>
      <w:r>
        <w:rPr>
          <w:b/>
        </w:rPr>
        <w:t xml:space="preserve">Bước 3. </w:t>
      </w:r>
      <w:r>
        <w:t>Mở câu hỏi, tải file DOCX gốc, đối chiếu và sửa nội dung/đáp án nếu cần.</w:t>
      </w:r>
    </w:p>
    <w:p>
      <w:pPr/>
      <w:r>
        <w:rPr>
          <w:b/>
        </w:rPr>
        <w:t xml:space="preserve">Bước 4. </w:t>
      </w:r>
      <w:r>
        <w:t>Gắn đúng bài học, xác nhận kiểm tra khoa học, rồi phê duyệt câu.</w:t>
      </w:r>
    </w:p>
    <w:p>
      <w:pPr/>
      <w:r>
        <w:rPr>
          <w:b/>
        </w:rPr>
        <w:t xml:space="preserve">Bước 5. </w:t>
      </w:r>
      <w:r>
        <w:t>Vào mục “Giáo viên: đề &amp; học liệu”, kiểm tra số câu đã duyệt để tạo đề hoặc phiếu học tập.</w:t>
      </w:r>
    </w:p>
    <w:p>
      <w:pPr>
        <w:pStyle w:val="Heading1"/>
      </w:pPr>
      <w:r>
        <w:t>5. Kết quả kiểm thử</w:t>
      </w:r>
    </w:p>
    <w:p>
      <w:r>
        <w:t>Đã kiểm thử tự động: lưu 416 bản ghi, API phân quyền tài liệu gốc, ngăn câu chưa duyệt xuất hiện trong đề, xác nhận kiểm duyệt bắt buộc, tạo đề đủ 32 câu sau khi phê duyệt, và kiểm thử hồi quy luồng làm bài/chấm điểm/Word của bản 3.0. Kiểm thử giao diện Chromium trực tiếp chưa thực hiện được trong môi trường hiện tại vì URL localhost và file bị chặn bởi chính sách trình duyệt; cần kiểm tra thủ công trước khi đưa vào dạy học thật.</w:t>
      </w:r>
    </w:p>
    <w:p>
      <w:r>
        <w:t>Bộ mã nguồn bao gồm: server.py; dữ liệu 83 câu mẫu; 416 câu nguồn; 13 file DOCX gốc; chỉ mục CSV; hướng dẫn README; bộ kiểm thử và cấu hình triển khai máy chủ.</w:t>
      </w:r>
    </w:p>
    <w:p>
      <w:pPr>
        <w:jc w:val="center"/>
      </w:pPr>
      <w:r>
        <w:rPr>
          <w:i/>
        </w:rPr>
        <w:t>— HẾT —</w:t>
      </w:r>
    </w:p>
    <w:sectPr w:rsidR="00FC693F" w:rsidRPr="0006063C" w:rsidSect="00034616">
      <w:footerReference w:type="default" r:id="rId9"/>
      <w:pgSz w:w="11906" w:h="16838"/>
      <w:pgMar w:top="1134" w:right="113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CHEM-MAP TUTOR AI 3.1 | Tài liệu kỹ thuật dành cho giáo viên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Times New Roman" w:hAnsi="Times New Roman" w:eastAsia="Times New Roman"/>
      <w:color w:val="2633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eastAsia="Times New Roman"/>
      <w:b/>
      <w:bCs/>
      <w:color w:val="12647C"/>
      <w:sz w:val="2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eastAsia="Times New Roman"/>
      <w:b/>
      <w:bCs/>
      <w:color w:val="12647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Times New Roman" w:hAnsi="Times New Roman" w:eastAsia="Times New Roman"/>
      <w:color w:val="123D6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