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EDUPLAN AI 1.2</w:t>
        <w:br/>
        <w:t>HƯỚNG DẪN DÙNG THỬ &amp; NHẬT KÝ NÂNG CẤP</w:t>
      </w:r>
    </w:p>
    <w:p>
      <w:pPr>
        <w:jc w:val="center"/>
      </w:pPr>
      <w:r>
        <w:rPr>
          <w:i/>
        </w:rPr>
        <w:t>Hệ sinh thái trợ lý giáo viên Hóa học THPT • Hóa 10 – 11 – 12</w:t>
      </w:r>
    </w:p>
    <w:p>
      <w:pPr>
        <w:jc w:val="center"/>
      </w:pPr>
      <w:r>
        <w:rPr>
          <w:b/>
        </w:rPr>
        <w:t>Tác giả giải pháp: Lê Bá Nhẫn – Trường THPT Hòn Đất</w:t>
      </w:r>
    </w:p>
    <w:p>
      <w:r>
        <w:rPr>
          <w:b w:val="0"/>
        </w:rPr>
        <w:t>Phiên bản: 1.2 offline | Ngày cập nhật: 21/10/2026</w:t>
      </w:r>
    </w:p>
    <w:p>
      <w:pPr>
        <w:pStyle w:val="Heading1"/>
      </w:pPr>
      <w:r>
        <w:t>1. Mục đích và phạm vi</w:t>
      </w:r>
    </w:p>
    <w:p>
      <w:r>
        <w:rPr>
          <w:b w:val="0"/>
        </w:rPr>
        <w:t>EduPlan AI 1.2 là bản WebApp HTML chạy trực tiếp trên trình duyệt, kế thừa 20 mục điều hướng của EduPlan AI 1.1. Phiên bản này tập trung nâng cấp quy trình KHGD → KHBD, quản lý câu hỏi và tạo hồ sơ Word có thể chỉnh sửa. Các dữ liệu thử nghiệm lưu tại trình duyệt; đây chưa phải hệ thống trực tuyến có tài khoản đa người dùng.</w:t>
      </w:r>
    </w:p>
    <w:p>
      <w:pPr>
        <w:pStyle w:val="Heading1"/>
      </w:pPr>
      <w:r>
        <w:t>2. Khởi động và sử dụng ngay</w:t>
      </w:r>
    </w:p>
    <w:p>
      <w:pPr>
        <w:pStyle w:val="ListBullet"/>
      </w:pPr>
      <w:r>
        <w:t>Giải nén bộ sản phẩm, mở tệp EduPlan_AI_1_2_HoaHoc_Offline.html bằng Chrome hoặc Edge. Không cần cài đặt máy chủ hay API.</w:t>
      </w:r>
    </w:p>
    <w:p>
      <w:pPr>
        <w:pStyle w:val="ListBullet"/>
      </w:pPr>
      <w:r>
        <w:t>Chọn khối Hóa 10, 11 hoặc 12 ở góc phía trên. Trên điện thoại, dùng nút “Hiện toàn bộ chức năng” để mở danh mục.</w:t>
      </w:r>
    </w:p>
    <w:p>
      <w:pPr>
        <w:pStyle w:val="ListBullet"/>
      </w:pPr>
      <w:r>
        <w:t>Vào Kế hoạch giáo dục để tạo KHGD; vào Tạo &amp; Trộn đề để nhập câu hỏi, tạo đề, chấm bài và xuất kết quả.</w:t>
      </w:r>
    </w:p>
    <w:p>
      <w:pPr>
        <w:pStyle w:val="Heading1"/>
      </w:pPr>
      <w:r>
        <w:t>3. Các thay đổi đáng chú ý từ 1.1 lên 1.2</w:t>
      </w:r>
    </w:p>
    <w:tbl>
      <w:tblPr>
        <w:tblStyle w:val="TableGrid"/>
        <w:tblW w:type="auto" w:w="0"/>
        <w:jc w:val="center"/>
        <w:tblLook w:firstColumn="1" w:firstRow="1" w:lastColumn="0" w:lastRow="0" w:noHBand="0" w:noVBand="1" w:val="04A0"/>
      </w:tblPr>
      <w:tblGrid>
        <w:gridCol w:w="3288"/>
        <w:gridCol w:w="3288"/>
        <w:gridCol w:w="3288"/>
      </w:tblGrid>
      <w:tr>
        <w:tc>
          <w:tcPr>
            <w:tcW w:type="dxa" w:w="3288"/>
            <w:shd w:fill="E7EFF6"/>
            <w:vAlign w:val="center"/>
          </w:tcPr>
          <w:p>
            <w:pPr>
              <w:spacing w:after="60"/>
            </w:pPr>
            <w:r>
              <w:rPr>
                <w:rFonts w:ascii="Times New Roman" w:hAnsi="Times New Roman"/>
                <w:b/>
                <w:sz w:val="20"/>
              </w:rPr>
              <w:t>Nhóm</w:t>
            </w:r>
          </w:p>
        </w:tc>
        <w:tc>
          <w:tcPr>
            <w:tcW w:type="dxa" w:w="3288"/>
            <w:shd w:fill="E7EFF6"/>
            <w:vAlign w:val="center"/>
          </w:tcPr>
          <w:p>
            <w:pPr>
              <w:spacing w:after="60"/>
            </w:pPr>
            <w:r>
              <w:rPr>
                <w:rFonts w:ascii="Times New Roman" w:hAnsi="Times New Roman"/>
                <w:b/>
                <w:sz w:val="20"/>
              </w:rPr>
              <w:t>Đã bổ sung / sửa lỗi</w:t>
            </w:r>
          </w:p>
        </w:tc>
        <w:tc>
          <w:tcPr>
            <w:tcW w:type="dxa" w:w="3288"/>
            <w:shd w:fill="E7EFF6"/>
            <w:vAlign w:val="center"/>
          </w:tcPr>
          <w:p>
            <w:pPr>
              <w:spacing w:after="60"/>
            </w:pPr>
            <w:r>
              <w:rPr>
                <w:rFonts w:ascii="Times New Roman" w:hAnsi="Times New Roman"/>
                <w:b/>
                <w:sz w:val="20"/>
              </w:rPr>
              <w:t>Cách sử dụng</w:t>
            </w:r>
          </w:p>
        </w:tc>
      </w:tr>
      <w:tr>
        <w:tc>
          <w:tcPr>
            <w:tcW w:type="dxa" w:w="3288"/>
            <w:vAlign w:val="center"/>
          </w:tcPr>
          <w:p>
            <w:pPr>
              <w:spacing w:after="60"/>
            </w:pPr>
            <w:r>
              <w:rPr>
                <w:rFonts w:ascii="Times New Roman" w:hAnsi="Times New Roman"/>
                <w:sz w:val="20"/>
              </w:rPr>
              <w:t>KHGD / KHBD</w:t>
            </w:r>
          </w:p>
        </w:tc>
        <w:tc>
          <w:tcPr>
            <w:tcW w:type="dxa" w:w="3288"/>
            <w:vAlign w:val="center"/>
          </w:tcPr>
          <w:p>
            <w:pPr>
              <w:spacing w:after="60"/>
            </w:pPr>
            <w:r>
              <w:rPr>
                <w:rFonts w:ascii="Times New Roman" w:hAnsi="Times New Roman"/>
                <w:sz w:val="20"/>
              </w:rPr>
              <w:t>Tự lưu nháp khi chuyển trang hoặc đổi khối; xử lý lỗi dữ liệu CSV và thêm/xóa dòng.</w:t>
            </w:r>
          </w:p>
        </w:tc>
        <w:tc>
          <w:tcPr>
            <w:tcW w:type="dxa" w:w="3288"/>
            <w:vAlign w:val="center"/>
          </w:tcPr>
          <w:p>
            <w:pPr>
              <w:spacing w:after="60"/>
            </w:pPr>
            <w:r>
              <w:rPr>
                <w:rFonts w:ascii="Times New Roman" w:hAnsi="Times New Roman"/>
                <w:sz w:val="20"/>
              </w:rPr>
              <w:t>Lưu và kiểm tra; xuất KHGD/KHBD .docx</w:t>
            </w:r>
          </w:p>
        </w:tc>
      </w:tr>
      <w:tr>
        <w:tc>
          <w:tcPr>
            <w:tcW w:type="dxa" w:w="3288"/>
            <w:vAlign w:val="center"/>
          </w:tcPr>
          <w:p>
            <w:pPr>
              <w:spacing w:after="60"/>
            </w:pPr>
            <w:r>
              <w:rPr>
                <w:rFonts w:ascii="Times New Roman" w:hAnsi="Times New Roman"/>
                <w:sz w:val="20"/>
              </w:rPr>
              <w:t>Word</w:t>
            </w:r>
          </w:p>
        </w:tc>
        <w:tc>
          <w:tcPr>
            <w:tcW w:type="dxa" w:w="3288"/>
            <w:vAlign w:val="center"/>
          </w:tcPr>
          <w:p>
            <w:pPr>
              <w:spacing w:after="60"/>
            </w:pPr>
            <w:r>
              <w:rPr>
                <w:rFonts w:ascii="Times New Roman" w:hAnsi="Times New Roman"/>
                <w:sz w:val="20"/>
              </w:rPr>
              <w:t>Xuất DOCX thực, không còn xuất HTML giả dạng .doc.</w:t>
            </w:r>
          </w:p>
        </w:tc>
        <w:tc>
          <w:tcPr>
            <w:tcW w:type="dxa" w:w="3288"/>
            <w:vAlign w:val="center"/>
          </w:tcPr>
          <w:p>
            <w:pPr>
              <w:spacing w:after="60"/>
            </w:pPr>
            <w:r>
              <w:rPr>
                <w:rFonts w:ascii="Times New Roman" w:hAnsi="Times New Roman"/>
                <w:sz w:val="20"/>
              </w:rPr>
              <w:t>Mở trực tiếp tệp Word đã tải về</w:t>
            </w:r>
          </w:p>
        </w:tc>
      </w:tr>
      <w:tr>
        <w:tc>
          <w:tcPr>
            <w:tcW w:type="dxa" w:w="3288"/>
            <w:vAlign w:val="center"/>
          </w:tcPr>
          <w:p>
            <w:pPr>
              <w:spacing w:after="60"/>
            </w:pPr>
            <w:r>
              <w:rPr>
                <w:rFonts w:ascii="Times New Roman" w:hAnsi="Times New Roman"/>
                <w:sz w:val="20"/>
              </w:rPr>
              <w:t>Đề thi</w:t>
            </w:r>
          </w:p>
        </w:tc>
        <w:tc>
          <w:tcPr>
            <w:tcW w:type="dxa" w:w="3288"/>
            <w:vAlign w:val="center"/>
          </w:tcPr>
          <w:p>
            <w:pPr>
              <w:spacing w:after="60"/>
            </w:pPr>
            <w:r>
              <w:rPr>
                <w:rFonts w:ascii="Times New Roman" w:hAnsi="Times New Roman"/>
                <w:sz w:val="20"/>
              </w:rPr>
              <w:t>Ba định dạng MCQ, đúng/sai bốn ý và trả lời ngắn; trộn phương án, xuất đề và đáp án Word.</w:t>
            </w:r>
          </w:p>
        </w:tc>
        <w:tc>
          <w:tcPr>
            <w:tcW w:type="dxa" w:w="3288"/>
            <w:vAlign w:val="center"/>
          </w:tcPr>
          <w:p>
            <w:pPr>
              <w:spacing w:after="60"/>
            </w:pPr>
            <w:r>
              <w:rPr>
                <w:rFonts w:ascii="Times New Roman" w:hAnsi="Times New Roman"/>
                <w:sz w:val="20"/>
              </w:rPr>
              <w:t>Tạo &amp; Trộn đề → Chọn loại → Tạo đề</w:t>
            </w:r>
          </w:p>
        </w:tc>
      </w:tr>
      <w:tr>
        <w:tc>
          <w:tcPr>
            <w:tcW w:type="dxa" w:w="3288"/>
            <w:vAlign w:val="center"/>
          </w:tcPr>
          <w:p>
            <w:pPr>
              <w:spacing w:after="60"/>
            </w:pPr>
            <w:r>
              <w:rPr>
                <w:rFonts w:ascii="Times New Roman" w:hAnsi="Times New Roman"/>
                <w:sz w:val="20"/>
              </w:rPr>
              <w:t>Nhập đề</w:t>
            </w:r>
          </w:p>
        </w:tc>
        <w:tc>
          <w:tcPr>
            <w:tcW w:type="dxa" w:w="3288"/>
            <w:vAlign w:val="center"/>
          </w:tcPr>
          <w:p>
            <w:pPr>
              <w:spacing w:after="60"/>
            </w:pPr>
            <w:r>
              <w:rPr>
                <w:rFonts w:ascii="Times New Roman" w:hAnsi="Times New Roman"/>
                <w:sz w:val="20"/>
              </w:rPr>
              <w:t>Tách câu từ văn bản có đáp án tường minh; báo lỗi và loại câu trùng.</w:t>
            </w:r>
          </w:p>
        </w:tc>
        <w:tc>
          <w:tcPr>
            <w:tcW w:type="dxa" w:w="3288"/>
            <w:vAlign w:val="center"/>
          </w:tcPr>
          <w:p>
            <w:pPr>
              <w:spacing w:after="60"/>
            </w:pPr>
            <w:r>
              <w:rPr>
                <w:rFonts w:ascii="Times New Roman" w:hAnsi="Times New Roman"/>
                <w:sz w:val="20"/>
              </w:rPr>
              <w:t>Dán văn bản → Xem trước → Nhập</w:t>
            </w:r>
          </w:p>
        </w:tc>
      </w:tr>
      <w:tr>
        <w:tc>
          <w:tcPr>
            <w:tcW w:type="dxa" w:w="3288"/>
            <w:vAlign w:val="center"/>
          </w:tcPr>
          <w:p>
            <w:pPr>
              <w:spacing w:after="60"/>
            </w:pPr>
            <w:r>
              <w:rPr>
                <w:rFonts w:ascii="Times New Roman" w:hAnsi="Times New Roman"/>
                <w:sz w:val="20"/>
              </w:rPr>
              <w:t>Thống kê</w:t>
            </w:r>
          </w:p>
        </w:tc>
        <w:tc>
          <w:tcPr>
            <w:tcW w:type="dxa" w:w="3288"/>
            <w:vAlign w:val="center"/>
          </w:tcPr>
          <w:p>
            <w:pPr>
              <w:spacing w:after="60"/>
            </w:pPr>
            <w:r>
              <w:rPr>
                <w:rFonts w:ascii="Times New Roman" w:hAnsi="Times New Roman"/>
                <w:sz w:val="20"/>
              </w:rPr>
              <w:t>Thống kê nhanh theo khối; xuất kết quả CSV.</w:t>
            </w:r>
          </w:p>
        </w:tc>
        <w:tc>
          <w:tcPr>
            <w:tcW w:type="dxa" w:w="3288"/>
            <w:vAlign w:val="center"/>
          </w:tcPr>
          <w:p>
            <w:pPr>
              <w:spacing w:after="60"/>
            </w:pPr>
            <w:r>
              <w:rPr>
                <w:rFonts w:ascii="Times New Roman" w:hAnsi="Times New Roman"/>
                <w:sz w:val="20"/>
              </w:rPr>
              <w:t>Dashboard → Xuất CSV</w:t>
            </w:r>
          </w:p>
        </w:tc>
      </w:tr>
      <w:tr>
        <w:tc>
          <w:tcPr>
            <w:tcW w:type="dxa" w:w="3288"/>
            <w:vAlign w:val="center"/>
          </w:tcPr>
          <w:p>
            <w:pPr>
              <w:spacing w:after="60"/>
            </w:pPr>
            <w:r>
              <w:rPr>
                <w:rFonts w:ascii="Times New Roman" w:hAnsi="Times New Roman"/>
                <w:sz w:val="20"/>
              </w:rPr>
              <w:t>Hóa học</w:t>
            </w:r>
          </w:p>
        </w:tc>
        <w:tc>
          <w:tcPr>
            <w:tcW w:type="dxa" w:w="3288"/>
            <w:vAlign w:val="center"/>
          </w:tcPr>
          <w:p>
            <w:pPr>
              <w:spacing w:after="60"/>
            </w:pPr>
            <w:r>
              <w:rPr>
                <w:rFonts w:ascii="Times New Roman" w:hAnsi="Times New Roman"/>
                <w:sz w:val="20"/>
              </w:rPr>
              <w:t>Tính M của muối ngậm nước; kiểm tra bảo toàn số nguyên tử khi đã có hệ số.</w:t>
            </w:r>
          </w:p>
        </w:tc>
        <w:tc>
          <w:tcPr>
            <w:tcW w:type="dxa" w:w="3288"/>
            <w:vAlign w:val="center"/>
          </w:tcPr>
          <w:p>
            <w:pPr>
              <w:spacing w:after="60"/>
            </w:pPr>
            <w:r>
              <w:rPr>
                <w:rFonts w:ascii="Times New Roman" w:hAnsi="Times New Roman"/>
                <w:sz w:val="20"/>
              </w:rPr>
              <w:t>Công cụ Hóa học → ChemGuard Lite</w:t>
            </w:r>
          </w:p>
        </w:tc>
      </w:tr>
      <w:tr>
        <w:tc>
          <w:tcPr>
            <w:tcW w:type="dxa" w:w="3288"/>
            <w:vAlign w:val="center"/>
          </w:tcPr>
          <w:p>
            <w:pPr>
              <w:spacing w:after="60"/>
            </w:pPr>
            <w:r>
              <w:rPr>
                <w:rFonts w:ascii="Times New Roman" w:hAnsi="Times New Roman"/>
                <w:sz w:val="20"/>
              </w:rPr>
              <w:t>Sao lưu</w:t>
            </w:r>
          </w:p>
        </w:tc>
        <w:tc>
          <w:tcPr>
            <w:tcW w:type="dxa" w:w="3288"/>
            <w:vAlign w:val="center"/>
          </w:tcPr>
          <w:p>
            <w:pPr>
              <w:spacing w:after="60"/>
            </w:pPr>
            <w:r>
              <w:rPr>
                <w:rFonts w:ascii="Times New Roman" w:hAnsi="Times New Roman"/>
                <w:sz w:val="20"/>
              </w:rPr>
              <w:t>Sao lưu/khôi phục toàn bộ dữ liệu bản 1.2 bằng JSON.</w:t>
            </w:r>
          </w:p>
        </w:tc>
        <w:tc>
          <w:tcPr>
            <w:tcW w:type="dxa" w:w="3288"/>
            <w:vAlign w:val="center"/>
          </w:tcPr>
          <w:p>
            <w:pPr>
              <w:spacing w:after="60"/>
            </w:pPr>
            <w:r>
              <w:rPr>
                <w:rFonts w:ascii="Times New Roman" w:hAnsi="Times New Roman"/>
                <w:sz w:val="20"/>
              </w:rPr>
              <w:t>Lịch sử đã tạo → Sao lưu</w:t>
            </w:r>
          </w:p>
        </w:tc>
      </w:tr>
    </w:tbl>
    <w:p/>
    <w:p>
      <w:pPr>
        <w:pStyle w:val="Heading1"/>
      </w:pPr>
      <w:r>
        <w:t>4. Quy trình lập kế hoạch giáo dục và bài dạy</w:t>
      </w:r>
    </w:p>
    <w:p>
      <w:pPr>
        <w:pStyle w:val="ListBullet"/>
      </w:pPr>
      <w:r>
        <w:t>KHGD: nhập trường, tổ, năm học, bộ sách, thông tin phân phối bài/tuần/thiết bị. Có thể tải CSV mẫu rồi nhập CSV (6 cột: Loại, Tên bài, Số tiết, Tuần, Thiết bị, Địa điểm).</w:t>
      </w:r>
    </w:p>
    <w:p>
      <w:pPr>
        <w:pStyle w:val="ListBullet"/>
      </w:pPr>
      <w:r>
        <w:t>Bấm “Kiểm tra thiếu sót”; xử lý các trường bị cảnh báo. Khi hoàn tất, xuất bản Word .docx và đối chiếu với phân phối chương trình được nhà trường phê duyệt.</w:t>
      </w:r>
    </w:p>
    <w:p>
      <w:pPr>
        <w:pStyle w:val="ListBullet"/>
      </w:pPr>
      <w:r>
        <w:t>Mở KHBD, chọn bài liên kết từ KHGD, bổ sung mục tiêu, thiết bị, an toàn thí nghiệm và bốn hoạt động học tập.</w:t>
      </w:r>
    </w:p>
    <w:p>
      <w:pPr>
        <w:pStyle w:val="ListBullet"/>
      </w:pPr>
      <w:r>
        <w:t>Kiểm tra mục tiêu, điều kiện phản ứng, công thức hóa học, thiết bị, công cụ đánh giá; đánh dấu bốn xác nhận thẩm định và xuất DOCX.</w:t>
      </w:r>
    </w:p>
    <w:p>
      <w:pPr>
        <w:pStyle w:val="Heading1"/>
      </w:pPr>
      <w:r>
        <w:t>5. Quy trình tạo ngân hàng câu hỏi và đề kiểm tra</w:t>
      </w:r>
    </w:p>
    <w:p>
      <w:pPr>
        <w:pStyle w:val="ListBullet"/>
      </w:pPr>
      <w:r>
        <w:t>Tại Tạo &amp; Trộn đề, nhập từng câu nhiều lựa chọn hoặc dán các câu theo cú pháp: Câu 1 [MCQ]: ...; A. ...; B. ...; C. ...; D. ...; Đáp án: B; Giải thích: ...</w:t>
      </w:r>
    </w:p>
    <w:p>
      <w:pPr>
        <w:pStyle w:val="ListBullet"/>
      </w:pPr>
      <w:r>
        <w:t>Với đúng/sai, dùng Câu 2 [TF]: ..., sau đó bốn ý a–d; dòng Đáp án: Đ,S,Đ,S. Với trả lời ngắn, dùng Câu 3 [SHORT]: ... và Đáp án: 0,25.</w:t>
      </w:r>
    </w:p>
    <w:p>
      <w:pPr>
        <w:pStyle w:val="ListBullet"/>
      </w:pPr>
      <w:r>
        <w:t>Chọn “Xem trước &amp; kiểm tra” rồi xác nhận nhập ngân hàng; tạo đề theo chủ đề/số câu/loại; có tùy chọn đảo vị trí A–D.</w:t>
      </w:r>
    </w:p>
    <w:p>
      <w:pPr>
        <w:pStyle w:val="ListBullet"/>
      </w:pPr>
      <w:r>
        <w:t>Chấm bài trên thiết bị hoặc xuất DOCX bản học sinh, bản có đáp án cho giáo viên; vào Dashboard xuất CSV điểm.</w:t>
      </w:r>
    </w:p>
    <w:p>
      <w:r>
        <w:rPr>
          <w:b/>
        </w:rPr>
        <w:t>Chấm đúng/sai ở bản demo: mỗi ý đúng 0,25 điểm; không mặc định tương đương thang chấm chính thức của kỳ thi tốt nghiệp THPT.</w:t>
      </w:r>
    </w:p>
    <w:p>
      <w:pPr>
        <w:pStyle w:val="Heading1"/>
      </w:pPr>
      <w:r>
        <w:t>6. Giới hạn kỹ thuật và trách nhiệm chuyên môn</w:t>
      </w:r>
    </w:p>
    <w:p>
      <w:pPr>
        <w:pStyle w:val="ListBullet"/>
      </w:pPr>
      <w:r>
        <w:t>Không có OCR tài liệu PDF/ảnh trực tiếp, không có AI sinh nội dung/giải bài trực tuyến; các chức năng này vẫn được gắn nhãn demo hoặc phiên bản tương lai.</w:t>
      </w:r>
    </w:p>
    <w:p>
      <w:pPr>
        <w:pStyle w:val="ListBullet"/>
      </w:pPr>
      <w:r>
        <w:t>ChemGuard Lite chỉ đếm nguyên tử hai vế; không kiểm chứng bảo toàn điện tích, electron, điều kiện phản ứng và khả năng phản ứng thực tế.</w:t>
      </w:r>
    </w:p>
    <w:p>
      <w:pPr>
        <w:pStyle w:val="ListBullet"/>
      </w:pPr>
      <w:r>
        <w:t>Dữ liệu học sinh cần dùng mã giả lập, không nhập tên thật, địa chỉ, số điện thoại, hồ sơ sức khỏe hay dữ liệu nhạy cảm vào bản trình diễn offline.</w:t>
      </w:r>
    </w:p>
    <w:p>
      <w:pPr>
        <w:pStyle w:val="ListBullet"/>
      </w:pPr>
      <w:r>
        <w:t>Dữ liệu localStorage có thể mất khi xóa dữ liệu trình duyệt. Hãy sao lưu định kỳ. Đề và hồ sơ do giáo viên duyệt, không tự động xác nhận đạt chuẩn pháp lý.</w:t>
      </w:r>
    </w:p>
    <w:p>
      <w:pPr>
        <w:pStyle w:val="Heading1"/>
      </w:pPr>
      <w:r>
        <w:t>7. Các bài kiểm thử đã thực hiện</w:t>
      </w:r>
    </w:p>
    <w:p>
      <w:r>
        <w:rPr>
          <w:b w:val="0"/>
        </w:rPr>
        <w:t>Đã kiểm thử: tự lưu KHGD khi chuyển trang/đổi khối; thêm/xóa dòng; nhập/xuất CSV; tạo và xuất KHGD/KHBD DOCX; tính CuSO₄·5H₂O; kiểm tra phương trình cân bằng/không cân bằng; nhập các định dạng câu hỏi, chấm, xuất Word/CSV; xuất phiếu học tập; sao lưu và đọc lại dữ liệu. Kiểm thử trên trình duyệt tự động cho kích thước máy tính và điện thoại. Kiểm thử chỉ xác nhận các luồng mẫu, chưa thay thế thử nghiệm trong môi trường triển khai thật.</w:t>
      </w:r>
    </w:p>
    <w:p>
      <w:r>
        <w:rPr>
          <w:b w:val="0"/>
        </w:rPr>
        <w:t>Tài liệu này sử dụng để triển khai thử nghiệm và tập huấn nội bộ; thông số khởi tạo và bài mẫu phải thay bằng dữ liệu đã được rà soát trước khi sử dụng trên lớp.</w:t>
      </w:r>
    </w:p>
    <w:sectPr w:rsidR="00FC693F" w:rsidRPr="0006063C" w:rsidSect="00034616">
      <w:footerReference w:type="default" r:id="rId9"/>
      <w:pgSz w:w="12240" w:h="15840"/>
      <w:pgMar w:top="1224" w:right="1152"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879C"/>
        <w:sz w:val="18"/>
      </w:rPr>
      <w:t>EduPlan AI 1.2 • Lê Bá Nhẫn – Trường THPT Hòn Đất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83E72"/>
      <w:sz w:val="27"/>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B736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173C7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