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Versión propuesta de corrección</w:t>
      </w:r>
    </w:p>
    <w:p>
      <w:pPr>
        <w:spacing w:after="40"/>
        <w:jc w:val="center"/>
      </w:pPr>
      <w:r>
        <w:t>Evolución económica del baloncesto femenino de competencia nacional en Colombia (2022–2025)</w:t>
      </w:r>
    </w:p>
    <w:p>
      <w:pPr>
        <w:spacing w:after="40"/>
        <w:jc w:val="center"/>
      </w:pPr>
      <w:r>
        <w:t>Grupo 8 · Metodología de la Investigación · Programa de Administración Deportiva</w:t>
      </w:r>
    </w:p>
    <w:p>
      <w:pPr>
        <w:jc w:val="center"/>
      </w:pPr>
      <w:r>
        <w:t>Borrador de trabajo preparado el 28 de octubre de 2026 con Kiro, asistente de inteligencia artificial</w:t>
      </w:r>
    </w:p>
    <w:p>
      <w:pPr>
        <w:pStyle w:val="Heading1"/>
      </w:pPr>
      <w:r>
        <w:t>Cómo leer este documento</w:t>
      </w:r>
    </w:p>
    <w:p>
      <w:r>
        <w:t xml:space="preserve">Este documento reúne los textos corregidos que propongo para los errores identificados en el documento Errores_G8_Version_Simple. Los bloques con fondo gris son texto listo para pegar en el trabajo. Las marcas </w:t>
      </w:r>
      <w:r>
        <w:rPr>
          <w:b/>
        </w:rPr>
        <w:t>[VERIFICAR]</w:t>
      </w:r>
      <w:r>
        <w:t xml:space="preserve"> y </w:t>
      </w:r>
      <w:r>
        <w:rPr>
          <w:b/>
        </w:rPr>
        <w:t>[COMPLETAR]</w:t>
      </w:r>
      <w:r>
        <w:t xml:space="preserve"> indican datos que no pude confirmar con los archivos del repositorio y que el grupo debe revisar antes de entregar. No inventé estudios, cifras ni fuentes.</w:t>
      </w:r>
    </w:p>
    <w:p>
      <w:r>
        <w:t>Las cifras y afirmaciones del texto propuesto salen del capítulo original. Las fuentes nuevas son los enlaces de la Ley 181 de 1995 y el Decreto 1724 de 2021, que encontré en el Gestor Normativo de la Función Pública, y dos datos que no pude comprobar y que van marcados: el DOI de Szymanski (de memoria) y el Decreto 1295 de 2022 (visto solo en el resultado de una búsqueda).</w:t>
      </w:r>
    </w:p>
    <w:p>
      <w:pPr>
        <w:pStyle w:val="Heading1"/>
      </w:pPr>
      <w:r>
        <w:t>1. Decisión previa: qué se entiende por “profesional”</w:t>
      </w:r>
    </w:p>
    <w:p>
      <w:r>
        <w:t>Los errores 1 y 2 tienen la misma raíz. El título habla de baloncesto “profesional”, pero el capítulo cita un informe del Ministerio del Deporte (2023b) que no registra jugadoras de baloncesto con contrato formal. Hay dos salidas:</w:t>
      </w:r>
    </w:p>
    <w:p>
      <w:pPr>
        <w:pStyle w:val="ListBullet"/>
      </w:pPr>
      <w:r>
        <w:rPr>
          <w:b/>
        </w:rPr>
        <w:t>Opción A (recomendada):</w:t>
      </w:r>
      <w:r>
        <w:t xml:space="preserve"> cambiar “profesional” por “de competencia nacional”. El estudio queda definido por los certámenes que existen (como la Liga Superior Femenina) y no por un estatus laboral que el propio trabajo duda que exista. Si las jugadoras tienen o no contrato pasa a ser un resultado del objetivo 3.</w:t>
      </w:r>
    </w:p>
    <w:p>
      <w:pPr>
        <w:pStyle w:val="ListBullet"/>
      </w:pPr>
      <w:r>
        <w:rPr>
          <w:b/>
        </w:rPr>
        <w:t>Opción B:</w:t>
      </w:r>
      <w:r>
        <w:t xml:space="preserve"> mantener “profesional” y explicar en la delimitación que se usa en sentido deportivo, no laboral. Es más débil, porque el lector lo leerá como una contradicción con el Ministerio.</w:t>
      </w:r>
    </w:p>
    <w:p>
      <w:r>
        <w:t>Texto propuesto para la delimitación (opción A):</w:t>
      </w:r>
    </w:p>
    <w:p>
      <w:pPr>
        <w:pBdr>
          <w:left w:val="single" w:sz="18" w:space="6" w:color="7F7F7F"/>
        </w:pBdr>
        <w:shd w:val="clear" w:color="auto" w:fill="EDEDED"/>
        <w:ind w:left="283" w:right="170"/>
      </w:pPr>
      <w:r>
        <w:t>En este trabajo, “baloncesto femenino de competencia nacional” designa los certámenes de clubes y ligas de rango nacional organizados por la Federación Colombiana de Baloncesto, como la Liga Superior Femenina de Baloncesto. El término no presupone que las jugadoras tengan contrato laboral formal. Determinar si lo tienen, y bajo qué modalidad, hace parte del objetivo específico 3.</w:t>
      </w:r>
    </w:p>
    <w:p>
      <w:r>
        <w:t>Si el docente prefiere conservar “profesional”, usen la opción B y mantengan el resto de las correcciones. Cambiar el título implica ajustar también el resumen, la introducción y la pregunta.</w:t>
      </w:r>
    </w:p>
    <w:p>
      <w:pPr>
        <w:pStyle w:val="Heading1"/>
      </w:pPr>
      <w:r>
        <w:t>2. Pregunta y objetivos (errores 2, 3, 4 y 5)</w:t>
      </w:r>
    </w:p>
    <w:p>
      <w:pPr>
        <w:pStyle w:val="Heading2"/>
      </w:pPr>
      <w:r>
        <w:t>Pregunta de investigación</w:t>
      </w:r>
    </w:p>
    <w:p>
      <w:pPr>
        <w:pBdr>
          <w:left w:val="single" w:sz="18" w:space="6" w:color="7F7F7F"/>
        </w:pBdr>
        <w:shd w:val="clear" w:color="auto" w:fill="EDEDED"/>
        <w:ind w:left="283" w:right="170"/>
      </w:pPr>
      <w:r>
        <w:t>¿Cómo evolucionaron, según la información documental disponible, los ingresos por patrocinio, los presupuestos de los clubes y las remuneraciones de las jugadoras del baloncesto femenino de competencia nacional en Colombia durante el periodo 2022–2025?</w:t>
      </w:r>
    </w:p>
    <w:p>
      <w:r>
        <w:t>La cláusula “según la información documental disponible” reconoce desde la pregunta que puede haber datos que no existen, que era el problema del error 2.</w:t>
      </w:r>
    </w:p>
    <w:p>
      <w:pPr>
        <w:pStyle w:val="Heading2"/>
      </w:pPr>
      <w:r>
        <w:t>Objetivo general</w:t>
      </w:r>
    </w:p>
    <w:p>
      <w:pPr>
        <w:pBdr>
          <w:left w:val="single" w:sz="18" w:space="6" w:color="7F7F7F"/>
        </w:pBdr>
        <w:shd w:val="clear" w:color="auto" w:fill="EDEDED"/>
        <w:ind w:left="283" w:right="170"/>
      </w:pPr>
      <w:r>
        <w:t>Describir la evolución de los ingresos por patrocinio, los presupuestos de los clubes y las remuneraciones de las jugadoras del baloncesto femenino de competencia nacional en Colombia entre 2022 y 2025.</w:t>
      </w:r>
    </w:p>
    <w:p>
      <w:r>
        <w:t>La frase “mediante la revisión documental de fuentes federativas, estatales, normativas y de prensa especializada” sale del objetivo y va a la metodología, donde ya aparece como diseño documental.</w:t>
      </w:r>
    </w:p>
    <w:p>
      <w:pPr>
        <w:pStyle w:val="Heading2"/>
      </w:pPr>
      <w:r>
        <w:t>Objetivos específicos</w:t>
      </w:r>
    </w:p>
    <w:p>
      <w:pPr>
        <w:pBdr>
          <w:left w:val="single" w:sz="18" w:space="6" w:color="7F7F7F"/>
        </w:pBdr>
        <w:shd w:val="clear" w:color="auto" w:fill="EDEDED"/>
        <w:ind w:left="283" w:right="170"/>
      </w:pPr>
      <w:r>
        <w:t>1. Determinar los certámenes nacionales de baloncesto femenino disputados en Colombia entre 2022 y 2025, los clubes que participaron y las entidades que los financiaron.</w:t>
      </w:r>
    </w:p>
    <w:p>
      <w:pPr>
        <w:pBdr>
          <w:left w:val="single" w:sz="18" w:space="6" w:color="7F7F7F"/>
        </w:pBdr>
        <w:shd w:val="clear" w:color="auto" w:fill="EDEDED"/>
        <w:ind w:left="283" w:right="170"/>
      </w:pPr>
      <w:r>
        <w:t>2. Describir los ingresos por patrocinio y los presupuestos de los clubes que participaron en esos certámenes durante el periodo.</w:t>
      </w:r>
    </w:p>
    <w:p>
      <w:pPr>
        <w:pBdr>
          <w:left w:val="single" w:sz="18" w:space="6" w:color="7F7F7F"/>
        </w:pBdr>
        <w:shd w:val="clear" w:color="auto" w:fill="EDEDED"/>
        <w:ind w:left="283" w:right="170"/>
      </w:pPr>
      <w:r>
        <w:t>3. Describir las remuneraciones y las modalidades de vinculación de las jugadoras de esos clubes durante el periodo.</w:t>
      </w:r>
    </w:p>
    <w:p>
      <w:pPr>
        <w:pBdr>
          <w:left w:val="single" w:sz="18" w:space="6" w:color="7F7F7F"/>
        </w:pBdr>
        <w:shd w:val="clear" w:color="auto" w:fill="EDEDED"/>
        <w:ind w:left="283" w:right="170"/>
      </w:pPr>
      <w:r>
        <w:t>4. Establecer qué información económica del subsector es pública, cuál es parcial y cuál no existe o no es accesible.</w:t>
      </w:r>
    </w:p>
    <w:p>
      <w:r>
        <w:t>Qué cambió y por qué:</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3120"/>
        <w:gridCol w:w="3120"/>
        <w:gridCol w:w="3120"/>
      </w:tblGrid>
      <w:tr>
        <w:trPr>
          <w:tblHeader w:val="true"/>
          <w:cantSplit w:val="true"/>
        </w:trPr>
        <w:tc>
          <w:tcPr>
            <w:tcW w:type="dxa" w:w="2381"/>
            <w:tcBorders>
              <w:bottom w:val="single" w:sz="6" w:color="000000"/>
            </w:tcBorders>
          </w:tcPr>
          <w:p>
            <w:r/>
            <w:r>
              <w:rPr>
                <w:b/>
                <w:sz w:val="21"/>
              </w:rPr>
              <w:t>Objetivo original</w:t>
            </w:r>
          </w:p>
        </w:tc>
        <w:tc>
          <w:tcPr>
            <w:tcW w:type="dxa" w:w="3061"/>
            <w:tcBorders>
              <w:bottom w:val="single" w:sz="6" w:color="000000"/>
            </w:tcBorders>
          </w:tcPr>
          <w:p>
            <w:r/>
            <w:r>
              <w:rPr>
                <w:b/>
                <w:sz w:val="21"/>
              </w:rPr>
              <w:t>Problema</w:t>
            </w:r>
          </w:p>
        </w:tc>
        <w:tc>
          <w:tcPr>
            <w:tcW w:type="dxa" w:w="3628"/>
            <w:tcBorders>
              <w:bottom w:val="single" w:sz="6" w:color="000000"/>
            </w:tcBorders>
          </w:tcPr>
          <w:p>
            <w:r/>
            <w:r>
              <w:rPr>
                <w:b/>
                <w:sz w:val="21"/>
              </w:rPr>
              <w:t>Versión propuesta</w:t>
            </w:r>
          </w:p>
        </w:tc>
      </w:tr>
      <w:tr>
        <w:trPr>
          <w:cantSplit w:val="true"/>
        </w:trPr>
        <w:tc>
          <w:tcPr>
            <w:tcW w:type="dxa" w:w="2381"/>
          </w:tcPr>
          <w:p>
            <w:pPr>
              <w:spacing w:after="40" w:line="240" w:lineRule="auto"/>
            </w:pPr>
            <w:r>
              <w:rPr>
                <w:sz w:val="21"/>
              </w:rPr>
            </w:r>
            <w:r>
              <w:rPr>
                <w:sz w:val="21"/>
              </w:rPr>
              <w:t>General</w:t>
            </w:r>
          </w:p>
        </w:tc>
        <w:tc>
          <w:tcPr>
            <w:tcW w:type="dxa" w:w="3061"/>
          </w:tcPr>
          <w:p>
            <w:pPr>
              <w:spacing w:after="40" w:line="240" w:lineRule="auto"/>
            </w:pPr>
            <w:r>
              <w:rPr>
                <w:sz w:val="21"/>
              </w:rPr>
            </w:r>
            <w:r>
              <w:rPr>
                <w:sz w:val="21"/>
              </w:rPr>
              <w:t>Incluye el método (“mediante la revisión documental…”).</w:t>
            </w:r>
          </w:p>
        </w:tc>
        <w:tc>
          <w:tcPr>
            <w:tcW w:type="dxa" w:w="3628"/>
          </w:tcPr>
          <w:p>
            <w:pPr>
              <w:spacing w:after="40" w:line="240" w:lineRule="auto"/>
            </w:pPr>
            <w:r>
              <w:rPr>
                <w:sz w:val="21"/>
              </w:rPr>
            </w:r>
            <w:r>
              <w:rPr>
                <w:sz w:val="21"/>
              </w:rPr>
              <w:t>Se elimina la frase. El método va en la metodología.</w:t>
            </w:r>
          </w:p>
        </w:tc>
      </w:tr>
      <w:tr>
        <w:trPr>
          <w:cantSplit w:val="true"/>
        </w:trPr>
        <w:tc>
          <w:tcPr>
            <w:tcW w:type="dxa" w:w="2381"/>
          </w:tcPr>
          <w:p>
            <w:pPr>
              <w:spacing w:after="40" w:line="240" w:lineRule="auto"/>
            </w:pPr>
            <w:r>
              <w:rPr>
                <w:sz w:val="21"/>
              </w:rPr>
            </w:r>
            <w:r>
              <w:rPr>
                <w:sz w:val="21"/>
              </w:rPr>
              <w:t>1. Identificar certámenes, clubes y fuentes de financiación</w:t>
            </w:r>
          </w:p>
        </w:tc>
        <w:tc>
          <w:tcPr>
            <w:tcW w:type="dxa" w:w="3061"/>
          </w:tcPr>
          <w:p>
            <w:pPr>
              <w:spacing w:after="40" w:line="240" w:lineRule="auto"/>
            </w:pPr>
            <w:r>
              <w:rPr>
                <w:sz w:val="21"/>
              </w:rPr>
            </w:r>
            <w:r>
              <w:rPr>
                <w:sz w:val="21"/>
              </w:rPr>
              <w:t>Se lee como una lista de tareas.</w:t>
            </w:r>
          </w:p>
        </w:tc>
        <w:tc>
          <w:tcPr>
            <w:tcW w:type="dxa" w:w="3628"/>
          </w:tcPr>
          <w:p>
            <w:pPr>
              <w:spacing w:after="40" w:line="240" w:lineRule="auto"/>
            </w:pPr>
            <w:r>
              <w:rPr>
                <w:sz w:val="21"/>
              </w:rPr>
            </w:r>
            <w:r>
              <w:rPr>
                <w:sz w:val="21"/>
              </w:rPr>
              <w:t>Se redacta como resultado: el panorama de certámenes, clubes y financiadores. Sigue siendo un objetivo de base; si el docente lo considera una tarea previa, puede pasar a la delimitación.</w:t>
            </w:r>
          </w:p>
        </w:tc>
      </w:tr>
      <w:tr>
        <w:trPr>
          <w:cantSplit w:val="true"/>
        </w:trPr>
        <w:tc>
          <w:tcPr>
            <w:tcW w:type="dxa" w:w="2381"/>
          </w:tcPr>
          <w:p>
            <w:pPr>
              <w:spacing w:after="40" w:line="240" w:lineRule="auto"/>
            </w:pPr>
            <w:r>
              <w:rPr>
                <w:sz w:val="21"/>
              </w:rPr>
            </w:r>
            <w:r>
              <w:rPr>
                <w:sz w:val="21"/>
              </w:rPr>
              <w:t>2. Caracterizar ingresos y estructura presupuestal</w:t>
            </w:r>
          </w:p>
        </w:tc>
        <w:tc>
          <w:tcPr>
            <w:tcW w:type="dxa" w:w="3061"/>
          </w:tcPr>
          <w:p>
            <w:pPr>
              <w:spacing w:after="40" w:line="240" w:lineRule="auto"/>
            </w:pPr>
            <w:r>
              <w:rPr>
                <w:sz w:val="21"/>
              </w:rPr>
            </w:r>
            <w:r>
              <w:rPr>
                <w:sz w:val="21"/>
              </w:rPr>
              <w:t>Sin problema grave.</w:t>
            </w:r>
          </w:p>
        </w:tc>
        <w:tc>
          <w:tcPr>
            <w:tcW w:type="dxa" w:w="3628"/>
          </w:tcPr>
          <w:p>
            <w:pPr>
              <w:spacing w:after="40" w:line="240" w:lineRule="auto"/>
            </w:pPr>
            <w:r>
              <w:rPr>
                <w:sz w:val="21"/>
              </w:rPr>
            </w:r>
            <w:r>
              <w:rPr>
                <w:sz w:val="21"/>
              </w:rPr>
              <w:t>Se ajusta para que “presupuestos” use la definición única de la sección 3.</w:t>
            </w:r>
          </w:p>
        </w:tc>
      </w:tr>
      <w:tr>
        <w:trPr>
          <w:cantSplit w:val="true"/>
        </w:trPr>
        <w:tc>
          <w:tcPr>
            <w:tcW w:type="dxa" w:w="2381"/>
          </w:tcPr>
          <w:p>
            <w:pPr>
              <w:spacing w:after="40" w:line="240" w:lineRule="auto"/>
            </w:pPr>
            <w:r>
              <w:rPr>
                <w:sz w:val="21"/>
              </w:rPr>
            </w:r>
            <w:r>
              <w:rPr>
                <w:sz w:val="21"/>
              </w:rPr>
              <w:t>3. Describir remuneración, con el SMLMV como unidad</w:t>
            </w:r>
          </w:p>
        </w:tc>
        <w:tc>
          <w:tcPr>
            <w:tcW w:type="dxa" w:w="3061"/>
          </w:tcPr>
          <w:p>
            <w:pPr>
              <w:spacing w:after="40" w:line="240" w:lineRule="auto"/>
            </w:pPr>
            <w:r>
              <w:rPr>
                <w:sz w:val="21"/>
              </w:rPr>
            </w:r>
            <w:r>
              <w:rPr>
                <w:sz w:val="21"/>
              </w:rPr>
              <w:t>Incluye cómo medir.</w:t>
            </w:r>
          </w:p>
        </w:tc>
        <w:tc>
          <w:tcPr>
            <w:tcW w:type="dxa" w:w="3628"/>
          </w:tcPr>
          <w:p>
            <w:pPr>
              <w:spacing w:after="40" w:line="240" w:lineRule="auto"/>
            </w:pPr>
            <w:r>
              <w:rPr>
                <w:sz w:val="21"/>
              </w:rPr>
            </w:r>
            <w:r>
              <w:rPr>
                <w:sz w:val="21"/>
              </w:rPr>
              <w:t>Se quita el SMLMV del objetivo. El SMLMV se mantiene como unidad de referencia en la metodología y en la Tabla 3.</w:t>
            </w:r>
          </w:p>
        </w:tc>
      </w:tr>
      <w:tr>
        <w:trPr>
          <w:cantSplit w:val="true"/>
        </w:trPr>
        <w:tc>
          <w:tcPr>
            <w:tcW w:type="dxa" w:w="2381"/>
          </w:tcPr>
          <w:p>
            <w:pPr>
              <w:spacing w:after="40" w:line="240" w:lineRule="auto"/>
            </w:pPr>
            <w:r>
              <w:rPr>
                <w:sz w:val="21"/>
              </w:rPr>
            </w:r>
            <w:r>
              <w:rPr>
                <w:sz w:val="21"/>
              </w:rPr>
              <w:t>4. Comparar con el baloncesto masculino y con otros países</w:t>
            </w:r>
          </w:p>
        </w:tc>
        <w:tc>
          <w:tcPr>
            <w:tcW w:type="dxa" w:w="3061"/>
          </w:tcPr>
          <w:p>
            <w:pPr>
              <w:spacing w:after="40" w:line="240" w:lineRule="auto"/>
            </w:pPr>
            <w:r>
              <w:rPr>
                <w:sz w:val="21"/>
              </w:rPr>
            </w:r>
            <w:r>
              <w:rPr>
                <w:sz w:val="21"/>
              </w:rPr>
              <w:t>El objetivo general no habla de comparaciones, y la delimitación deja la rama masculina solo como referencia.</w:t>
            </w:r>
          </w:p>
        </w:tc>
        <w:tc>
          <w:tcPr>
            <w:tcW w:type="dxa" w:w="3628"/>
          </w:tcPr>
          <w:p>
            <w:pPr>
              <w:spacing w:after="40" w:line="240" w:lineRule="auto"/>
            </w:pPr>
            <w:r>
              <w:rPr>
                <w:sz w:val="21"/>
              </w:rPr>
            </w:r>
            <w:r>
              <w:rPr>
                <w:sz w:val="21"/>
              </w:rPr>
              <w:t>Se reemplaza por un objetivo que se deriva del problema: mapear qué información existe y cuál falta.</w:t>
            </w:r>
          </w:p>
        </w:tc>
      </w:tr>
    </w:tbl>
    <w:p>
      <w:pPr>
        <w:spacing w:after="40"/>
      </w:pPr>
    </w:p>
    <w:p>
      <w:r>
        <w:rPr>
          <w:b/>
        </w:rPr>
        <w:t>Alternativa para el objetivo 4:</w:t>
      </w:r>
      <w:r>
        <w:t xml:space="preserve"> si el grupo quiere conservar la comparación, debe agregarla al objetivo general (por ejemplo, “…en contraste con los referentes del baloncesto masculino colombiano y las tendencias internacionales”) y ampliar la delimitación. Eso aumenta el trabajo y exige datos del baloncesto masculino. Con los datos que el grupo ya reconoce no tener, recomiendo la versión propuesta arriba.</w:t>
      </w:r>
    </w:p>
    <w:p>
      <w:pPr>
        <w:pStyle w:val="Heading1"/>
      </w:pPr>
      <w:r>
        <w:t>3. Definición única de “presupuesto” y glosario (errores 12 y 13)</w:t>
      </w:r>
    </w:p>
    <w:p>
      <w:r>
        <w:t>Hoy “presupuesto” significa una cosa en el glosario (lo que el club planea gastar) y otra en el marco conceptual (activos, pasivos, patrimonio, ingresos, costos y gastos, es decir, estados financieros). Son dos conceptos distintos y piden datos distintos. La corrección consiste en separarlos con dos nombres.</w:t>
      </w:r>
    </w:p>
    <w:p>
      <w:pPr>
        <w:pStyle w:val="Heading2"/>
      </w:pPr>
      <w:r>
        <w:t>Glosario</w:t>
      </w:r>
    </w:p>
    <w:p>
      <w:pPr>
        <w:pBdr>
          <w:left w:val="single" w:sz="18" w:space="6" w:color="7F7F7F"/>
        </w:pBdr>
        <w:shd w:val="clear" w:color="auto" w:fill="EDEDED"/>
        <w:ind w:left="283" w:right="170"/>
      </w:pPr>
      <w:r>
        <w:rPr>
          <w:b/>
        </w:rPr>
        <w:t>Presupuesto del club:</w:t>
      </w:r>
      <w:r>
        <w:t xml:space="preserve"> Plan de ingresos y gastos que una organización deportiva proyecta para un periodo determinado. Incluye, entre otros, nómina, desplazamientos, alquiler de escenarios, inscripción o ficha en la división profesional y gastos administrativos. No equivale a lo que el club efectivamente gastó, que se reporta en los estados financieros.</w:t>
      </w:r>
    </w:p>
    <w:p>
      <w:pPr>
        <w:pBdr>
          <w:left w:val="single" w:sz="18" w:space="6" w:color="7F7F7F"/>
        </w:pBdr>
        <w:shd w:val="clear" w:color="auto" w:fill="EDEDED"/>
        <w:ind w:left="283" w:right="170"/>
      </w:pPr>
      <w:r>
        <w:rPr>
          <w:b/>
        </w:rPr>
        <w:t>Estados financieros:</w:t>
      </w:r>
      <w:r>
        <w:t xml:space="preserve"> Informes contables que presentan la situación de una organización al cierre de un periodo, con sus activos, pasivos, patrimonio, ingresos, costos y gastos. Muestran lo que efectivamente ocurrió y no lo planeado. Los clubes deportivos profesionales están obligados a remitirlos al Ministerio del Deporte (Ministerio del Deporte, 2023b).</w:t>
      </w:r>
    </w:p>
    <w:p>
      <w:r>
        <w:rPr>
          <w:b/>
        </w:rPr>
        <w:t>Términos a eliminar:</w:t>
      </w:r>
      <w:r>
        <w:t xml:space="preserve"> “Valor de marca” y “Modelo de negocio autosustentable” no se usan en el resto del trabajo y no tienen fuente. Lo más simple es quitarlos. Si el grupo los quiere conservar, debe usarlos en el texto y citar una fuente para cada uno.</w:t>
      </w:r>
    </w:p>
    <w:p>
      <w:pPr>
        <w:pStyle w:val="Heading2"/>
      </w:pPr>
      <w:r>
        <w:t>Marco conceptual: párrafo que reemplaza al actual sobre presupuesto</w:t>
      </w:r>
    </w:p>
    <w:p>
      <w:pPr>
        <w:pBdr>
          <w:left w:val="single" w:sz="18" w:space="6" w:color="7F7F7F"/>
        </w:pBdr>
        <w:shd w:val="clear" w:color="auto" w:fill="EDEDED"/>
        <w:ind w:left="283" w:right="170"/>
      </w:pPr>
      <w:r>
        <w:t>En este trabajo se distinguen dos conceptos. El presupuesto es el plan de ingresos y gastos que el club proyecta para un periodo. Los estados financieros muestran lo que el club efectivamente recibió y gastó, y son la fuente que usa el Ministerio del Deporte (2023b) para vigilar a los clubes profesionales, con indicadores como el patrimonio líquido y el nivel de endeudamiento. Como los clubes de baloncesto femenino no publican su presupuesto, la investigación buscará primero el presupuesto proyectado cuando exista. Cuando no exista, usará los estados financieros o los aportes públicos reportados como aproximación al gasto ejecutado, y señalará en cada caso cuál de los dos conceptos está empleando.</w:t>
      </w:r>
    </w:p>
    <w:p>
      <w:pPr>
        <w:pStyle w:val="Heading1"/>
      </w:pPr>
      <w:r>
        <w:t>4. Resumen y abstract (error 16)</w:t>
      </w:r>
    </w:p>
    <w:p>
      <w:r>
        <w:t xml:space="preserve">APA 7 pide un solo párrafo, sin sangría, de máximo 250 palabras. El resumen propuesto tiene </w:t>
      </w:r>
      <w:r>
        <w:rPr>
          <w:b/>
        </w:rPr>
        <w:t>246 palabras</w:t>
      </w:r>
      <w:r>
        <w:t xml:space="preserve"> y el abstract </w:t>
      </w:r>
      <w:r>
        <w:rPr>
          <w:b/>
        </w:rPr>
        <w:t>222</w:t>
      </w:r>
      <w:r>
        <w:t>. Los textos originales tenían unas 330 a 345 palabras el resumen y unas 300 a 312 el abstract, repartidas en varios párrafos.</w:t>
      </w:r>
    </w:p>
    <w:p>
      <w:pPr>
        <w:pStyle w:val="Heading2"/>
      </w:pPr>
      <w:r>
        <w:t>Resumen</w:t>
      </w:r>
    </w:p>
    <w:p>
      <w:pPr>
        <w:pBdr>
          <w:left w:val="single" w:sz="18" w:space="6" w:color="7F7F7F"/>
        </w:pBdr>
        <w:shd w:val="clear" w:color="auto" w:fill="EDEDED"/>
        <w:ind w:left="283" w:right="170"/>
      </w:pPr>
      <w:r>
        <w:t>Este trabajo formula el problema de investigación sobre la evolución de los ingresos por patrocinio, los presupuestos de los clubes y las remuneraciones de las jugadoras del baloncesto femenino de competencia nacional en Colombia entre 2022 y 2025. Mientras los ingresos globales del deporte femenino de élite pasaron de 692 millones de dólares en 2022 a 1.880 millones en 2024, con el baloncesto como la disciplina de mayores ingresos proyectados para 2025 (Deloitte, 2025), el circuito colombiano operó con certámenes de entre cuatro y seis semanas y con financiación predominantemente pública. En 2023, el Viceministerio del Deporte reportó un aporte superior a 300 millones de pesos para la Liga Superior Femenina de Baloncesto y reconoció que no era suficiente (El Espectador, 2023). Además, un informe del Ministerio del Deporte (2023b), con corte a diciembre de 2022, no registra jugadoras de baloncesto con contrato formal, y la base de datos Latinbasket (2025) no registra ediciones de la liga en 2024 ni en 2025. El problema es la falta de información económica sistematizada, pública y verificable sobre este subsector, lo que impide estimar el costo de sostener un club, valorar comercialmente el producto deportivo y diseñar propuestas de patrocinio con datos. El estudio es descriptivo, con diseño documental, y analizará certámenes nacionales, clubes y entidades financiadoras a partir de documentos federativos y estatales, normativa, bases de datos especializadas y prensa verificable. Por corresponder a la formulación del problema y al marco de referencia, este documento no presenta resultados.</w:t>
      </w:r>
    </w:p>
    <w:p>
      <w:pPr>
        <w:pBdr>
          <w:left w:val="single" w:sz="18" w:space="6" w:color="7F7F7F"/>
        </w:pBdr>
        <w:shd w:val="clear" w:color="auto" w:fill="EDEDED"/>
        <w:ind w:left="283" w:right="170"/>
      </w:pPr>
      <w:r>
        <w:rPr>
          <w:i/>
        </w:rPr>
        <w:t>Palabras clave:</w:t>
      </w:r>
      <w:r>
        <w:t xml:space="preserve"> baloncesto femenino, economía del deporte, patrocinio deportivo, presupuesto de clubes, salarios, Colombia</w:t>
      </w:r>
    </w:p>
    <w:p>
      <w:pPr>
        <w:pStyle w:val="Heading2"/>
      </w:pPr>
      <w:r>
        <w:t>Abstract</w:t>
      </w:r>
    </w:p>
    <w:p>
      <w:pPr>
        <w:pBdr>
          <w:left w:val="single" w:sz="18" w:space="6" w:color="7F7F7F"/>
        </w:pBdr>
        <w:shd w:val="clear" w:color="auto" w:fill="EDEDED"/>
        <w:ind w:left="283" w:right="170"/>
      </w:pPr>
      <w:r>
        <w:t>This paper formulates the research problem on the evolution of sponsorship revenue, club budgets and player salaries in Colombian national-level women’s basketball between 2022 and 2025. While global revenues in elite women’s sport rose from USD 692 million in 2022 to USD 1.88 billion in 2024, with basketball projected as the highest-earning discipline for 2025 (Deloitte, 2025), the Colombian circuit operated with competitions lasting four to six weeks and mainly public funding. In 2023, the Deputy Ministry of Sport reported a contribution of over 300 million Colombian pesos to the Liga Superior Femenina de Baloncesto and acknowledged that it was not enough (El Espectador, 2023). In addition, a report by the Ministry of Sport (2023b), as of December 2022, records no basketball players with a formal contract, and the Latinbasket database (2025) records no editions of the league in 2024 or 2025. The problem is the lack of systematised, public and verifiable economic information on this subsector, which prevents estimating the cost of sustaining a club, assessing the commercial value of the sporting product and designing evidence-based sponsorship proposals. The study is descriptive with a documentary design and will analyse national competitions, clubs and funding entities using federation and government documents, legislation, specialised databases and verifiable press. As this document covers the problem formulation and the theoretical framework, it presents no results.</w:t>
      </w:r>
    </w:p>
    <w:p>
      <w:pPr>
        <w:pBdr>
          <w:left w:val="single" w:sz="18" w:space="6" w:color="7F7F7F"/>
        </w:pBdr>
        <w:shd w:val="clear" w:color="auto" w:fill="EDEDED"/>
        <w:ind w:left="283" w:right="170"/>
      </w:pPr>
      <w:r>
        <w:rPr>
          <w:i/>
        </w:rPr>
        <w:t>Keywords:</w:t>
      </w:r>
      <w:r>
        <w:t xml:space="preserve"> women’s basketball, sport economics, sport sponsorship, club budgets, salaries, Colombia</w:t>
      </w:r>
    </w:p>
    <w:p>
      <w:r>
        <w:t>El resumen usa “Ministerio del Deporte (2023b)”; la sección 6 explica la letra b.</w:t>
      </w:r>
    </w:p>
    <w:p>
      <w:pPr>
        <w:pStyle w:val="Heading1"/>
      </w:pPr>
      <w:r>
        <w:t>5. Justificación: cómo se conseguirán los datos (error 9)</w:t>
      </w:r>
    </w:p>
    <w:p>
      <w:r>
        <w:t>Párrafo propuesto para el apartado de Viabilidad, después de reconocer que la información financiera de los clubes no es de publicación obligatoria:</w:t>
      </w:r>
    </w:p>
    <w:p>
      <w:pPr>
        <w:pBdr>
          <w:left w:val="single" w:sz="18" w:space="6" w:color="7F7F7F"/>
        </w:pBdr>
        <w:shd w:val="clear" w:color="auto" w:fill="EDEDED"/>
        <w:ind w:left="283" w:right="170"/>
      </w:pPr>
      <w:r>
        <w:t>Los datos se buscarán por tres vías. Primero, la consulta de fuentes públicas: el Ministerio del Deporte, la Federación Colombiana de Baloncesto, bases de datos especializadas como Latinbasket y prensa verificable. Segundo, derechos de petición dirigidos a las entidades públicas que financian los certámenes, para conocer los aportes y convenios del periodo. Tercero, solicitudes de información a los clubes, que no están obligados a responder. Cuando un dato no pueda obtenerse, se registrará como no disponible y esa ausencia se reportará como un resultado del estudio.</w:t>
      </w:r>
    </w:p>
    <w:p>
      <w:r>
        <w:rPr>
          <w:b/>
        </w:rPr>
        <w:t>[VERIFICAR]</w:t>
      </w:r>
      <w:r>
        <w:t xml:space="preserve"> con el docente que los derechos de petición sean una vía aceptable dentro del alcance del trabajo. La lista de entidades concretas a las que se dirigirían la debe definir el grupo.</w:t>
      </w:r>
    </w:p>
    <w:p>
      <w:pPr>
        <w:pStyle w:val="Heading1"/>
      </w:pPr>
      <w:r>
        <w:t>6. Citas y referencias (errores 14 y 15)</w:t>
      </w:r>
    </w:p>
    <w:p>
      <w:pPr>
        <w:pStyle w:val="Heading2"/>
      </w:pPr>
      <w:r>
        <w:t>Fuentes del mismo autor y año</w:t>
      </w:r>
    </w:p>
    <w:p>
      <w:r>
        <w:t>APA ordena las fuentes del mismo autor y año por el título y les asigna la letra en ese orden. Con esa regla las letras quedan así:</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3120"/>
        <w:gridCol w:w="3120"/>
        <w:gridCol w:w="3120"/>
      </w:tblGrid>
      <w:tr>
        <w:trPr>
          <w:tblHeader w:val="true"/>
          <w:cantSplit w:val="true"/>
        </w:trPr>
        <w:tc>
          <w:tcPr>
            <w:tcW w:type="dxa" w:w="4309"/>
            <w:tcBorders>
              <w:bottom w:val="single" w:sz="6" w:color="000000"/>
            </w:tcBorders>
          </w:tcPr>
          <w:p>
            <w:r/>
            <w:r>
              <w:rPr>
                <w:b/>
                <w:sz w:val="21"/>
              </w:rPr>
              <w:t>Fuente</w:t>
            </w:r>
          </w:p>
        </w:tc>
        <w:tc>
          <w:tcPr>
            <w:tcW w:type="dxa" w:w="1474"/>
            <w:tcBorders>
              <w:bottom w:val="single" w:sz="6" w:color="000000"/>
            </w:tcBorders>
          </w:tcPr>
          <w:p>
            <w:r/>
            <w:r>
              <w:rPr>
                <w:b/>
                <w:sz w:val="21"/>
              </w:rPr>
              <w:t>Letra propuesta</w:t>
            </w:r>
          </w:p>
        </w:tc>
        <w:tc>
          <w:tcPr>
            <w:tcW w:type="dxa" w:w="3288"/>
            <w:tcBorders>
              <w:bottom w:val="single" w:sz="6" w:color="000000"/>
            </w:tcBorders>
          </w:tcPr>
          <w:p>
            <w:r/>
            <w:r>
              <w:rPr>
                <w:b/>
                <w:sz w:val="21"/>
              </w:rPr>
              <w:t>Dónde se usa en el texto (a verificar)</w:t>
            </w:r>
          </w:p>
        </w:tc>
      </w:tr>
      <w:tr>
        <w:trPr>
          <w:cantSplit w:val="true"/>
        </w:trPr>
        <w:tc>
          <w:tcPr>
            <w:tcW w:type="dxa" w:w="4309"/>
          </w:tcPr>
          <w:p>
            <w:pPr>
              <w:spacing w:after="40" w:line="240" w:lineRule="auto"/>
            </w:pPr>
            <w:r>
              <w:rPr>
                <w:sz w:val="21"/>
              </w:rPr>
            </w:r>
            <w:r>
              <w:rPr>
                <w:sz w:val="21"/>
              </w:rPr>
              <w:t xml:space="preserve">Ministerio del Deporte (2023). </w:t>
            </w:r>
            <w:r>
              <w:rPr>
                <w:i/>
                <w:sz w:val="21"/>
              </w:rPr>
              <w:t>La Liga Superior Femenina, un impulso para seguir desarrollando el baloncesto en Colombia</w:t>
            </w:r>
          </w:p>
        </w:tc>
        <w:tc>
          <w:tcPr>
            <w:tcW w:type="dxa" w:w="1474"/>
          </w:tcPr>
          <w:p>
            <w:pPr>
              <w:spacing w:after="40" w:line="240" w:lineRule="auto"/>
            </w:pPr>
            <w:r>
              <w:rPr>
                <w:sz w:val="21"/>
              </w:rPr>
            </w:r>
            <w:r>
              <w:rPr>
                <w:sz w:val="21"/>
              </w:rPr>
              <w:t>2023a</w:t>
            </w:r>
          </w:p>
        </w:tc>
        <w:tc>
          <w:tcPr>
            <w:tcW w:type="dxa" w:w="3288"/>
          </w:tcPr>
          <w:p>
            <w:pPr>
              <w:spacing w:after="40" w:line="240" w:lineRule="auto"/>
            </w:pPr>
            <w:r>
              <w:rPr>
                <w:sz w:val="21"/>
              </w:rPr>
            </w:r>
            <w:r>
              <w:rPr>
                <w:sz w:val="21"/>
              </w:rPr>
              <w:t>Participantes de Bogotá y Cundinamarca en la conferencia Centro, y la nota de la Tabla 2.</w:t>
            </w:r>
          </w:p>
        </w:tc>
      </w:tr>
      <w:tr>
        <w:trPr>
          <w:cantSplit w:val="true"/>
        </w:trPr>
        <w:tc>
          <w:tcPr>
            <w:tcW w:type="dxa" w:w="4309"/>
          </w:tcPr>
          <w:p>
            <w:pPr>
              <w:spacing w:after="40" w:line="240" w:lineRule="auto"/>
            </w:pPr>
            <w:r>
              <w:rPr>
                <w:sz w:val="21"/>
              </w:rPr>
            </w:r>
            <w:r>
              <w:rPr>
                <w:sz w:val="21"/>
              </w:rPr>
              <w:t xml:space="preserve">Ministerio del Deporte (2023). </w:t>
            </w:r>
            <w:r>
              <w:rPr>
                <w:i/>
                <w:sz w:val="21"/>
              </w:rPr>
              <w:t>Panorama financiero y laboral de clubes deportivos profesionales</w:t>
            </w:r>
          </w:p>
        </w:tc>
        <w:tc>
          <w:tcPr>
            <w:tcW w:type="dxa" w:w="1474"/>
          </w:tcPr>
          <w:p>
            <w:pPr>
              <w:spacing w:after="40" w:line="240" w:lineRule="auto"/>
            </w:pPr>
            <w:r>
              <w:rPr>
                <w:sz w:val="21"/>
              </w:rPr>
            </w:r>
            <w:r>
              <w:rPr>
                <w:sz w:val="21"/>
              </w:rPr>
              <w:t>2023b</w:t>
            </w:r>
          </w:p>
        </w:tc>
        <w:tc>
          <w:tcPr>
            <w:tcW w:type="dxa" w:w="3288"/>
          </w:tcPr>
          <w:p>
            <w:pPr>
              <w:spacing w:after="40" w:line="240" w:lineRule="auto"/>
            </w:pPr>
            <w:r>
              <w:rPr>
                <w:sz w:val="21"/>
              </w:rPr>
            </w:r>
            <w:r>
              <w:rPr>
                <w:sz w:val="21"/>
              </w:rPr>
              <w:t>Antecedentes, marco teórico, marco conceptual, glosario y la afirmación de que no hay baloncesto femenino con contrato formal.</w:t>
            </w:r>
          </w:p>
        </w:tc>
      </w:tr>
      <w:tr>
        <w:trPr>
          <w:cantSplit w:val="true"/>
        </w:trPr>
        <w:tc>
          <w:tcPr>
            <w:tcW w:type="dxa" w:w="4309"/>
          </w:tcPr>
          <w:p>
            <w:pPr>
              <w:spacing w:after="40" w:line="240" w:lineRule="auto"/>
            </w:pPr>
            <w:r>
              <w:rPr>
                <w:sz w:val="21"/>
              </w:rPr>
            </w:r>
            <w:r>
              <w:rPr>
                <w:sz w:val="21"/>
              </w:rPr>
              <w:t xml:space="preserve">FIBA (2025). </w:t>
            </w:r>
            <w:r>
              <w:rPr>
                <w:i/>
                <w:sz w:val="21"/>
              </w:rPr>
              <w:t>Everything you need to know about the FIBA Women’s AmeriCup 2025</w:t>
            </w:r>
          </w:p>
        </w:tc>
        <w:tc>
          <w:tcPr>
            <w:tcW w:type="dxa" w:w="1474"/>
          </w:tcPr>
          <w:p>
            <w:pPr>
              <w:spacing w:after="40" w:line="240" w:lineRule="auto"/>
            </w:pPr>
            <w:r>
              <w:rPr>
                <w:sz w:val="21"/>
              </w:rPr>
            </w:r>
            <w:r>
              <w:rPr>
                <w:sz w:val="21"/>
              </w:rPr>
              <w:t>2025a</w:t>
            </w:r>
          </w:p>
        </w:tc>
        <w:tc>
          <w:tcPr>
            <w:tcW w:type="dxa" w:w="3288"/>
          </w:tcPr>
          <w:p>
            <w:pPr>
              <w:spacing w:after="40" w:line="240" w:lineRule="auto"/>
            </w:pPr>
            <w:r>
              <w:rPr>
                <w:sz w:val="21"/>
              </w:rPr>
            </w:r>
            <w:r>
              <w:rPr>
                <w:sz w:val="21"/>
              </w:rPr>
              <w:t xml:space="preserve">Fechas, sede (Santiago de Chile) y cupos a los clasificatorios. </w:t>
            </w:r>
            <w:r>
              <w:rPr>
                <w:b/>
                <w:sz w:val="21"/>
              </w:rPr>
              <w:t>[VERIFICAR]</w:t>
            </w:r>
          </w:p>
        </w:tc>
      </w:tr>
      <w:tr>
        <w:trPr>
          <w:cantSplit w:val="true"/>
        </w:trPr>
        <w:tc>
          <w:tcPr>
            <w:tcW w:type="dxa" w:w="4309"/>
          </w:tcPr>
          <w:p>
            <w:pPr>
              <w:spacing w:after="40" w:line="240" w:lineRule="auto"/>
            </w:pPr>
            <w:r>
              <w:rPr>
                <w:sz w:val="21"/>
              </w:rPr>
            </w:r>
            <w:r>
              <w:rPr>
                <w:sz w:val="21"/>
              </w:rPr>
              <w:t xml:space="preserve">FIBA (2025). </w:t>
            </w:r>
            <w:r>
              <w:rPr>
                <w:i/>
                <w:sz w:val="21"/>
              </w:rPr>
              <w:t>FIBA AmeriCup Femenino 2025 – Perfil de equipo: Colombia</w:t>
            </w:r>
          </w:p>
        </w:tc>
        <w:tc>
          <w:tcPr>
            <w:tcW w:type="dxa" w:w="1474"/>
          </w:tcPr>
          <w:p>
            <w:pPr>
              <w:spacing w:after="40" w:line="240" w:lineRule="auto"/>
            </w:pPr>
            <w:r>
              <w:rPr>
                <w:sz w:val="21"/>
              </w:rPr>
            </w:r>
            <w:r>
              <w:rPr>
                <w:sz w:val="21"/>
              </w:rPr>
              <w:t>2025b</w:t>
            </w:r>
          </w:p>
        </w:tc>
        <w:tc>
          <w:tcPr>
            <w:tcW w:type="dxa" w:w="3288"/>
          </w:tcPr>
          <w:p>
            <w:pPr>
              <w:spacing w:after="40" w:line="240" w:lineRule="auto"/>
            </w:pPr>
            <w:r>
              <w:rPr>
                <w:sz w:val="21"/>
              </w:rPr>
            </w:r>
            <w:r>
              <w:rPr>
                <w:sz w:val="21"/>
              </w:rPr>
              <w:t xml:space="preserve">Ranking mundial, medallas, quintos puestos y la jugadora en Brasil. </w:t>
            </w:r>
            <w:r>
              <w:rPr>
                <w:b/>
                <w:sz w:val="21"/>
              </w:rPr>
              <w:t>[VERIFICAR]</w:t>
            </w:r>
          </w:p>
        </w:tc>
      </w:tr>
    </w:tbl>
    <w:p>
      <w:pPr>
        <w:spacing w:after="40"/>
      </w:pPr>
    </w:p>
    <w:p>
      <w:r>
        <w:t>En la lista actual, “Perfil de equipo” figura como 2025a y “Everything you need to know” como 2025b. Por orden alfabético de título debería ser al revés. El texto actual no lleva letras, así que hay que revisar todas las citas de FIBA (2025) y de Ministerio del Deporte (2023) y asignar la letra según la fuente que respalda cada dato.</w:t>
      </w:r>
    </w:p>
    <w:p>
      <w:pPr>
        <w:pStyle w:val="Heading2"/>
      </w:pPr>
      <w:r>
        <w:t>Cambios puntuales en la lista de referencias</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4680"/>
        <w:gridCol w:w="4680"/>
      </w:tblGrid>
      <w:tr>
        <w:trPr>
          <w:tblHeader w:val="true"/>
          <w:cantSplit w:val="true"/>
        </w:trPr>
        <w:tc>
          <w:tcPr>
            <w:tcW w:type="dxa" w:w="2381"/>
            <w:tcBorders>
              <w:bottom w:val="single" w:sz="6" w:color="000000"/>
            </w:tcBorders>
          </w:tcPr>
          <w:p>
            <w:r/>
            <w:r>
              <w:rPr>
                <w:b/>
                <w:sz w:val="21"/>
              </w:rPr>
              <w:t>Referencia</w:t>
            </w:r>
          </w:p>
        </w:tc>
        <w:tc>
          <w:tcPr>
            <w:tcW w:type="dxa" w:w="6690"/>
            <w:tcBorders>
              <w:bottom w:val="single" w:sz="6" w:color="000000"/>
            </w:tcBorders>
          </w:tcPr>
          <w:p>
            <w:r/>
            <w:r>
              <w:rPr>
                <w:b/>
                <w:sz w:val="21"/>
              </w:rPr>
              <w:t>Cambio propuesto</w:t>
            </w:r>
          </w:p>
        </w:tc>
      </w:tr>
      <w:tr>
        <w:trPr>
          <w:cantSplit w:val="true"/>
        </w:trPr>
        <w:tc>
          <w:tcPr>
            <w:tcW w:type="dxa" w:w="2381"/>
          </w:tcPr>
          <w:p>
            <w:pPr>
              <w:spacing w:after="40" w:line="240" w:lineRule="auto"/>
            </w:pPr>
            <w:r>
              <w:rPr>
                <w:sz w:val="21"/>
              </w:rPr>
            </w:r>
            <w:r>
              <w:rPr>
                <w:sz w:val="21"/>
              </w:rPr>
              <w:t>Ley 181 de 1995</w:t>
            </w:r>
          </w:p>
        </w:tc>
        <w:tc>
          <w:tcPr>
            <w:tcW w:type="dxa" w:w="6690"/>
          </w:tcPr>
          <w:p>
            <w:pPr>
              <w:spacing w:after="40" w:line="240" w:lineRule="auto"/>
            </w:pPr>
            <w:r>
              <w:rPr>
                <w:sz w:val="21"/>
              </w:rPr>
            </w:r>
            <w:r>
              <w:rPr>
                <w:sz w:val="21"/>
              </w:rPr>
              <w:t>Citarla en el texto (por ejemplo, en Pertinencia disciplinar: “…modificó la Ley 181 de 1995 (Congreso de la República de Colombia, 1995, 2011)”) o quitarla de la lista. Agregar “Diario Oficial No. 41.679” y el enlace https://www.funcionpublica.gov.co/eva/gestornormativo/norma.php?i=3424</w:t>
            </w:r>
          </w:p>
        </w:tc>
      </w:tr>
      <w:tr>
        <w:trPr>
          <w:cantSplit w:val="true"/>
        </w:trPr>
        <w:tc>
          <w:tcPr>
            <w:tcW w:type="dxa" w:w="2381"/>
          </w:tcPr>
          <w:p>
            <w:pPr>
              <w:spacing w:after="40" w:line="240" w:lineRule="auto"/>
            </w:pPr>
            <w:r>
              <w:rPr>
                <w:sz w:val="21"/>
              </w:rPr>
            </w:r>
            <w:r>
              <w:rPr>
                <w:sz w:val="21"/>
              </w:rPr>
              <w:t>Decreto 1724 de 2021</w:t>
            </w:r>
          </w:p>
        </w:tc>
        <w:tc>
          <w:tcPr>
            <w:tcW w:type="dxa" w:w="6690"/>
          </w:tcPr>
          <w:p>
            <w:pPr>
              <w:spacing w:after="40" w:line="240" w:lineRule="auto"/>
            </w:pPr>
            <w:r>
              <w:rPr>
                <w:sz w:val="21"/>
              </w:rPr>
            </w:r>
            <w:r>
              <w:rPr>
                <w:sz w:val="21"/>
              </w:rPr>
              <w:t>Agregar el enlace https://www.funcionpublica.gov.co/eva/gestornormativo/norma.php?i=174267 (el Gestor Normativo lo muestra como el decreto que fijó el SMLMV de 2022 en un millón de pesos).</w:t>
            </w:r>
          </w:p>
        </w:tc>
      </w:tr>
      <w:tr>
        <w:trPr>
          <w:cantSplit w:val="true"/>
        </w:trPr>
        <w:tc>
          <w:tcPr>
            <w:tcW w:type="dxa" w:w="2381"/>
          </w:tcPr>
          <w:p>
            <w:pPr>
              <w:spacing w:after="40" w:line="240" w:lineRule="auto"/>
            </w:pPr>
            <w:r>
              <w:rPr>
                <w:sz w:val="21"/>
              </w:rPr>
            </w:r>
            <w:r>
              <w:rPr>
                <w:sz w:val="21"/>
              </w:rPr>
              <w:t>Cornwell (1995) y Szymanski (2003)</w:t>
            </w:r>
          </w:p>
        </w:tc>
        <w:tc>
          <w:tcPr>
            <w:tcW w:type="dxa" w:w="6690"/>
          </w:tcPr>
          <w:p>
            <w:pPr>
              <w:spacing w:after="40" w:line="240" w:lineRule="auto"/>
            </w:pPr>
            <w:r>
              <w:rPr>
                <w:sz w:val="21"/>
              </w:rPr>
            </w:r>
            <w:r>
              <w:rPr>
                <w:sz w:val="21"/>
              </w:rPr>
              <w:t xml:space="preserve">Reemplazar los enlaces de ResearchGate. Szymanski tiene DOI en el Journal of Economic Literature (10.1257/002205103771800004). </w:t>
            </w:r>
            <w:r>
              <w:rPr>
                <w:b/>
                <w:sz w:val="21"/>
              </w:rPr>
              <w:t>[VERIFICAR]</w:t>
            </w:r>
            <w:r>
              <w:rPr>
                <w:sz w:val="21"/>
              </w:rPr>
              <w:t xml:space="preserve"> que resuelva. Para Cornwell, si no hay DOI ni página oficial, APA permite omitir el enlace.</w:t>
            </w:r>
          </w:p>
        </w:tc>
      </w:tr>
      <w:tr>
        <w:trPr>
          <w:cantSplit w:val="true"/>
        </w:trPr>
        <w:tc>
          <w:tcPr>
            <w:tcW w:type="dxa" w:w="2381"/>
          </w:tcPr>
          <w:p>
            <w:pPr>
              <w:spacing w:after="40" w:line="240" w:lineRule="auto"/>
            </w:pPr>
            <w:r>
              <w:rPr>
                <w:sz w:val="21"/>
              </w:rPr>
            </w:r>
            <w:r>
              <w:rPr>
                <w:sz w:val="21"/>
              </w:rPr>
              <w:t>Noticias sin autor</w:t>
            </w:r>
          </w:p>
        </w:tc>
        <w:tc>
          <w:tcPr>
            <w:tcW w:type="dxa" w:w="6690"/>
          </w:tcPr>
          <w:p>
            <w:pPr>
              <w:spacing w:after="40" w:line="240" w:lineRule="auto"/>
            </w:pPr>
            <w:r>
              <w:rPr>
                <w:sz w:val="21"/>
              </w:rPr>
            </w:r>
            <w:r>
              <w:rPr>
                <w:sz w:val="21"/>
              </w:rPr>
              <w:t xml:space="preserve">En APA 7, si la nota no trae autor, el título pasa a la posición del autor y la cita en el texto usa el título abreviado entre comillas, por ejemplo (“Así se jugará”, 2023). Si la nota sí trae firma, se usa la persona autora. </w:t>
            </w:r>
            <w:r>
              <w:rPr>
                <w:b/>
                <w:sz w:val="21"/>
              </w:rPr>
              <w:t>[VERIFICAR]</w:t>
            </w:r>
            <w:r>
              <w:rPr>
                <w:sz w:val="21"/>
              </w:rPr>
              <w:t xml:space="preserve"> cada nota. Cambien todas las citas de prensa a la vez para no mezclar criterios.</w:t>
            </w:r>
          </w:p>
        </w:tc>
      </w:tr>
      <w:tr>
        <w:trPr>
          <w:cantSplit w:val="true"/>
        </w:trPr>
        <w:tc>
          <w:tcPr>
            <w:tcW w:type="dxa" w:w="2381"/>
          </w:tcPr>
          <w:p>
            <w:pPr>
              <w:spacing w:after="40" w:line="240" w:lineRule="auto"/>
            </w:pPr>
            <w:r>
              <w:rPr>
                <w:sz w:val="21"/>
              </w:rPr>
            </w:r>
            <w:r>
              <w:rPr>
                <w:sz w:val="21"/>
              </w:rPr>
              <w:t>Cursivas</w:t>
            </w:r>
          </w:p>
        </w:tc>
        <w:tc>
          <w:tcPr>
            <w:tcW w:type="dxa" w:w="6690"/>
          </w:tcPr>
          <w:p>
            <w:pPr>
              <w:spacing w:after="40" w:line="240" w:lineRule="auto"/>
            </w:pPr>
            <w:r>
              <w:rPr>
                <w:sz w:val="21"/>
              </w:rPr>
            </w:r>
            <w:r>
              <w:rPr>
                <w:sz w:val="21"/>
              </w:rPr>
              <w:t>Van en cursiva el nombre del periódico o del sitio web en las notas de prensa, el nombre de la revista y el volumen en los artículos, y el título de los informes y de las páginas web independientes.</w:t>
            </w:r>
          </w:p>
        </w:tc>
      </w:tr>
    </w:tbl>
    <w:p>
      <w:pPr>
        <w:spacing w:after="40"/>
      </w:pPr>
    </w:p>
    <w:p>
      <w:r>
        <w:t>En los textos de este documento mantengo el formato “(El Espectador, 2023)” solo por legibilidad.</w:t>
      </w:r>
    </w:p>
    <w:p>
      <w:pPr>
        <w:pStyle w:val="Heading1"/>
      </w:pPr>
      <w:r>
        <w:t>7. Descripción del problema: cómo recortarla (errores 6, 7, 8 y 18)</w:t>
      </w:r>
    </w:p>
    <w:p>
      <w:r>
        <w:t>La sección “Descripción del Problema” tiene cerca de 2.900 palabras (unas 11 páginas con la interlineación del trabajo). Propongo dejarla en la mitad. La regla es que cada cifra aparezca completa en un solo lugar y en los demás sitios se resuma en una frase.</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4680"/>
        <w:gridCol w:w="4680"/>
      </w:tblGrid>
      <w:tr>
        <w:trPr>
          <w:tblHeader w:val="true"/>
          <w:cantSplit w:val="true"/>
        </w:trPr>
        <w:tc>
          <w:tcPr>
            <w:tcW w:type="dxa" w:w="4082"/>
            <w:tcBorders>
              <w:bottom w:val="single" w:sz="6" w:color="000000"/>
            </w:tcBorders>
          </w:tcPr>
          <w:p>
            <w:r/>
            <w:r>
              <w:rPr>
                <w:b/>
                <w:sz w:val="21"/>
              </w:rPr>
              <w:t>Dato</w:t>
            </w:r>
          </w:p>
        </w:tc>
        <w:tc>
          <w:tcPr>
            <w:tcW w:type="dxa" w:w="4989"/>
            <w:tcBorders>
              <w:bottom w:val="single" w:sz="6" w:color="000000"/>
            </w:tcBorders>
          </w:tcPr>
          <w:p>
            <w:r/>
            <w:r>
              <w:rPr>
                <w:b/>
                <w:sz w:val="21"/>
              </w:rPr>
              <w:t>Qué hacer</w:t>
            </w:r>
          </w:p>
        </w:tc>
      </w:tr>
      <w:tr>
        <w:trPr>
          <w:cantSplit w:val="true"/>
        </w:trPr>
        <w:tc>
          <w:tcPr>
            <w:tcW w:type="dxa" w:w="4082"/>
          </w:tcPr>
          <w:p>
            <w:pPr>
              <w:spacing w:after="40" w:line="240" w:lineRule="auto"/>
            </w:pPr>
            <w:r>
              <w:rPr>
                <w:sz w:val="21"/>
              </w:rPr>
            </w:r>
            <w:r>
              <w:rPr>
                <w:sz w:val="21"/>
              </w:rPr>
              <w:t>Marcador de la final (71–53) y fechas del torneo</w:t>
            </w:r>
          </w:p>
        </w:tc>
        <w:tc>
          <w:tcPr>
            <w:tcW w:type="dxa" w:w="4989"/>
          </w:tcPr>
          <w:p>
            <w:pPr>
              <w:spacing w:after="40" w:line="240" w:lineRule="auto"/>
            </w:pPr>
            <w:r>
              <w:rPr>
                <w:sz w:val="21"/>
              </w:rPr>
            </w:r>
            <w:r>
              <w:rPr>
                <w:sz w:val="21"/>
              </w:rPr>
              <w:t>Eliminar. No ayuda a entender el problema económico.</w:t>
            </w:r>
          </w:p>
        </w:tc>
      </w:tr>
      <w:tr>
        <w:trPr>
          <w:cantSplit w:val="true"/>
        </w:trPr>
        <w:tc>
          <w:tcPr>
            <w:tcW w:type="dxa" w:w="4082"/>
          </w:tcPr>
          <w:p>
            <w:pPr>
              <w:spacing w:after="40" w:line="240" w:lineRule="auto"/>
            </w:pPr>
            <w:r>
              <w:rPr>
                <w:sz w:val="21"/>
              </w:rPr>
            </w:r>
            <w:r>
              <w:rPr>
                <w:sz w:val="21"/>
              </w:rPr>
              <w:t>Club de Manuela Ríos (São José)</w:t>
            </w:r>
          </w:p>
        </w:tc>
        <w:tc>
          <w:tcPr>
            <w:tcW w:type="dxa" w:w="4989"/>
          </w:tcPr>
          <w:p>
            <w:pPr>
              <w:spacing w:after="40" w:line="240" w:lineRule="auto"/>
            </w:pPr>
            <w:r>
              <w:rPr>
                <w:sz w:val="21"/>
              </w:rPr>
            </w:r>
            <w:r>
              <w:rPr>
                <w:sz w:val="21"/>
              </w:rPr>
              <w:t>Eliminar el nombre del club. Dejar la idea: jugadoras titulares de la selección juegan en ligas extranjeras.</w:t>
            </w:r>
          </w:p>
        </w:tc>
      </w:tr>
      <w:tr>
        <w:trPr>
          <w:cantSplit w:val="true"/>
        </w:trPr>
        <w:tc>
          <w:tcPr>
            <w:tcW w:type="dxa" w:w="4082"/>
          </w:tcPr>
          <w:p>
            <w:pPr>
              <w:spacing w:after="40" w:line="240" w:lineRule="auto"/>
            </w:pPr>
            <w:r>
              <w:rPr>
                <w:sz w:val="21"/>
              </w:rPr>
            </w:r>
            <w:r>
              <w:rPr>
                <w:sz w:val="21"/>
              </w:rPr>
              <w:t>Fechas y sede de la AmeriCup 2025</w:t>
            </w:r>
          </w:p>
        </w:tc>
        <w:tc>
          <w:tcPr>
            <w:tcW w:type="dxa" w:w="4989"/>
          </w:tcPr>
          <w:p>
            <w:pPr>
              <w:spacing w:after="40" w:line="240" w:lineRule="auto"/>
            </w:pPr>
            <w:r>
              <w:rPr>
                <w:sz w:val="21"/>
              </w:rPr>
            </w:r>
            <w:r>
              <w:rPr>
                <w:sz w:val="21"/>
              </w:rPr>
              <w:t>Eliminar.</w:t>
            </w:r>
          </w:p>
        </w:tc>
      </w:tr>
      <w:tr>
        <w:trPr>
          <w:cantSplit w:val="true"/>
        </w:trPr>
        <w:tc>
          <w:tcPr>
            <w:tcW w:type="dxa" w:w="4082"/>
          </w:tcPr>
          <w:p>
            <w:pPr>
              <w:spacing w:after="40" w:line="240" w:lineRule="auto"/>
            </w:pPr>
            <w:r>
              <w:rPr>
                <w:sz w:val="21"/>
              </w:rPr>
            </w:r>
            <w:r>
              <w:rPr>
                <w:sz w:val="21"/>
              </w:rPr>
              <w:t>Deudas de la División Profesional (1.796.630.132 y 1.490.159.680 pesos)</w:t>
            </w:r>
          </w:p>
        </w:tc>
        <w:tc>
          <w:tcPr>
            <w:tcW w:type="dxa" w:w="4989"/>
          </w:tcPr>
          <w:p>
            <w:pPr>
              <w:spacing w:after="40" w:line="240" w:lineRule="auto"/>
            </w:pPr>
            <w:r>
              <w:rPr>
                <w:sz w:val="21"/>
              </w:rPr>
            </w:r>
            <w:r>
              <w:rPr>
                <w:sz w:val="21"/>
              </w:rPr>
              <w:t>Eliminar las cifras. Conservar la idea de opacidad y aclarar que viene de la rama masculina.</w:t>
            </w:r>
          </w:p>
        </w:tc>
      </w:tr>
      <w:tr>
        <w:trPr>
          <w:cantSplit w:val="true"/>
        </w:trPr>
        <w:tc>
          <w:tcPr>
            <w:tcW w:type="dxa" w:w="4082"/>
          </w:tcPr>
          <w:p>
            <w:pPr>
              <w:spacing w:after="40" w:line="240" w:lineRule="auto"/>
            </w:pPr>
            <w:r>
              <w:rPr>
                <w:sz w:val="21"/>
              </w:rPr>
            </w:r>
            <w:r>
              <w:rPr>
                <w:sz w:val="21"/>
              </w:rPr>
              <w:t>Nombres de los cinco clubes firmantes</w:t>
            </w:r>
          </w:p>
        </w:tc>
        <w:tc>
          <w:tcPr>
            <w:tcW w:type="dxa" w:w="4989"/>
          </w:tcPr>
          <w:p>
            <w:pPr>
              <w:spacing w:after="40" w:line="240" w:lineRule="auto"/>
            </w:pPr>
            <w:r>
              <w:rPr>
                <w:sz w:val="21"/>
              </w:rPr>
            </w:r>
            <w:r>
              <w:rPr>
                <w:sz w:val="21"/>
              </w:rPr>
              <w:t>Reducir a “cinco clubes profesionales masculinos”.</w:t>
            </w:r>
          </w:p>
        </w:tc>
      </w:tr>
      <w:tr>
        <w:trPr>
          <w:cantSplit w:val="true"/>
        </w:trPr>
        <w:tc>
          <w:tcPr>
            <w:tcW w:type="dxa" w:w="4082"/>
          </w:tcPr>
          <w:p>
            <w:pPr>
              <w:spacing w:after="40" w:line="240" w:lineRule="auto"/>
            </w:pPr>
            <w:r>
              <w:rPr>
                <w:sz w:val="21"/>
              </w:rPr>
            </w:r>
            <w:r>
              <w:rPr>
                <w:sz w:val="21"/>
              </w:rPr>
              <w:t>Lista de equipos de la conferencia Centro</w:t>
            </w:r>
          </w:p>
        </w:tc>
        <w:tc>
          <w:tcPr>
            <w:tcW w:type="dxa" w:w="4989"/>
          </w:tcPr>
          <w:p>
            <w:pPr>
              <w:spacing w:after="40" w:line="240" w:lineRule="auto"/>
            </w:pPr>
            <w:r>
              <w:rPr>
                <w:sz w:val="21"/>
              </w:rPr>
            </w:r>
            <w:r>
              <w:rPr>
                <w:sz w:val="21"/>
              </w:rPr>
              <w:t>Resumir en una frase.</w:t>
            </w:r>
          </w:p>
        </w:tc>
      </w:tr>
      <w:tr>
        <w:trPr>
          <w:cantSplit w:val="true"/>
        </w:trPr>
        <w:tc>
          <w:tcPr>
            <w:tcW w:type="dxa" w:w="4082"/>
          </w:tcPr>
          <w:p>
            <w:pPr>
              <w:spacing w:after="40" w:line="240" w:lineRule="auto"/>
            </w:pPr>
            <w:r>
              <w:rPr>
                <w:sz w:val="21"/>
              </w:rPr>
            </w:r>
            <w:r>
              <w:rPr>
                <w:sz w:val="21"/>
              </w:rPr>
              <w:t>Cifras de Deloitte (692, 981, 1.880 y 2.350 millones)</w:t>
            </w:r>
          </w:p>
        </w:tc>
        <w:tc>
          <w:tcPr>
            <w:tcW w:type="dxa" w:w="4989"/>
          </w:tcPr>
          <w:p>
            <w:pPr>
              <w:spacing w:after="40" w:line="240" w:lineRule="auto"/>
            </w:pPr>
            <w:r>
              <w:rPr>
                <w:sz w:val="21"/>
              </w:rPr>
            </w:r>
            <w:r>
              <w:rPr>
                <w:sz w:val="21"/>
              </w:rPr>
              <w:t>Dejarlas completas en el nivel internacional. En el resumen, la introducción y la justificación, usar solo dos cifras o una referencia.</w:t>
            </w:r>
          </w:p>
        </w:tc>
      </w:tr>
      <w:tr>
        <w:trPr>
          <w:cantSplit w:val="true"/>
        </w:trPr>
        <w:tc>
          <w:tcPr>
            <w:tcW w:type="dxa" w:w="4082"/>
          </w:tcPr>
          <w:p>
            <w:pPr>
              <w:spacing w:after="40" w:line="240" w:lineRule="auto"/>
            </w:pPr>
            <w:r>
              <w:rPr>
                <w:sz w:val="21"/>
              </w:rPr>
            </w:r>
            <w:r>
              <w:rPr>
                <w:sz w:val="21"/>
              </w:rPr>
              <w:t>Detalle del contrato de la WNBA</w:t>
            </w:r>
          </w:p>
        </w:tc>
        <w:tc>
          <w:tcPr>
            <w:tcW w:type="dxa" w:w="4989"/>
          </w:tcPr>
          <w:p>
            <w:pPr>
              <w:spacing w:after="40" w:line="240" w:lineRule="auto"/>
            </w:pPr>
            <w:r>
              <w:rPr>
                <w:sz w:val="21"/>
              </w:rPr>
            </w:r>
            <w:r>
              <w:rPr>
                <w:sz w:val="21"/>
              </w:rPr>
              <w:t>Una sola frase con el valor y el periodo.</w:t>
            </w:r>
          </w:p>
        </w:tc>
      </w:tr>
    </w:tbl>
    <w:p>
      <w:pPr>
        <w:spacing w:after="40"/>
      </w:pPr>
    </w:p>
    <w:p>
      <w:pPr>
        <w:pStyle w:val="Heading2"/>
      </w:pPr>
      <w:r>
        <w:t>Datos clave y fuente primaria sugerida (error 7)</w:t>
      </w:r>
    </w:p>
    <w:p>
      <w:r>
        <w:t>El grupo no puede reemplazar todo con fuentes oficiales, pero conviene que las cifras que sostienen el argumento tengan una fuente primaria o, al menos, una segunda fuente independiente:</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3120"/>
        <w:gridCol w:w="3120"/>
        <w:gridCol w:w="3120"/>
      </w:tblGrid>
      <w:tr>
        <w:trPr>
          <w:tblHeader w:val="true"/>
          <w:cantSplit w:val="true"/>
        </w:trPr>
        <w:tc>
          <w:tcPr>
            <w:tcW w:type="dxa" w:w="3288"/>
            <w:tcBorders>
              <w:bottom w:val="single" w:sz="6" w:color="000000"/>
            </w:tcBorders>
          </w:tcPr>
          <w:p>
            <w:r/>
            <w:r>
              <w:rPr>
                <w:b/>
                <w:sz w:val="21"/>
              </w:rPr>
              <w:t>Dato en el trabajo</w:t>
            </w:r>
          </w:p>
        </w:tc>
        <w:tc>
          <w:tcPr>
            <w:tcW w:type="dxa" w:w="1814"/>
            <w:tcBorders>
              <w:bottom w:val="single" w:sz="6" w:color="000000"/>
            </w:tcBorders>
          </w:tcPr>
          <w:p>
            <w:r/>
            <w:r>
              <w:rPr>
                <w:b/>
                <w:sz w:val="21"/>
              </w:rPr>
              <w:t>Fuente hoy</w:t>
            </w:r>
          </w:p>
        </w:tc>
        <w:tc>
          <w:tcPr>
            <w:tcW w:type="dxa" w:w="3969"/>
            <w:tcBorders>
              <w:bottom w:val="single" w:sz="6" w:color="000000"/>
            </w:tcBorders>
          </w:tcPr>
          <w:p>
            <w:r/>
            <w:r>
              <w:rPr>
                <w:b/>
                <w:sz w:val="21"/>
              </w:rPr>
              <w:t>Fuente primaria sugerida</w:t>
            </w:r>
          </w:p>
        </w:tc>
      </w:tr>
      <w:tr>
        <w:trPr>
          <w:cantSplit w:val="true"/>
        </w:trPr>
        <w:tc>
          <w:tcPr>
            <w:tcW w:type="dxa" w:w="3288"/>
          </w:tcPr>
          <w:p>
            <w:pPr>
              <w:spacing w:after="40" w:line="240" w:lineRule="auto"/>
            </w:pPr>
            <w:r>
              <w:rPr>
                <w:sz w:val="21"/>
              </w:rPr>
            </w:r>
            <w:r>
              <w:rPr>
                <w:sz w:val="21"/>
              </w:rPr>
              <w:t>Aporte de más de 300 millones de pesos (2023)</w:t>
            </w:r>
          </w:p>
        </w:tc>
        <w:tc>
          <w:tcPr>
            <w:tcW w:type="dxa" w:w="1814"/>
          </w:tcPr>
          <w:p>
            <w:pPr>
              <w:spacing w:after="40" w:line="240" w:lineRule="auto"/>
            </w:pPr>
            <w:r>
              <w:rPr>
                <w:sz w:val="21"/>
              </w:rPr>
            </w:r>
            <w:r>
              <w:rPr>
                <w:sz w:val="21"/>
              </w:rPr>
              <w:t>El Espectador</w:t>
            </w:r>
          </w:p>
        </w:tc>
        <w:tc>
          <w:tcPr>
            <w:tcW w:type="dxa" w:w="3969"/>
          </w:tcPr>
          <w:p>
            <w:pPr>
              <w:spacing w:after="40" w:line="240" w:lineRule="auto"/>
            </w:pPr>
            <w:r>
              <w:rPr>
                <w:sz w:val="21"/>
              </w:rPr>
            </w:r>
            <w:r>
              <w:rPr>
                <w:sz w:val="21"/>
              </w:rPr>
              <w:t xml:space="preserve">Comunicado del Ministerio del Deporte (2023a). </w:t>
            </w:r>
            <w:r>
              <w:rPr>
                <w:b/>
                <w:sz w:val="21"/>
              </w:rPr>
              <w:t>[VERIFICAR]</w:t>
            </w:r>
            <w:r>
              <w:rPr>
                <w:sz w:val="21"/>
              </w:rPr>
              <w:t xml:space="preserve"> si repite la declaración.</w:t>
            </w:r>
          </w:p>
        </w:tc>
      </w:tr>
      <w:tr>
        <w:trPr>
          <w:cantSplit w:val="true"/>
        </w:trPr>
        <w:tc>
          <w:tcPr>
            <w:tcW w:type="dxa" w:w="3288"/>
          </w:tcPr>
          <w:p>
            <w:pPr>
              <w:spacing w:after="40" w:line="240" w:lineRule="auto"/>
            </w:pPr>
            <w:r>
              <w:rPr>
                <w:sz w:val="21"/>
              </w:rPr>
            </w:r>
            <w:r>
              <w:rPr>
                <w:sz w:val="21"/>
              </w:rPr>
              <w:t>1.274 contratos de futbolistas, 46 % entre 1,0 y 1,2 millones</w:t>
            </w:r>
          </w:p>
        </w:tc>
        <w:tc>
          <w:tcPr>
            <w:tcW w:type="dxa" w:w="1814"/>
          </w:tcPr>
          <w:p>
            <w:pPr>
              <w:spacing w:after="40" w:line="240" w:lineRule="auto"/>
            </w:pPr>
            <w:r>
              <w:rPr>
                <w:sz w:val="21"/>
              </w:rPr>
            </w:r>
            <w:r>
              <w:rPr>
                <w:sz w:val="21"/>
              </w:rPr>
              <w:t>Vorágine</w:t>
            </w:r>
          </w:p>
        </w:tc>
        <w:tc>
          <w:tcPr>
            <w:tcW w:type="dxa" w:w="3969"/>
          </w:tcPr>
          <w:p>
            <w:pPr>
              <w:spacing w:after="40" w:line="240" w:lineRule="auto"/>
            </w:pPr>
            <w:r>
              <w:rPr>
                <w:sz w:val="21"/>
              </w:rPr>
            </w:r>
            <w:r>
              <w:rPr>
                <w:sz w:val="21"/>
              </w:rPr>
              <w:t xml:space="preserve">Informe de la Superintendencia de Industria y Comercio. </w:t>
            </w:r>
            <w:r>
              <w:rPr>
                <w:b/>
                <w:sz w:val="21"/>
              </w:rPr>
              <w:t>[VERIFICAR]</w:t>
            </w:r>
            <w:r>
              <w:rPr>
                <w:sz w:val="21"/>
              </w:rPr>
              <w:t xml:space="preserve"> que Vorágine realmente lo cite.</w:t>
            </w:r>
          </w:p>
        </w:tc>
      </w:tr>
      <w:tr>
        <w:trPr>
          <w:cantSplit w:val="true"/>
        </w:trPr>
        <w:tc>
          <w:tcPr>
            <w:tcW w:type="dxa" w:w="3288"/>
          </w:tcPr>
          <w:p>
            <w:pPr>
              <w:spacing w:after="40" w:line="240" w:lineRule="auto"/>
            </w:pPr>
            <w:r>
              <w:rPr>
                <w:sz w:val="21"/>
              </w:rPr>
            </w:r>
            <w:r>
              <w:rPr>
                <w:sz w:val="21"/>
              </w:rPr>
              <w:t>38.000 millones de pesos del fútbol femenino</w:t>
            </w:r>
          </w:p>
        </w:tc>
        <w:tc>
          <w:tcPr>
            <w:tcW w:type="dxa" w:w="1814"/>
          </w:tcPr>
          <w:p>
            <w:pPr>
              <w:spacing w:after="40" w:line="240" w:lineRule="auto"/>
            </w:pPr>
            <w:r>
              <w:rPr>
                <w:sz w:val="21"/>
              </w:rPr>
            </w:r>
            <w:r>
              <w:rPr>
                <w:sz w:val="21"/>
              </w:rPr>
              <w:t>Semana</w:t>
            </w:r>
          </w:p>
        </w:tc>
        <w:tc>
          <w:tcPr>
            <w:tcW w:type="dxa" w:w="3969"/>
          </w:tcPr>
          <w:p>
            <w:pPr>
              <w:spacing w:after="40" w:line="240" w:lineRule="auto"/>
            </w:pPr>
            <w:r>
              <w:rPr>
                <w:sz w:val="21"/>
              </w:rPr>
            </w:r>
            <w:r>
              <w:rPr>
                <w:sz w:val="21"/>
              </w:rPr>
              <w:t>Federación Colombiana de Fútbol.</w:t>
            </w:r>
          </w:p>
        </w:tc>
      </w:tr>
      <w:tr>
        <w:trPr>
          <w:cantSplit w:val="true"/>
        </w:trPr>
        <w:tc>
          <w:tcPr>
            <w:tcW w:type="dxa" w:w="3288"/>
          </w:tcPr>
          <w:p>
            <w:pPr>
              <w:spacing w:after="40" w:line="240" w:lineRule="auto"/>
            </w:pPr>
            <w:r>
              <w:rPr>
                <w:sz w:val="21"/>
              </w:rPr>
            </w:r>
            <w:r>
              <w:rPr>
                <w:sz w:val="21"/>
              </w:rPr>
              <w:t>Ediciones y campeones de la Liga Superior</w:t>
            </w:r>
          </w:p>
        </w:tc>
        <w:tc>
          <w:tcPr>
            <w:tcW w:type="dxa" w:w="1814"/>
          </w:tcPr>
          <w:p>
            <w:pPr>
              <w:spacing w:after="40" w:line="240" w:lineRule="auto"/>
            </w:pPr>
            <w:r>
              <w:rPr>
                <w:sz w:val="21"/>
              </w:rPr>
            </w:r>
            <w:r>
              <w:rPr>
                <w:sz w:val="21"/>
              </w:rPr>
              <w:t>Latinbasket</w:t>
            </w:r>
          </w:p>
        </w:tc>
        <w:tc>
          <w:tcPr>
            <w:tcW w:type="dxa" w:w="3969"/>
          </w:tcPr>
          <w:p>
            <w:pPr>
              <w:spacing w:after="40" w:line="240" w:lineRule="auto"/>
            </w:pPr>
            <w:r>
              <w:rPr>
                <w:sz w:val="21"/>
              </w:rPr>
            </w:r>
            <w:r>
              <w:rPr>
                <w:sz w:val="21"/>
              </w:rPr>
              <w:t>Federación Colombiana de Baloncesto.</w:t>
            </w:r>
          </w:p>
        </w:tc>
      </w:tr>
      <w:tr>
        <w:trPr>
          <w:cantSplit w:val="true"/>
        </w:trPr>
        <w:tc>
          <w:tcPr>
            <w:tcW w:type="dxa" w:w="3288"/>
          </w:tcPr>
          <w:p>
            <w:pPr>
              <w:spacing w:after="40" w:line="240" w:lineRule="auto"/>
            </w:pPr>
            <w:r>
              <w:rPr>
                <w:sz w:val="21"/>
              </w:rPr>
            </w:r>
            <w:r>
              <w:rPr>
                <w:sz w:val="21"/>
              </w:rPr>
              <w:t>Inversión de BetPlay (5.600 millones)</w:t>
            </w:r>
          </w:p>
        </w:tc>
        <w:tc>
          <w:tcPr>
            <w:tcW w:type="dxa" w:w="1814"/>
          </w:tcPr>
          <w:p>
            <w:pPr>
              <w:spacing w:after="40" w:line="240" w:lineRule="auto"/>
            </w:pPr>
            <w:r>
              <w:rPr>
                <w:sz w:val="21"/>
              </w:rPr>
            </w:r>
            <w:r>
              <w:rPr>
                <w:sz w:val="21"/>
              </w:rPr>
              <w:t>Claro Sports</w:t>
            </w:r>
          </w:p>
        </w:tc>
        <w:tc>
          <w:tcPr>
            <w:tcW w:type="dxa" w:w="3969"/>
          </w:tcPr>
          <w:p>
            <w:pPr>
              <w:spacing w:after="40" w:line="240" w:lineRule="auto"/>
            </w:pPr>
            <w:r>
              <w:rPr>
                <w:sz w:val="21"/>
              </w:rPr>
            </w:r>
            <w:r>
              <w:rPr>
                <w:sz w:val="21"/>
              </w:rPr>
              <w:t>Comunicado de la marca o de los organizadores.</w:t>
            </w:r>
          </w:p>
        </w:tc>
      </w:tr>
    </w:tbl>
    <w:p>
      <w:pPr>
        <w:spacing w:after="40"/>
      </w:pPr>
    </w:p>
    <w:p>
      <w:pPr>
        <w:pStyle w:val="Heading2"/>
      </w:pPr>
      <w:r>
        <w:t>Errores 6 y 18</w:t>
      </w:r>
    </w:p>
    <w:p>
      <w:pPr>
        <w:pStyle w:val="ListBullet"/>
      </w:pPr>
      <w:r>
        <w:rPr>
          <w:b/>
        </w:rPr>
        <w:t>Error 6:</w:t>
      </w:r>
      <w:r>
        <w:t xml:space="preserve"> abrir la nota de Vorágine y comprobar si el dato de los 1.274 contratos está allí. El título de la nota habla de la Dimayor y la Liga Femenina de fútbol, así que puede ser un dato válido con otro tema principal, pero eso solo lo confirma la fuente. Después, usar un único término en todo el texto: si el estudio de la SIC es sobre mujeres, “futbolistas de la Liga Femenina”.</w:t>
      </w:r>
    </w:p>
    <w:p>
      <w:pPr>
        <w:pStyle w:val="ListBullet"/>
      </w:pPr>
      <w:r>
        <w:rPr>
          <w:b/>
        </w:rPr>
        <w:t>Error 18, fecha:</w:t>
      </w:r>
      <w:r>
        <w:t xml:space="preserve"> en español los meses van en minúscula: “30 de septiembre de 2026” o la nueva fecha de entrega. Borrar el doble espacio en “cualquier  política”.</w:t>
      </w:r>
    </w:p>
    <w:p>
      <w:pPr>
        <w:pStyle w:val="ListBullet"/>
      </w:pPr>
      <w:r>
        <w:rPr>
          <w:b/>
        </w:rPr>
        <w:t>Error 18, crisis de los clubes:</w:t>
      </w:r>
      <w:r>
        <w:t xml:space="preserve"> la introducción habla de “la crisis financiera y de transparencia que los clubes profesionales masculinos denunciaron” sin cita. Añadir (Rengifo, 2024) y, para la participación reducida de equipos, (Vanguardia, 2024).</w:t>
      </w:r>
    </w:p>
    <w:p>
      <w:pPr>
        <w:pStyle w:val="Heading1"/>
      </w:pPr>
      <w:r>
        <w:t>8. Antecedentes (errores 10 y 11)</w:t>
      </w:r>
    </w:p>
    <w:p>
      <w:pPr>
        <w:pStyle w:val="Heading2"/>
      </w:pPr>
      <w:r>
        <w:t>Error 10: estudios sobre baloncesto femenino y estudios locales</w:t>
      </w:r>
    </w:p>
    <w:p>
      <w:r>
        <w:t>No propongo estudios concretos porque no pude verificar que existan. Lo que sí puedo dejar es una estrategia de búsqueda:</w:t>
      </w:r>
    </w:p>
    <w:p>
      <w:pPr>
        <w:pStyle w:val="ListBullet"/>
      </w:pPr>
      <w:r>
        <w:t>Bases: Dialnet, SciELO, Redalyc, Google Académico y los repositorios de la Universidad Distrital, la Universidad Nacional, la Universidad de Antioquia (revista Educación Física y Deporte) y la Universidad Icesi.</w:t>
      </w:r>
    </w:p>
    <w:p>
      <w:pPr>
        <w:pStyle w:val="ListBullet"/>
      </w:pPr>
      <w:r>
        <w:t>Términos sugeridos: “baloncesto femenino” + Colombia; “baloncesto femenino” + patrocinio; “deporte femenino” + Bogotá + economía; “clubes de baloncesto” + estados financieros; women’s basketball + sponsorship + Latin America.</w:t>
      </w:r>
    </w:p>
    <w:p>
      <w:pPr>
        <w:pStyle w:val="ListBullet"/>
      </w:pPr>
      <w:r>
        <w:t xml:space="preserve">Fuente institucional por revisar: el Decreto 1295 de 2022, que según el Gestor Normativo reglamenta la promoción del deporte femenino competitivo y de alto rendimiento, por si genera informes o programas con datos. </w:t>
      </w:r>
      <w:r>
        <w:rPr>
          <w:b/>
        </w:rPr>
        <w:t>[VERIFICAR]</w:t>
      </w:r>
      <w:r>
        <w:t xml:space="preserve"> su contenido antes de citarlo.</w:t>
      </w:r>
    </w:p>
    <w:p>
      <w:pPr>
        <w:pStyle w:val="ListBullet"/>
      </w:pPr>
      <w:r>
        <w:t>Si no aparece ningún estudio regional o de Bogotá, cambiar el subtítulo “Antecedentes Nacionales y Regionales” por “Antecedentes Nacionales” y decir en el texto que no se encontraron estudios regionales. Es mejor que dejar un subtítulo que el contenido no cumple.</w:t>
      </w:r>
    </w:p>
    <w:p>
      <w:pPr>
        <w:pStyle w:val="Heading2"/>
      </w:pPr>
      <w:r>
        <w:t>Error 11: qué debe decir cada antecedente</w:t>
      </w:r>
    </w:p>
    <w:p>
      <w:r>
        <w:t>Plantilla de una frase por antecedente:</w:t>
      </w:r>
    </w:p>
    <w:p>
      <w:pPr>
        <w:pBdr>
          <w:left w:val="single" w:sz="18" w:space="6" w:color="7F7F7F"/>
        </w:pBdr>
        <w:shd w:val="clear" w:color="auto" w:fill="EDEDED"/>
        <w:ind w:left="283" w:right="170"/>
      </w:pPr>
      <w:r>
        <w:t>[Autor y año] realizaron un estudio [tipo: cuantitativo, cualitativo, revisión, trabajo de grado…] con [muestra o datos: cuántas personas, qué base, qué años] y encontraron que [hallazgo principal]. Este antecedente es útil para el presente trabajo porque [relación con las tres variables].</w:t>
      </w:r>
    </w:p>
    <w:p>
      <w:r>
        <w:t>Estado actual de los antecedentes:</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3120"/>
        <w:gridCol w:w="3120"/>
        <w:gridCol w:w="3120"/>
      </w:tblGrid>
      <w:tr>
        <w:trPr>
          <w:tblHeader w:val="true"/>
          <w:cantSplit w:val="true"/>
        </w:trPr>
        <w:tc>
          <w:tcPr>
            <w:tcW w:type="dxa" w:w="2835"/>
            <w:tcBorders>
              <w:bottom w:val="single" w:sz="6" w:color="000000"/>
            </w:tcBorders>
          </w:tcPr>
          <w:p>
            <w:r/>
            <w:r>
              <w:rPr>
                <w:b/>
                <w:sz w:val="21"/>
              </w:rPr>
              <w:t>Antecedente</w:t>
            </w:r>
          </w:p>
        </w:tc>
        <w:tc>
          <w:tcPr>
            <w:tcW w:type="dxa" w:w="3175"/>
            <w:tcBorders>
              <w:bottom w:val="single" w:sz="6" w:color="000000"/>
            </w:tcBorders>
          </w:tcPr>
          <w:p>
            <w:r/>
            <w:r>
              <w:rPr>
                <w:b/>
                <w:sz w:val="21"/>
              </w:rPr>
              <w:t>¿Dice tipo de estudio y datos?</w:t>
            </w:r>
          </w:p>
        </w:tc>
        <w:tc>
          <w:tcPr>
            <w:tcW w:type="dxa" w:w="3061"/>
            <w:tcBorders>
              <w:bottom w:val="single" w:sz="6" w:color="000000"/>
            </w:tcBorders>
          </w:tcPr>
          <w:p>
            <w:r/>
            <w:r>
              <w:rPr>
                <w:b/>
                <w:sz w:val="21"/>
              </w:rPr>
              <w:t>Qué falta</w:t>
            </w:r>
          </w:p>
        </w:tc>
      </w:tr>
      <w:tr>
        <w:trPr>
          <w:cantSplit w:val="true"/>
        </w:trPr>
        <w:tc>
          <w:tcPr>
            <w:tcW w:type="dxa" w:w="2835"/>
          </w:tcPr>
          <w:p>
            <w:pPr>
              <w:spacing w:after="40" w:line="240" w:lineRule="auto"/>
            </w:pPr>
            <w:r>
              <w:rPr>
                <w:sz w:val="21"/>
              </w:rPr>
            </w:r>
            <w:r>
              <w:rPr>
                <w:sz w:val="21"/>
              </w:rPr>
              <w:t>Marín y Rodríguez (2019)</w:t>
            </w:r>
          </w:p>
        </w:tc>
        <w:tc>
          <w:tcPr>
            <w:tcW w:type="dxa" w:w="3175"/>
          </w:tcPr>
          <w:p>
            <w:pPr>
              <w:spacing w:after="40" w:line="240" w:lineRule="auto"/>
            </w:pPr>
            <w:r>
              <w:rPr>
                <w:sz w:val="21"/>
              </w:rPr>
            </w:r>
            <w:r>
              <w:rPr>
                <w:sz w:val="21"/>
              </w:rPr>
              <w:t>Sí: trabajo de grado, datos de la Superintendencia de Sociedades 2014–2018, modelos econométricos.</w:t>
            </w:r>
          </w:p>
        </w:tc>
        <w:tc>
          <w:tcPr>
            <w:tcW w:type="dxa" w:w="3061"/>
          </w:tcPr>
          <w:p>
            <w:pPr>
              <w:spacing w:after="40" w:line="240" w:lineRule="auto"/>
            </w:pPr>
            <w:r>
              <w:rPr>
                <w:sz w:val="21"/>
              </w:rPr>
            </w:r>
            <w:r>
              <w:rPr>
                <w:sz w:val="21"/>
              </w:rPr>
              <w:t>Nada urgente.</w:t>
            </w:r>
          </w:p>
        </w:tc>
      </w:tr>
      <w:tr>
        <w:trPr>
          <w:cantSplit w:val="true"/>
        </w:trPr>
        <w:tc>
          <w:tcPr>
            <w:tcW w:type="dxa" w:w="2835"/>
          </w:tcPr>
          <w:p>
            <w:pPr>
              <w:spacing w:after="40" w:line="240" w:lineRule="auto"/>
            </w:pPr>
            <w:r>
              <w:rPr>
                <w:sz w:val="21"/>
              </w:rPr>
            </w:r>
            <w:r>
              <w:rPr>
                <w:sz w:val="21"/>
              </w:rPr>
              <w:t>Martínez Mina et al. (2019)</w:t>
            </w:r>
          </w:p>
        </w:tc>
        <w:tc>
          <w:tcPr>
            <w:tcW w:type="dxa" w:w="3175"/>
          </w:tcPr>
          <w:p>
            <w:pPr>
              <w:spacing w:after="40" w:line="240" w:lineRule="auto"/>
            </w:pPr>
            <w:r>
              <w:rPr>
                <w:sz w:val="21"/>
              </w:rPr>
            </w:r>
            <w:r>
              <w:rPr>
                <w:sz w:val="21"/>
              </w:rPr>
              <w:t>Sí: cualitativo, exploratorio, narrativo, 10 jugadoras.</w:t>
            </w:r>
          </w:p>
        </w:tc>
        <w:tc>
          <w:tcPr>
            <w:tcW w:type="dxa" w:w="3061"/>
          </w:tcPr>
          <w:p>
            <w:pPr>
              <w:spacing w:after="40" w:line="240" w:lineRule="auto"/>
            </w:pPr>
            <w:r>
              <w:rPr>
                <w:sz w:val="21"/>
              </w:rPr>
            </w:r>
            <w:r>
              <w:rPr>
                <w:sz w:val="21"/>
              </w:rPr>
              <w:t>Nada urgente.</w:t>
            </w:r>
          </w:p>
        </w:tc>
      </w:tr>
      <w:tr>
        <w:trPr>
          <w:cantSplit w:val="true"/>
        </w:trPr>
        <w:tc>
          <w:tcPr>
            <w:tcW w:type="dxa" w:w="2835"/>
          </w:tcPr>
          <w:p>
            <w:pPr>
              <w:spacing w:after="40" w:line="240" w:lineRule="auto"/>
            </w:pPr>
            <w:r>
              <w:rPr>
                <w:sz w:val="21"/>
              </w:rPr>
            </w:r>
            <w:r>
              <w:rPr>
                <w:sz w:val="21"/>
              </w:rPr>
              <w:t>Ministerio del Deporte (2023b)</w:t>
            </w:r>
          </w:p>
        </w:tc>
        <w:tc>
          <w:tcPr>
            <w:tcW w:type="dxa" w:w="3175"/>
          </w:tcPr>
          <w:p>
            <w:pPr>
              <w:spacing w:after="40" w:line="240" w:lineRule="auto"/>
            </w:pPr>
            <w:r>
              <w:rPr>
                <w:sz w:val="21"/>
              </w:rPr>
            </w:r>
            <w:r>
              <w:rPr>
                <w:sz w:val="21"/>
              </w:rPr>
              <w:t>Sí: informe con corte a diciembre de 2022, 12 clubes de baloncesto.</w:t>
            </w:r>
          </w:p>
        </w:tc>
        <w:tc>
          <w:tcPr>
            <w:tcW w:type="dxa" w:w="3061"/>
          </w:tcPr>
          <w:p>
            <w:pPr>
              <w:spacing w:after="40" w:line="240" w:lineRule="auto"/>
            </w:pPr>
            <w:r>
              <w:rPr>
                <w:sz w:val="21"/>
              </w:rPr>
            </w:r>
            <w:r>
              <w:rPr>
                <w:sz w:val="21"/>
              </w:rPr>
              <w:t>Nada urgente.</w:t>
            </w:r>
          </w:p>
        </w:tc>
      </w:tr>
      <w:tr>
        <w:trPr>
          <w:cantSplit w:val="true"/>
        </w:trPr>
        <w:tc>
          <w:tcPr>
            <w:tcW w:type="dxa" w:w="2835"/>
          </w:tcPr>
          <w:p>
            <w:pPr>
              <w:spacing w:after="40" w:line="240" w:lineRule="auto"/>
            </w:pPr>
            <w:r>
              <w:rPr>
                <w:sz w:val="21"/>
              </w:rPr>
            </w:r>
            <w:r>
              <w:rPr>
                <w:sz w:val="21"/>
              </w:rPr>
              <w:t>Pérez Gázquez y Barquero-Ruiz (2024)</w:t>
            </w:r>
          </w:p>
        </w:tc>
        <w:tc>
          <w:tcPr>
            <w:tcW w:type="dxa" w:w="3175"/>
          </w:tcPr>
          <w:p>
            <w:pPr>
              <w:spacing w:after="40" w:line="240" w:lineRule="auto"/>
            </w:pPr>
            <w:r>
              <w:rPr>
                <w:sz w:val="21"/>
              </w:rPr>
            </w:r>
            <w:r>
              <w:rPr>
                <w:sz w:val="21"/>
              </w:rPr>
              <w:t>Solo dice “revisaron”.</w:t>
            </w:r>
          </w:p>
        </w:tc>
        <w:tc>
          <w:tcPr>
            <w:tcW w:type="dxa" w:w="3061"/>
          </w:tcPr>
          <w:p>
            <w:pPr>
              <w:spacing w:after="40" w:line="240" w:lineRule="auto"/>
            </w:pPr>
            <w:r>
              <w:rPr>
                <w:sz w:val="21"/>
              </w:rPr>
            </w:r>
            <w:r>
              <w:rPr>
                <w:b/>
                <w:sz w:val="21"/>
              </w:rPr>
              <w:t>[COMPLETAR]</w:t>
            </w:r>
            <w:r>
              <w:rPr>
                <w:sz w:val="21"/>
              </w:rPr>
              <w:t xml:space="preserve"> tipo de revisión y fuentes revisadas.</w:t>
            </w:r>
          </w:p>
        </w:tc>
      </w:tr>
      <w:tr>
        <w:trPr>
          <w:cantSplit w:val="true"/>
        </w:trPr>
        <w:tc>
          <w:tcPr>
            <w:tcW w:type="dxa" w:w="2835"/>
          </w:tcPr>
          <w:p>
            <w:pPr>
              <w:spacing w:after="40" w:line="240" w:lineRule="auto"/>
            </w:pPr>
            <w:r>
              <w:rPr>
                <w:sz w:val="21"/>
              </w:rPr>
            </w:r>
            <w:r>
              <w:rPr>
                <w:sz w:val="21"/>
              </w:rPr>
              <w:t>Marín Malo (2024)</w:t>
            </w:r>
          </w:p>
        </w:tc>
        <w:tc>
          <w:tcPr>
            <w:tcW w:type="dxa" w:w="3175"/>
          </w:tcPr>
          <w:p>
            <w:pPr>
              <w:spacing w:after="40" w:line="240" w:lineRule="auto"/>
            </w:pPr>
            <w:r>
              <w:rPr>
                <w:sz w:val="21"/>
              </w:rPr>
            </w:r>
            <w:r>
              <w:rPr>
                <w:sz w:val="21"/>
              </w:rPr>
              <w:t>Solo la conclusión.</w:t>
            </w:r>
          </w:p>
        </w:tc>
        <w:tc>
          <w:tcPr>
            <w:tcW w:type="dxa" w:w="3061"/>
          </w:tcPr>
          <w:p>
            <w:pPr>
              <w:spacing w:after="40" w:line="240" w:lineRule="auto"/>
            </w:pPr>
            <w:r>
              <w:rPr>
                <w:sz w:val="21"/>
              </w:rPr>
            </w:r>
            <w:r>
              <w:rPr>
                <w:b/>
                <w:sz w:val="21"/>
              </w:rPr>
              <w:t>[COMPLETAR]</w:t>
            </w:r>
            <w:r>
              <w:rPr>
                <w:sz w:val="21"/>
              </w:rPr>
              <w:t xml:space="preserve"> enfoque (jurídico o laboral) y material analizado.</w:t>
            </w:r>
          </w:p>
        </w:tc>
      </w:tr>
      <w:tr>
        <w:trPr>
          <w:cantSplit w:val="true"/>
        </w:trPr>
        <w:tc>
          <w:tcPr>
            <w:tcW w:type="dxa" w:w="2835"/>
          </w:tcPr>
          <w:p>
            <w:pPr>
              <w:spacing w:after="40" w:line="240" w:lineRule="auto"/>
            </w:pPr>
            <w:r>
              <w:rPr>
                <w:sz w:val="21"/>
              </w:rPr>
            </w:r>
            <w:r>
              <w:rPr>
                <w:sz w:val="21"/>
              </w:rPr>
              <w:t>Torres-Romay y García-Mirón (2020)</w:t>
            </w:r>
          </w:p>
        </w:tc>
        <w:tc>
          <w:tcPr>
            <w:tcW w:type="dxa" w:w="3175"/>
          </w:tcPr>
          <w:p>
            <w:pPr>
              <w:spacing w:after="40" w:line="240" w:lineRule="auto"/>
            </w:pPr>
            <w:r>
              <w:rPr>
                <w:sz w:val="21"/>
              </w:rPr>
            </w:r>
            <w:r>
              <w:rPr>
                <w:sz w:val="21"/>
              </w:rPr>
              <w:t>Solo la conclusión.</w:t>
            </w:r>
          </w:p>
        </w:tc>
        <w:tc>
          <w:tcPr>
            <w:tcW w:type="dxa" w:w="3061"/>
          </w:tcPr>
          <w:p>
            <w:pPr>
              <w:spacing w:after="40" w:line="240" w:lineRule="auto"/>
            </w:pPr>
            <w:r>
              <w:rPr>
                <w:sz w:val="21"/>
              </w:rPr>
            </w:r>
            <w:r>
              <w:rPr>
                <w:b/>
                <w:sz w:val="21"/>
              </w:rPr>
              <w:t>[COMPLETAR]</w:t>
            </w:r>
            <w:r>
              <w:rPr>
                <w:sz w:val="21"/>
              </w:rPr>
              <w:t xml:space="preserve"> tipo de estudio y muestra.</w:t>
            </w:r>
          </w:p>
        </w:tc>
      </w:tr>
    </w:tbl>
    <w:p>
      <w:pPr>
        <w:spacing w:after="40"/>
      </w:pPr>
    </w:p>
    <w:p>
      <w:pPr>
        <w:pStyle w:val="Heading1"/>
      </w:pPr>
      <w:r>
        <w:t>9. Dedicatoria, declaración de IA y formato (errores 17, 19 y 20)</w:t>
      </w:r>
    </w:p>
    <w:p>
      <w:pPr>
        <w:pStyle w:val="Heading2"/>
      </w:pPr>
      <w:r>
        <w:t>Dedicatoria (error 19)</w:t>
      </w:r>
    </w:p>
    <w:p>
      <w:r>
        <w:t>No tengo el trabajo del Grupo 10 para comparar, así que no puedo confirmar el parecido. Para evitar el problema, el grupo debe escribir una dedicatoria propia. Una base posible, que deben reescribir con sus propias palabras y detalles personales, porque un texto genérico como este también puede coincidir con el de otro grupo:</w:t>
      </w:r>
    </w:p>
    <w:p>
      <w:pPr>
        <w:pBdr>
          <w:left w:val="single" w:sz="18" w:space="6" w:color="7F7F7F"/>
        </w:pBdr>
        <w:shd w:val="clear" w:color="auto" w:fill="EDEDED"/>
        <w:ind w:left="283" w:right="170"/>
      </w:pPr>
      <w:r>
        <w:t>A nuestras familias, que sostuvieron este proceso con paciencia. A nuestro asesor, el profesor Kilderman Mendoza Moreno, por exigirnos rigor. Y a las jugadoras de baloncesto de Colombia, cuyo trabajo merece ser medido y visible.</w:t>
      </w:r>
    </w:p>
    <w:p>
      <w:pPr>
        <w:pStyle w:val="Heading2"/>
      </w:pPr>
      <w:r>
        <w:t>Declaración de uso de inteligencia artificial (error 20)</w:t>
      </w:r>
    </w:p>
    <w:p>
      <w:r>
        <w:t>Debe ser un apartado propio (no un subtítulo del marco teórico) y decir qué herramienta, cuándo y para qué. Si la rúbrica indica un lugar específico, sigan ese. Plantilla:</w:t>
      </w:r>
    </w:p>
    <w:p>
      <w:pPr>
        <w:pBdr>
          <w:left w:val="single" w:sz="18" w:space="6" w:color="7F7F7F"/>
        </w:pBdr>
        <w:shd w:val="clear" w:color="auto" w:fill="EDEDED"/>
        <w:ind w:left="283" w:right="170"/>
      </w:pPr>
      <w:r>
        <w:rPr>
          <w:b/>
        </w:rPr>
        <w:t>Declaración de uso de inteligencia artificial.</w:t>
      </w:r>
      <w:r>
        <w:t xml:space="preserve"> Los autores usaron [COMPLETAR: nombre de la herramienta] el [COMPLETAR: fecha o fechas] para elaborar las Tablas 1 a 3 a partir de las fuentes citadas y para [COMPLETAR: otros usos, por ejemplo, revisión de redacción o contraste de citas con la lista de referencias]. Los autores verificaron las cifras contra las fuentes originales y asumen la responsabilidad por el contenido del trabajo.</w:t>
      </w:r>
    </w:p>
    <w:p>
      <w:r>
        <w:t>Las notas de las tablas dicen “Elaboración con ayuda de IA”; esta declaración explica ese uso y cierra el error. Si el grupo usa este documento como base, debe agregarlo a la declaración.</w:t>
      </w:r>
    </w:p>
    <w:p>
      <w:pPr>
        <w:pStyle w:val="Heading2"/>
      </w:pPr>
      <w:r>
        <w:t>Formato de índices y tablas (error 17)</w:t>
      </w:r>
    </w:p>
    <w:p>
      <w:pPr>
        <w:pStyle w:val="ListBullet"/>
      </w:pPr>
      <w:r>
        <w:t>Fuente: aplicar Times New Roman a los estilos de la tabla de contenido (TOC 1, TOC 2) y de la lista de tablas, y actualizar los campos.</w:t>
      </w:r>
    </w:p>
    <w:p>
      <w:pPr>
        <w:pStyle w:val="ListBullet"/>
      </w:pPr>
      <w:r>
        <w:t>Títulos cortados en la lista de tablas (“…2022–”, “…2020–”, “…2022–”): revisar que el título de cada tabla esté completo y actualizar la lista. No pude abrir el archivo en Word para ver la causa, así que no sé si viene del estilo del título o de la actualización del campo.</w:t>
      </w:r>
    </w:p>
    <w:p>
      <w:pPr>
        <w:pStyle w:val="ListBullet"/>
      </w:pPr>
      <w:r>
        <w:t>Tablas: dejar solo línea superior, línea bajo el encabezado y línea inferior, sin líneas verticales ni entre filas. Las tablas de este documento ya usan ese formato.</w:t>
      </w:r>
    </w:p>
    <w:p>
      <w:pPr>
        <w:pStyle w:val="Heading1"/>
      </w:pPr>
      <w:r>
        <w:t>10. Otros ajustes que encontré</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4680"/>
        <w:gridCol w:w="4680"/>
      </w:tblGrid>
      <w:tr>
        <w:trPr>
          <w:tblHeader w:val="true"/>
          <w:cantSplit w:val="true"/>
        </w:trPr>
        <w:tc>
          <w:tcPr>
            <w:tcW w:type="dxa" w:w="2608"/>
            <w:tcBorders>
              <w:bottom w:val="single" w:sz="6" w:color="000000"/>
            </w:tcBorders>
          </w:tcPr>
          <w:p>
            <w:r/>
            <w:r>
              <w:rPr>
                <w:b/>
                <w:sz w:val="21"/>
              </w:rPr>
              <w:t>Punto</w:t>
            </w:r>
          </w:p>
        </w:tc>
        <w:tc>
          <w:tcPr>
            <w:tcW w:type="dxa" w:w="6463"/>
            <w:tcBorders>
              <w:bottom w:val="single" w:sz="6" w:color="000000"/>
            </w:tcBorders>
          </w:tcPr>
          <w:p>
            <w:r/>
            <w:r>
              <w:rPr>
                <w:b/>
                <w:sz w:val="21"/>
              </w:rPr>
              <w:t>Observación</w:t>
            </w:r>
          </w:p>
        </w:tc>
      </w:tr>
      <w:tr>
        <w:trPr>
          <w:cantSplit w:val="true"/>
        </w:trPr>
        <w:tc>
          <w:tcPr>
            <w:tcW w:type="dxa" w:w="2608"/>
          </w:tcPr>
          <w:p>
            <w:pPr>
              <w:spacing w:after="40" w:line="240" w:lineRule="auto"/>
            </w:pPr>
            <w:r>
              <w:rPr>
                <w:sz w:val="21"/>
              </w:rPr>
            </w:r>
            <w:r>
              <w:rPr>
                <w:sz w:val="21"/>
              </w:rPr>
              <w:t>Tabla 2</w:t>
            </w:r>
          </w:p>
        </w:tc>
        <w:tc>
          <w:tcPr>
            <w:tcW w:type="dxa" w:w="6463"/>
          </w:tcPr>
          <w:p>
            <w:pPr>
              <w:spacing w:after="40" w:line="240" w:lineRule="auto"/>
            </w:pPr>
            <w:r>
              <w:rPr>
                <w:sz w:val="21"/>
              </w:rPr>
            </w:r>
            <w:r>
              <w:rPr>
                <w:sz w:val="21"/>
              </w:rPr>
              <w:t>El título dice 2020–2025, pero el periodo de estudio es 2022–2025. Está bien como contexto, pero hay que decirlo en la nota.</w:t>
            </w:r>
          </w:p>
        </w:tc>
      </w:tr>
      <w:tr>
        <w:trPr>
          <w:cantSplit w:val="true"/>
        </w:trPr>
        <w:tc>
          <w:tcPr>
            <w:tcW w:type="dxa" w:w="2608"/>
          </w:tcPr>
          <w:p>
            <w:pPr>
              <w:spacing w:after="40" w:line="240" w:lineRule="auto"/>
            </w:pPr>
            <w:r>
              <w:rPr>
                <w:sz w:val="21"/>
              </w:rPr>
            </w:r>
            <w:r>
              <w:rPr>
                <w:sz w:val="21"/>
              </w:rPr>
              <w:t>“Hipótesis de trabajo” (marco teórico)</w:t>
            </w:r>
          </w:p>
        </w:tc>
        <w:tc>
          <w:tcPr>
            <w:tcW w:type="dxa" w:w="6463"/>
          </w:tcPr>
          <w:p>
            <w:pPr>
              <w:spacing w:after="40" w:line="240" w:lineRule="auto"/>
            </w:pPr>
            <w:r>
              <w:rPr>
                <w:sz w:val="21"/>
              </w:rPr>
            </w:r>
            <w:r>
              <w:rPr>
                <w:sz w:val="21"/>
              </w:rPr>
              <w:t>El estudio es descriptivo y no formula hipótesis. Cambiar por “expectativa interpretativa” o similar.</w:t>
            </w:r>
          </w:p>
        </w:tc>
      </w:tr>
      <w:tr>
        <w:trPr>
          <w:cantSplit w:val="true"/>
        </w:trPr>
        <w:tc>
          <w:tcPr>
            <w:tcW w:type="dxa" w:w="2608"/>
          </w:tcPr>
          <w:p>
            <w:pPr>
              <w:spacing w:after="40" w:line="240" w:lineRule="auto"/>
            </w:pPr>
            <w:r>
              <w:rPr>
                <w:sz w:val="21"/>
              </w:rPr>
            </w:r>
            <w:r>
              <w:rPr>
                <w:sz w:val="21"/>
              </w:rPr>
              <w:t>Szymanski (2003)</w:t>
            </w:r>
          </w:p>
        </w:tc>
        <w:tc>
          <w:tcPr>
            <w:tcW w:type="dxa" w:w="6463"/>
          </w:tcPr>
          <w:p>
            <w:pPr>
              <w:spacing w:after="40" w:line="240" w:lineRule="auto"/>
            </w:pPr>
            <w:r>
              <w:rPr>
                <w:sz w:val="21"/>
              </w:rPr>
            </w:r>
            <w:r>
              <w:rPr>
                <w:sz w:val="21"/>
              </w:rPr>
              <w:t xml:space="preserve">La idea de que los clubes maximizan utilidad sujeta a una restricción financiera se atribuye a un artículo sobre diseño de competencias deportivas. </w:t>
            </w:r>
            <w:r>
              <w:rPr>
                <w:b/>
                <w:sz w:val="21"/>
              </w:rPr>
              <w:t>[VERIFICAR]</w:t>
            </w:r>
            <w:r>
              <w:rPr>
                <w:sz w:val="21"/>
              </w:rPr>
              <w:t xml:space="preserve"> que la idea esté en ese artículo o buscar la fuente correcta.</w:t>
            </w:r>
          </w:p>
        </w:tc>
      </w:tr>
      <w:tr>
        <w:trPr>
          <w:cantSplit w:val="true"/>
        </w:trPr>
        <w:tc>
          <w:tcPr>
            <w:tcW w:type="dxa" w:w="2608"/>
          </w:tcPr>
          <w:p>
            <w:pPr>
              <w:spacing w:after="40" w:line="240" w:lineRule="auto"/>
            </w:pPr>
            <w:r>
              <w:rPr>
                <w:sz w:val="21"/>
              </w:rPr>
            </w:r>
            <w:r>
              <w:rPr>
                <w:sz w:val="21"/>
              </w:rPr>
              <w:t>Magnitud del problema</w:t>
            </w:r>
          </w:p>
        </w:tc>
        <w:tc>
          <w:tcPr>
            <w:tcW w:type="dxa" w:w="6463"/>
          </w:tcPr>
          <w:p>
            <w:pPr>
              <w:spacing w:after="40" w:line="240" w:lineRule="auto"/>
            </w:pPr>
            <w:r>
              <w:rPr>
                <w:sz w:val="21"/>
              </w:rPr>
            </w:r>
            <w:r>
              <w:rPr>
                <w:sz w:val="21"/>
              </w:rPr>
              <w:t>Casi todo lo que contiene es contexto global. Agregar un indicador colombiano (por ejemplo, 2 de 4 años con edición registrada) o renombrar el apartado.</w:t>
            </w:r>
          </w:p>
        </w:tc>
      </w:tr>
      <w:tr>
        <w:trPr>
          <w:cantSplit w:val="true"/>
        </w:trPr>
        <w:tc>
          <w:tcPr>
            <w:tcW w:type="dxa" w:w="2608"/>
          </w:tcPr>
          <w:p>
            <w:pPr>
              <w:spacing w:after="40" w:line="240" w:lineRule="auto"/>
            </w:pPr>
            <w:r>
              <w:rPr>
                <w:sz w:val="21"/>
              </w:rPr>
            </w:r>
            <w:r>
              <w:rPr>
                <w:sz w:val="21"/>
              </w:rPr>
              <w:t>Documento de errores, n.º 4</w:t>
            </w:r>
          </w:p>
        </w:tc>
        <w:tc>
          <w:tcPr>
            <w:tcW w:type="dxa" w:w="6463"/>
          </w:tcPr>
          <w:p>
            <w:pPr>
              <w:spacing w:after="40" w:line="240" w:lineRule="auto"/>
            </w:pPr>
            <w:r>
              <w:rPr>
                <w:sz w:val="21"/>
              </w:rPr>
            </w:r>
            <w:r>
              <w:rPr>
                <w:sz w:val="21"/>
              </w:rPr>
              <w:t>La delimitación no deja la rama masculina “fuera”: la usa solo como referencia comparativa. El argumento correcto es que el objetivo 4 no se deriva del objetivo general.</w:t>
            </w:r>
          </w:p>
        </w:tc>
      </w:tr>
      <w:tr>
        <w:trPr>
          <w:cantSplit w:val="true"/>
        </w:trPr>
        <w:tc>
          <w:tcPr>
            <w:tcW w:type="dxa" w:w="2608"/>
          </w:tcPr>
          <w:p>
            <w:pPr>
              <w:spacing w:after="40" w:line="240" w:lineRule="auto"/>
            </w:pPr>
            <w:r>
              <w:rPr>
                <w:sz w:val="21"/>
              </w:rPr>
            </w:r>
            <w:r>
              <w:rPr>
                <w:sz w:val="21"/>
              </w:rPr>
              <w:t>Documento de errores, n.º 20</w:t>
            </w:r>
          </w:p>
        </w:tc>
        <w:tc>
          <w:tcPr>
            <w:tcW w:type="dxa" w:w="6463"/>
          </w:tcPr>
          <w:p>
            <w:pPr>
              <w:spacing w:after="40" w:line="240" w:lineRule="auto"/>
            </w:pPr>
            <w:r>
              <w:rPr>
                <w:sz w:val="21"/>
              </w:rPr>
            </w:r>
            <w:r>
              <w:rPr>
                <w:sz w:val="21"/>
              </w:rPr>
              <w:t>En la versión “corregida” no encontré el apartado de IA dentro del marco teórico. Confirmen si el error sigue vigente.</w:t>
            </w:r>
          </w:p>
        </w:tc>
      </w:tr>
    </w:tbl>
    <w:p>
      <w:pPr>
        <w:spacing w:after="40"/>
      </w:pPr>
    </w:p>
    <w:p>
      <w:pPr>
        <w:pStyle w:val="Heading1"/>
      </w:pPr>
      <w:r>
        <w:t>11. Estado de los 20 errores</w:t>
      </w:r>
    </w:p>
    <w:tbl>
      <w:tblPr>
        <w:tblW w:type="auto" w:w="0"/>
        <w:tblBorders>
          <w:top w:val="single" w:sz="8" w:color="000000"/>
          <w:left w:val="nil"/>
          <w:bottom w:val="single" w:sz="8" w:color="000000"/>
          <w:right w:val="nil"/>
          <w:insideH w:val="nil"/>
          <w:insideV w:val="nil"/>
        </w:tblBorders>
        <w:tblLayout w:type="fixed"/>
        <w:tblLook w:firstColumn="1" w:firstRow="1" w:lastColumn="0" w:lastRow="0" w:noHBand="0" w:noVBand="1" w:val="04A0"/>
      </w:tblPr>
      <w:tblGrid>
        <w:gridCol w:w="3120"/>
        <w:gridCol w:w="3120"/>
        <w:gridCol w:w="3120"/>
      </w:tblGrid>
      <w:tr>
        <w:trPr>
          <w:tblHeader w:val="true"/>
          <w:cantSplit w:val="true"/>
        </w:trPr>
        <w:tc>
          <w:tcPr>
            <w:tcW w:type="dxa" w:w="680"/>
            <w:tcBorders>
              <w:bottom w:val="single" w:sz="6" w:color="000000"/>
            </w:tcBorders>
          </w:tcPr>
          <w:p>
            <w:r/>
            <w:r>
              <w:rPr>
                <w:b/>
                <w:sz w:val="21"/>
              </w:rPr>
              <w:t>N.º</w:t>
            </w:r>
          </w:p>
        </w:tc>
        <w:tc>
          <w:tcPr>
            <w:tcW w:type="dxa" w:w="6236"/>
            <w:tcBorders>
              <w:bottom w:val="single" w:sz="6" w:color="000000"/>
            </w:tcBorders>
          </w:tcPr>
          <w:p>
            <w:r/>
            <w:r>
              <w:rPr>
                <w:b/>
                <w:sz w:val="21"/>
              </w:rPr>
              <w:t>Qué hace esta versión</w:t>
            </w:r>
          </w:p>
        </w:tc>
        <w:tc>
          <w:tcPr>
            <w:tcW w:type="dxa" w:w="2154"/>
            <w:tcBorders>
              <w:bottom w:val="single" w:sz="6" w:color="000000"/>
            </w:tcBorders>
          </w:tcPr>
          <w:p>
            <w:r/>
            <w:r>
              <w:rPr>
                <w:b/>
                <w:sz w:val="21"/>
              </w:rPr>
              <w:t>Estado</w:t>
            </w:r>
          </w:p>
        </w:tc>
      </w:tr>
      <w:tr>
        <w:trPr>
          <w:cantSplit w:val="true"/>
        </w:trPr>
        <w:tc>
          <w:tcPr>
            <w:tcW w:type="dxa" w:w="680"/>
          </w:tcPr>
          <w:p>
            <w:pPr>
              <w:spacing w:after="40" w:line="240" w:lineRule="auto"/>
            </w:pPr>
            <w:r>
              <w:rPr>
                <w:sz w:val="21"/>
              </w:rPr>
            </w:r>
            <w:r>
              <w:rPr>
                <w:sz w:val="21"/>
              </w:rPr>
              <w:t>1</w:t>
            </w:r>
          </w:p>
        </w:tc>
        <w:tc>
          <w:tcPr>
            <w:tcW w:type="dxa" w:w="6236"/>
          </w:tcPr>
          <w:p>
            <w:pPr>
              <w:spacing w:after="40" w:line="240" w:lineRule="auto"/>
            </w:pPr>
            <w:r>
              <w:rPr>
                <w:sz w:val="21"/>
              </w:rPr>
            </w:r>
            <w:r>
              <w:rPr>
                <w:sz w:val="21"/>
              </w:rPr>
              <w:t>Redefine “profesional” (sección 1). Cambia el título, así que requiere acuerdo del grupo y del docente.</w:t>
            </w:r>
          </w:p>
        </w:tc>
        <w:tc>
          <w:tcPr>
            <w:tcW w:type="dxa" w:w="2154"/>
          </w:tcPr>
          <w:p>
            <w:pPr>
              <w:spacing w:after="40" w:line="240" w:lineRule="auto"/>
            </w:pPr>
            <w:r>
              <w:rPr>
                <w:sz w:val="21"/>
              </w:rPr>
            </w:r>
            <w:r>
              <w:rPr>
                <w:sz w:val="21"/>
              </w:rPr>
              <w:t>Parcial</w:t>
            </w:r>
          </w:p>
        </w:tc>
      </w:tr>
      <w:tr>
        <w:trPr>
          <w:cantSplit w:val="true"/>
        </w:trPr>
        <w:tc>
          <w:tcPr>
            <w:tcW w:type="dxa" w:w="680"/>
          </w:tcPr>
          <w:p>
            <w:pPr>
              <w:spacing w:after="40" w:line="240" w:lineRule="auto"/>
            </w:pPr>
            <w:r>
              <w:rPr>
                <w:sz w:val="21"/>
              </w:rPr>
            </w:r>
            <w:r>
              <w:rPr>
                <w:sz w:val="21"/>
              </w:rPr>
              <w:t>2</w:t>
            </w:r>
          </w:p>
        </w:tc>
        <w:tc>
          <w:tcPr>
            <w:tcW w:type="dxa" w:w="6236"/>
          </w:tcPr>
          <w:p>
            <w:pPr>
              <w:spacing w:after="40" w:line="240" w:lineRule="auto"/>
            </w:pPr>
            <w:r>
              <w:rPr>
                <w:sz w:val="21"/>
              </w:rPr>
            </w:r>
            <w:r>
              <w:rPr>
                <w:sz w:val="21"/>
              </w:rPr>
              <w:t>Reformula la pregunta y reemplaza el objetivo 4. Falta confirmar con la Federación si hubo ediciones en 2024 y 2025.</w:t>
            </w:r>
          </w:p>
        </w:tc>
        <w:tc>
          <w:tcPr>
            <w:tcW w:type="dxa" w:w="2154"/>
          </w:tcPr>
          <w:p>
            <w:pPr>
              <w:spacing w:after="40" w:line="240" w:lineRule="auto"/>
            </w:pPr>
            <w:r>
              <w:rPr>
                <w:sz w:val="21"/>
              </w:rPr>
            </w:r>
            <w:r>
              <w:rPr>
                <w:sz w:val="21"/>
              </w:rPr>
              <w:t>Parcial</w:t>
            </w:r>
          </w:p>
        </w:tc>
      </w:tr>
      <w:tr>
        <w:trPr>
          <w:cantSplit w:val="true"/>
        </w:trPr>
        <w:tc>
          <w:tcPr>
            <w:tcW w:type="dxa" w:w="680"/>
          </w:tcPr>
          <w:p>
            <w:pPr>
              <w:spacing w:after="40" w:line="240" w:lineRule="auto"/>
            </w:pPr>
            <w:r>
              <w:rPr>
                <w:sz w:val="21"/>
              </w:rPr>
            </w:r>
            <w:r>
              <w:rPr>
                <w:sz w:val="21"/>
              </w:rPr>
              <w:t>3</w:t>
            </w:r>
          </w:p>
        </w:tc>
        <w:tc>
          <w:tcPr>
            <w:tcW w:type="dxa" w:w="6236"/>
          </w:tcPr>
          <w:p>
            <w:pPr>
              <w:spacing w:after="40" w:line="240" w:lineRule="auto"/>
            </w:pPr>
            <w:r>
              <w:rPr>
                <w:sz w:val="21"/>
              </w:rPr>
            </w:r>
            <w:r>
              <w:rPr>
                <w:sz w:val="21"/>
              </w:rPr>
              <w:t>Objetivo general sin método.</w:t>
            </w:r>
          </w:p>
        </w:tc>
        <w:tc>
          <w:tcPr>
            <w:tcW w:type="dxa" w:w="2154"/>
          </w:tcPr>
          <w:p>
            <w:pPr>
              <w:spacing w:after="40" w:line="240" w:lineRule="auto"/>
            </w:pPr>
            <w:r>
              <w:rPr>
                <w:sz w:val="21"/>
              </w:rPr>
            </w:r>
            <w:r>
              <w:rPr>
                <w:sz w:val="21"/>
              </w:rPr>
              <w:t>Resuelto aquí</w:t>
            </w:r>
          </w:p>
        </w:tc>
      </w:tr>
      <w:tr>
        <w:trPr>
          <w:cantSplit w:val="true"/>
        </w:trPr>
        <w:tc>
          <w:tcPr>
            <w:tcW w:type="dxa" w:w="680"/>
          </w:tcPr>
          <w:p>
            <w:pPr>
              <w:spacing w:after="40" w:line="240" w:lineRule="auto"/>
            </w:pPr>
            <w:r>
              <w:rPr>
                <w:sz w:val="21"/>
              </w:rPr>
            </w:r>
            <w:r>
              <w:rPr>
                <w:sz w:val="21"/>
              </w:rPr>
              <w:t>4</w:t>
            </w:r>
          </w:p>
        </w:tc>
        <w:tc>
          <w:tcPr>
            <w:tcW w:type="dxa" w:w="6236"/>
          </w:tcPr>
          <w:p>
            <w:pPr>
              <w:spacing w:after="40" w:line="240" w:lineRule="auto"/>
            </w:pPr>
            <w:r>
              <w:rPr>
                <w:sz w:val="21"/>
              </w:rPr>
            </w:r>
            <w:r>
              <w:rPr>
                <w:sz w:val="21"/>
              </w:rPr>
              <w:t>Objetivo 4 reemplazado, coherente con el general.</w:t>
            </w:r>
          </w:p>
        </w:tc>
        <w:tc>
          <w:tcPr>
            <w:tcW w:type="dxa" w:w="2154"/>
          </w:tcPr>
          <w:p>
            <w:pPr>
              <w:spacing w:after="40" w:line="240" w:lineRule="auto"/>
            </w:pPr>
            <w:r>
              <w:rPr>
                <w:sz w:val="21"/>
              </w:rPr>
            </w:r>
            <w:r>
              <w:rPr>
                <w:sz w:val="21"/>
              </w:rPr>
              <w:t>Resuelto aquí</w:t>
            </w:r>
          </w:p>
        </w:tc>
      </w:tr>
      <w:tr>
        <w:trPr>
          <w:cantSplit w:val="true"/>
        </w:trPr>
        <w:tc>
          <w:tcPr>
            <w:tcW w:type="dxa" w:w="680"/>
          </w:tcPr>
          <w:p>
            <w:pPr>
              <w:spacing w:after="40" w:line="240" w:lineRule="auto"/>
            </w:pPr>
            <w:r>
              <w:rPr>
                <w:sz w:val="21"/>
              </w:rPr>
            </w:r>
            <w:r>
              <w:rPr>
                <w:sz w:val="21"/>
              </w:rPr>
              <w:t>5</w:t>
            </w:r>
          </w:p>
        </w:tc>
        <w:tc>
          <w:tcPr>
            <w:tcW w:type="dxa" w:w="6236"/>
          </w:tcPr>
          <w:p>
            <w:pPr>
              <w:spacing w:after="40" w:line="240" w:lineRule="auto"/>
            </w:pPr>
            <w:r>
              <w:rPr>
                <w:sz w:val="21"/>
              </w:rPr>
            </w:r>
            <w:r>
              <w:rPr>
                <w:sz w:val="21"/>
              </w:rPr>
              <w:t>Objetivos 1 y 3 reescritos como resultados; el SMLMV pasa a la metodología.</w:t>
            </w:r>
          </w:p>
        </w:tc>
        <w:tc>
          <w:tcPr>
            <w:tcW w:type="dxa" w:w="2154"/>
          </w:tcPr>
          <w:p>
            <w:pPr>
              <w:spacing w:after="40" w:line="240" w:lineRule="auto"/>
            </w:pPr>
            <w:r>
              <w:rPr>
                <w:sz w:val="21"/>
              </w:rPr>
            </w:r>
            <w:r>
              <w:rPr>
                <w:sz w:val="21"/>
              </w:rPr>
              <w:t>Resuelto aquí</w:t>
            </w:r>
          </w:p>
        </w:tc>
      </w:tr>
      <w:tr>
        <w:trPr>
          <w:cantSplit w:val="true"/>
        </w:trPr>
        <w:tc>
          <w:tcPr>
            <w:tcW w:type="dxa" w:w="680"/>
          </w:tcPr>
          <w:p>
            <w:pPr>
              <w:spacing w:after="40" w:line="240" w:lineRule="auto"/>
            </w:pPr>
            <w:r>
              <w:rPr>
                <w:sz w:val="21"/>
              </w:rPr>
            </w:r>
            <w:r>
              <w:rPr>
                <w:sz w:val="21"/>
              </w:rPr>
              <w:t>6</w:t>
            </w:r>
          </w:p>
        </w:tc>
        <w:tc>
          <w:tcPr>
            <w:tcW w:type="dxa" w:w="6236"/>
          </w:tcPr>
          <w:p>
            <w:pPr>
              <w:spacing w:after="40" w:line="240" w:lineRule="auto"/>
            </w:pPr>
            <w:r>
              <w:rPr>
                <w:sz w:val="21"/>
              </w:rPr>
            </w:r>
            <w:r>
              <w:rPr>
                <w:sz w:val="21"/>
              </w:rPr>
              <w:t>Verificar la fuente de los 1.274 contratos y unificar el término.</w:t>
            </w:r>
          </w:p>
        </w:tc>
        <w:tc>
          <w:tcPr>
            <w:tcW w:type="dxa" w:w="2154"/>
          </w:tcPr>
          <w:p>
            <w:pPr>
              <w:spacing w:after="40" w:line="240" w:lineRule="auto"/>
            </w:pPr>
            <w:r>
              <w:rPr>
                <w:sz w:val="21"/>
              </w:rPr>
            </w:r>
            <w:r>
              <w:rPr>
                <w:sz w:val="21"/>
              </w:rPr>
              <w:t>Pendiente del grupo</w:t>
            </w:r>
          </w:p>
        </w:tc>
      </w:tr>
      <w:tr>
        <w:trPr>
          <w:cantSplit w:val="true"/>
        </w:trPr>
        <w:tc>
          <w:tcPr>
            <w:tcW w:type="dxa" w:w="680"/>
          </w:tcPr>
          <w:p>
            <w:pPr>
              <w:spacing w:after="40" w:line="240" w:lineRule="auto"/>
            </w:pPr>
            <w:r>
              <w:rPr>
                <w:sz w:val="21"/>
              </w:rPr>
            </w:r>
            <w:r>
              <w:rPr>
                <w:sz w:val="21"/>
              </w:rPr>
              <w:t>7</w:t>
            </w:r>
          </w:p>
        </w:tc>
        <w:tc>
          <w:tcPr>
            <w:tcW w:type="dxa" w:w="6236"/>
          </w:tcPr>
          <w:p>
            <w:pPr>
              <w:spacing w:after="40" w:line="240" w:lineRule="auto"/>
            </w:pPr>
            <w:r>
              <w:rPr>
                <w:sz w:val="21"/>
              </w:rPr>
            </w:r>
            <w:r>
              <w:rPr>
                <w:sz w:val="21"/>
              </w:rPr>
              <w:t>Tabla de fuentes primarias sugeridas.</w:t>
            </w:r>
          </w:p>
        </w:tc>
        <w:tc>
          <w:tcPr>
            <w:tcW w:type="dxa" w:w="2154"/>
          </w:tcPr>
          <w:p>
            <w:pPr>
              <w:spacing w:after="40" w:line="240" w:lineRule="auto"/>
            </w:pPr>
            <w:r>
              <w:rPr>
                <w:sz w:val="21"/>
              </w:rPr>
            </w:r>
            <w:r>
              <w:rPr>
                <w:sz w:val="21"/>
              </w:rPr>
              <w:t>Parcial</w:t>
            </w:r>
          </w:p>
        </w:tc>
      </w:tr>
      <w:tr>
        <w:trPr>
          <w:cantSplit w:val="true"/>
        </w:trPr>
        <w:tc>
          <w:tcPr>
            <w:tcW w:type="dxa" w:w="680"/>
          </w:tcPr>
          <w:p>
            <w:pPr>
              <w:spacing w:after="40" w:line="240" w:lineRule="auto"/>
            </w:pPr>
            <w:r>
              <w:rPr>
                <w:sz w:val="21"/>
              </w:rPr>
            </w:r>
            <w:r>
              <w:rPr>
                <w:sz w:val="21"/>
              </w:rPr>
              <w:t>8</w:t>
            </w:r>
          </w:p>
        </w:tc>
        <w:tc>
          <w:tcPr>
            <w:tcW w:type="dxa" w:w="6236"/>
          </w:tcPr>
          <w:p>
            <w:pPr>
              <w:spacing w:after="40" w:line="240" w:lineRule="auto"/>
            </w:pPr>
            <w:r>
              <w:rPr>
                <w:sz w:val="21"/>
              </w:rPr>
            </w:r>
            <w:r>
              <w:rPr>
                <w:sz w:val="21"/>
              </w:rPr>
              <w:t>Guía de recorte; el grupo debe reescribir.</w:t>
            </w:r>
          </w:p>
        </w:tc>
        <w:tc>
          <w:tcPr>
            <w:tcW w:type="dxa" w:w="2154"/>
          </w:tcPr>
          <w:p>
            <w:pPr>
              <w:spacing w:after="40" w:line="240" w:lineRule="auto"/>
            </w:pPr>
            <w:r>
              <w:rPr>
                <w:sz w:val="21"/>
              </w:rPr>
            </w:r>
            <w:r>
              <w:rPr>
                <w:sz w:val="21"/>
              </w:rPr>
              <w:t>Parcial</w:t>
            </w:r>
          </w:p>
        </w:tc>
      </w:tr>
      <w:tr>
        <w:trPr>
          <w:cantSplit w:val="true"/>
        </w:trPr>
        <w:tc>
          <w:tcPr>
            <w:tcW w:type="dxa" w:w="680"/>
          </w:tcPr>
          <w:p>
            <w:pPr>
              <w:spacing w:after="40" w:line="240" w:lineRule="auto"/>
            </w:pPr>
            <w:r>
              <w:rPr>
                <w:sz w:val="21"/>
              </w:rPr>
            </w:r>
            <w:r>
              <w:rPr>
                <w:sz w:val="21"/>
              </w:rPr>
              <w:t>9</w:t>
            </w:r>
          </w:p>
        </w:tc>
        <w:tc>
          <w:tcPr>
            <w:tcW w:type="dxa" w:w="6236"/>
          </w:tcPr>
          <w:p>
            <w:pPr>
              <w:spacing w:after="40" w:line="240" w:lineRule="auto"/>
            </w:pPr>
            <w:r>
              <w:rPr>
                <w:sz w:val="21"/>
              </w:rPr>
            </w:r>
            <w:r>
              <w:rPr>
                <w:sz w:val="21"/>
              </w:rPr>
              <w:t>Párrafo de Viabilidad con las tres vías de obtención de datos.</w:t>
            </w:r>
          </w:p>
        </w:tc>
        <w:tc>
          <w:tcPr>
            <w:tcW w:type="dxa" w:w="2154"/>
          </w:tcPr>
          <w:p>
            <w:pPr>
              <w:spacing w:after="40" w:line="240" w:lineRule="auto"/>
            </w:pPr>
            <w:r>
              <w:rPr>
                <w:sz w:val="21"/>
              </w:rPr>
            </w:r>
            <w:r>
              <w:rPr>
                <w:sz w:val="21"/>
              </w:rPr>
              <w:t>Resuelto aquí</w:t>
            </w:r>
          </w:p>
        </w:tc>
      </w:tr>
      <w:tr>
        <w:trPr>
          <w:cantSplit w:val="true"/>
        </w:trPr>
        <w:tc>
          <w:tcPr>
            <w:tcW w:type="dxa" w:w="680"/>
          </w:tcPr>
          <w:p>
            <w:pPr>
              <w:spacing w:after="40" w:line="240" w:lineRule="auto"/>
            </w:pPr>
            <w:r>
              <w:rPr>
                <w:sz w:val="21"/>
              </w:rPr>
            </w:r>
            <w:r>
              <w:rPr>
                <w:sz w:val="21"/>
              </w:rPr>
              <w:t>10</w:t>
            </w:r>
          </w:p>
        </w:tc>
        <w:tc>
          <w:tcPr>
            <w:tcW w:type="dxa" w:w="6236"/>
          </w:tcPr>
          <w:p>
            <w:pPr>
              <w:spacing w:after="40" w:line="240" w:lineRule="auto"/>
            </w:pPr>
            <w:r>
              <w:rPr>
                <w:sz w:val="21"/>
              </w:rPr>
            </w:r>
            <w:r>
              <w:rPr>
                <w:sz w:val="21"/>
              </w:rPr>
              <w:t>Estrategia de búsqueda; no inventé estudios.</w:t>
            </w:r>
          </w:p>
        </w:tc>
        <w:tc>
          <w:tcPr>
            <w:tcW w:type="dxa" w:w="2154"/>
          </w:tcPr>
          <w:p>
            <w:pPr>
              <w:spacing w:after="40" w:line="240" w:lineRule="auto"/>
            </w:pPr>
            <w:r>
              <w:rPr>
                <w:sz w:val="21"/>
              </w:rPr>
            </w:r>
            <w:r>
              <w:rPr>
                <w:sz w:val="21"/>
              </w:rPr>
              <w:t>Pendiente del grupo</w:t>
            </w:r>
          </w:p>
        </w:tc>
      </w:tr>
      <w:tr>
        <w:trPr>
          <w:cantSplit w:val="true"/>
        </w:trPr>
        <w:tc>
          <w:tcPr>
            <w:tcW w:type="dxa" w:w="680"/>
          </w:tcPr>
          <w:p>
            <w:pPr>
              <w:spacing w:after="40" w:line="240" w:lineRule="auto"/>
            </w:pPr>
            <w:r>
              <w:rPr>
                <w:sz w:val="21"/>
              </w:rPr>
            </w:r>
            <w:r>
              <w:rPr>
                <w:sz w:val="21"/>
              </w:rPr>
              <w:t>11</w:t>
            </w:r>
          </w:p>
        </w:tc>
        <w:tc>
          <w:tcPr>
            <w:tcW w:type="dxa" w:w="6236"/>
          </w:tcPr>
          <w:p>
            <w:pPr>
              <w:spacing w:after="40" w:line="240" w:lineRule="auto"/>
            </w:pPr>
            <w:r>
              <w:rPr>
                <w:sz w:val="21"/>
              </w:rPr>
            </w:r>
            <w:r>
              <w:rPr>
                <w:sz w:val="21"/>
              </w:rPr>
              <w:t>Plantilla y tres antecedentes por completar.</w:t>
            </w:r>
          </w:p>
        </w:tc>
        <w:tc>
          <w:tcPr>
            <w:tcW w:type="dxa" w:w="2154"/>
          </w:tcPr>
          <w:p>
            <w:pPr>
              <w:spacing w:after="40" w:line="240" w:lineRule="auto"/>
            </w:pPr>
            <w:r>
              <w:rPr>
                <w:sz w:val="21"/>
              </w:rPr>
            </w:r>
            <w:r>
              <w:rPr>
                <w:sz w:val="21"/>
              </w:rPr>
              <w:t>Parcial</w:t>
            </w:r>
          </w:p>
        </w:tc>
      </w:tr>
      <w:tr>
        <w:trPr>
          <w:cantSplit w:val="true"/>
        </w:trPr>
        <w:tc>
          <w:tcPr>
            <w:tcW w:type="dxa" w:w="680"/>
          </w:tcPr>
          <w:p>
            <w:pPr>
              <w:spacing w:after="40" w:line="240" w:lineRule="auto"/>
            </w:pPr>
            <w:r>
              <w:rPr>
                <w:sz w:val="21"/>
              </w:rPr>
            </w:r>
            <w:r>
              <w:rPr>
                <w:sz w:val="21"/>
              </w:rPr>
              <w:t>12</w:t>
            </w:r>
          </w:p>
        </w:tc>
        <w:tc>
          <w:tcPr>
            <w:tcW w:type="dxa" w:w="6236"/>
          </w:tcPr>
          <w:p>
            <w:pPr>
              <w:spacing w:after="40" w:line="240" w:lineRule="auto"/>
            </w:pPr>
            <w:r>
              <w:rPr>
                <w:sz w:val="21"/>
              </w:rPr>
            </w:r>
            <w:r>
              <w:rPr>
                <w:sz w:val="21"/>
              </w:rPr>
              <w:t>Definiciones separadas de presupuesto y estados financieros.</w:t>
            </w:r>
          </w:p>
        </w:tc>
        <w:tc>
          <w:tcPr>
            <w:tcW w:type="dxa" w:w="2154"/>
          </w:tcPr>
          <w:p>
            <w:pPr>
              <w:spacing w:after="40" w:line="240" w:lineRule="auto"/>
            </w:pPr>
            <w:r>
              <w:rPr>
                <w:sz w:val="21"/>
              </w:rPr>
            </w:r>
            <w:r>
              <w:rPr>
                <w:sz w:val="21"/>
              </w:rPr>
              <w:t>Resuelto aquí</w:t>
            </w:r>
          </w:p>
        </w:tc>
      </w:tr>
      <w:tr>
        <w:trPr>
          <w:cantSplit w:val="true"/>
        </w:trPr>
        <w:tc>
          <w:tcPr>
            <w:tcW w:type="dxa" w:w="680"/>
          </w:tcPr>
          <w:p>
            <w:pPr>
              <w:spacing w:after="40" w:line="240" w:lineRule="auto"/>
            </w:pPr>
            <w:r>
              <w:rPr>
                <w:sz w:val="21"/>
              </w:rPr>
            </w:r>
            <w:r>
              <w:rPr>
                <w:sz w:val="21"/>
              </w:rPr>
              <w:t>13</w:t>
            </w:r>
          </w:p>
        </w:tc>
        <w:tc>
          <w:tcPr>
            <w:tcW w:type="dxa" w:w="6236"/>
          </w:tcPr>
          <w:p>
            <w:pPr>
              <w:spacing w:after="40" w:line="240" w:lineRule="auto"/>
            </w:pPr>
            <w:r>
              <w:rPr>
                <w:sz w:val="21"/>
              </w:rPr>
            </w:r>
            <w:r>
              <w:rPr>
                <w:sz w:val="21"/>
              </w:rPr>
              <w:t>Se eliminan los dos términos que no se usan.</w:t>
            </w:r>
          </w:p>
        </w:tc>
        <w:tc>
          <w:tcPr>
            <w:tcW w:type="dxa" w:w="2154"/>
          </w:tcPr>
          <w:p>
            <w:pPr>
              <w:spacing w:after="40" w:line="240" w:lineRule="auto"/>
            </w:pPr>
            <w:r>
              <w:rPr>
                <w:sz w:val="21"/>
              </w:rPr>
            </w:r>
            <w:r>
              <w:rPr>
                <w:sz w:val="21"/>
              </w:rPr>
              <w:t>Resuelto aquí</w:t>
            </w:r>
          </w:p>
        </w:tc>
      </w:tr>
      <w:tr>
        <w:trPr>
          <w:cantSplit w:val="true"/>
        </w:trPr>
        <w:tc>
          <w:tcPr>
            <w:tcW w:type="dxa" w:w="680"/>
          </w:tcPr>
          <w:p>
            <w:pPr>
              <w:spacing w:after="40" w:line="240" w:lineRule="auto"/>
            </w:pPr>
            <w:r>
              <w:rPr>
                <w:sz w:val="21"/>
              </w:rPr>
            </w:r>
            <w:r>
              <w:rPr>
                <w:sz w:val="21"/>
              </w:rPr>
              <w:t>14</w:t>
            </w:r>
          </w:p>
        </w:tc>
        <w:tc>
          <w:tcPr>
            <w:tcW w:type="dxa" w:w="6236"/>
          </w:tcPr>
          <w:p>
            <w:pPr>
              <w:spacing w:after="40" w:line="240" w:lineRule="auto"/>
            </w:pPr>
            <w:r>
              <w:rPr>
                <w:sz w:val="21"/>
              </w:rPr>
            </w:r>
            <w:r>
              <w:rPr>
                <w:sz w:val="21"/>
              </w:rPr>
              <w:t>Letras asignadas por regla APA; falta ponerlas en cada cita.</w:t>
            </w:r>
          </w:p>
        </w:tc>
        <w:tc>
          <w:tcPr>
            <w:tcW w:type="dxa" w:w="2154"/>
          </w:tcPr>
          <w:p>
            <w:pPr>
              <w:spacing w:after="40" w:line="240" w:lineRule="auto"/>
            </w:pPr>
            <w:r>
              <w:rPr>
                <w:sz w:val="21"/>
              </w:rPr>
            </w:r>
            <w:r>
              <w:rPr>
                <w:sz w:val="21"/>
              </w:rPr>
              <w:t>Parcial</w:t>
            </w:r>
          </w:p>
        </w:tc>
      </w:tr>
      <w:tr>
        <w:trPr>
          <w:cantSplit w:val="true"/>
        </w:trPr>
        <w:tc>
          <w:tcPr>
            <w:tcW w:type="dxa" w:w="680"/>
          </w:tcPr>
          <w:p>
            <w:pPr>
              <w:spacing w:after="40" w:line="240" w:lineRule="auto"/>
            </w:pPr>
            <w:r>
              <w:rPr>
                <w:sz w:val="21"/>
              </w:rPr>
            </w:r>
            <w:r>
              <w:rPr>
                <w:sz w:val="21"/>
              </w:rPr>
              <w:t>15</w:t>
            </w:r>
          </w:p>
        </w:tc>
        <w:tc>
          <w:tcPr>
            <w:tcW w:type="dxa" w:w="6236"/>
          </w:tcPr>
          <w:p>
            <w:pPr>
              <w:spacing w:after="40" w:line="240" w:lineRule="auto"/>
            </w:pPr>
            <w:r>
              <w:rPr>
                <w:sz w:val="21"/>
              </w:rPr>
            </w:r>
            <w:r>
              <w:rPr>
                <w:sz w:val="21"/>
              </w:rPr>
              <w:t>Enlaces de dos normas, ResearchGate y reglas de autor y cursivas.</w:t>
            </w:r>
          </w:p>
        </w:tc>
        <w:tc>
          <w:tcPr>
            <w:tcW w:type="dxa" w:w="2154"/>
          </w:tcPr>
          <w:p>
            <w:pPr>
              <w:spacing w:after="40" w:line="240" w:lineRule="auto"/>
            </w:pPr>
            <w:r>
              <w:rPr>
                <w:sz w:val="21"/>
              </w:rPr>
            </w:r>
            <w:r>
              <w:rPr>
                <w:sz w:val="21"/>
              </w:rPr>
              <w:t>Parcial</w:t>
            </w:r>
          </w:p>
        </w:tc>
      </w:tr>
      <w:tr>
        <w:trPr>
          <w:cantSplit w:val="true"/>
        </w:trPr>
        <w:tc>
          <w:tcPr>
            <w:tcW w:type="dxa" w:w="680"/>
          </w:tcPr>
          <w:p>
            <w:pPr>
              <w:spacing w:after="40" w:line="240" w:lineRule="auto"/>
            </w:pPr>
            <w:r>
              <w:rPr>
                <w:sz w:val="21"/>
              </w:rPr>
            </w:r>
            <w:r>
              <w:rPr>
                <w:sz w:val="21"/>
              </w:rPr>
              <w:t>16</w:t>
            </w:r>
          </w:p>
        </w:tc>
        <w:tc>
          <w:tcPr>
            <w:tcW w:type="dxa" w:w="6236"/>
          </w:tcPr>
          <w:p>
            <w:pPr>
              <w:spacing w:after="40" w:line="240" w:lineRule="auto"/>
            </w:pPr>
            <w:r>
              <w:rPr>
                <w:sz w:val="21"/>
              </w:rPr>
            </w:r>
            <w:r>
              <w:rPr>
                <w:sz w:val="21"/>
              </w:rPr>
              <w:t>Resumen y abstract de menos de 250 palabras, un solo párrafo.</w:t>
            </w:r>
          </w:p>
        </w:tc>
        <w:tc>
          <w:tcPr>
            <w:tcW w:type="dxa" w:w="2154"/>
          </w:tcPr>
          <w:p>
            <w:pPr>
              <w:spacing w:after="40" w:line="240" w:lineRule="auto"/>
            </w:pPr>
            <w:r>
              <w:rPr>
                <w:sz w:val="21"/>
              </w:rPr>
            </w:r>
            <w:r>
              <w:rPr>
                <w:sz w:val="21"/>
              </w:rPr>
              <w:t>Resuelto aquí</w:t>
            </w:r>
          </w:p>
        </w:tc>
      </w:tr>
      <w:tr>
        <w:trPr>
          <w:cantSplit w:val="true"/>
        </w:trPr>
        <w:tc>
          <w:tcPr>
            <w:tcW w:type="dxa" w:w="680"/>
          </w:tcPr>
          <w:p>
            <w:pPr>
              <w:spacing w:after="40" w:line="240" w:lineRule="auto"/>
            </w:pPr>
            <w:r>
              <w:rPr>
                <w:sz w:val="21"/>
              </w:rPr>
            </w:r>
            <w:r>
              <w:rPr>
                <w:sz w:val="21"/>
              </w:rPr>
              <w:t>17</w:t>
            </w:r>
          </w:p>
        </w:tc>
        <w:tc>
          <w:tcPr>
            <w:tcW w:type="dxa" w:w="6236"/>
          </w:tcPr>
          <w:p>
            <w:pPr>
              <w:spacing w:after="40" w:line="240" w:lineRule="auto"/>
            </w:pPr>
            <w:r>
              <w:rPr>
                <w:sz w:val="21"/>
              </w:rPr>
            </w:r>
            <w:r>
              <w:rPr>
                <w:sz w:val="21"/>
              </w:rPr>
              <w:t>Instrucciones de formato; se aplican en Word.</w:t>
            </w:r>
          </w:p>
        </w:tc>
        <w:tc>
          <w:tcPr>
            <w:tcW w:type="dxa" w:w="2154"/>
          </w:tcPr>
          <w:p>
            <w:pPr>
              <w:spacing w:after="40" w:line="240" w:lineRule="auto"/>
            </w:pPr>
            <w:r>
              <w:rPr>
                <w:sz w:val="21"/>
              </w:rPr>
            </w:r>
            <w:r>
              <w:rPr>
                <w:sz w:val="21"/>
              </w:rPr>
              <w:t>Pendiente del grupo</w:t>
            </w:r>
          </w:p>
        </w:tc>
      </w:tr>
      <w:tr>
        <w:trPr>
          <w:cantSplit w:val="true"/>
        </w:trPr>
        <w:tc>
          <w:tcPr>
            <w:tcW w:type="dxa" w:w="680"/>
          </w:tcPr>
          <w:p>
            <w:pPr>
              <w:spacing w:after="40" w:line="240" w:lineRule="auto"/>
            </w:pPr>
            <w:r>
              <w:rPr>
                <w:sz w:val="21"/>
              </w:rPr>
            </w:r>
            <w:r>
              <w:rPr>
                <w:sz w:val="21"/>
              </w:rPr>
              <w:t>18</w:t>
            </w:r>
          </w:p>
        </w:tc>
        <w:tc>
          <w:tcPr>
            <w:tcW w:type="dxa" w:w="6236"/>
          </w:tcPr>
          <w:p>
            <w:pPr>
              <w:spacing w:after="40" w:line="240" w:lineRule="auto"/>
            </w:pPr>
            <w:r>
              <w:rPr>
                <w:sz w:val="21"/>
              </w:rPr>
            </w:r>
            <w:r>
              <w:rPr>
                <w:sz w:val="21"/>
              </w:rPr>
              <w:t>Correcciones textuales indicadas; falta elegir la fecha.</w:t>
            </w:r>
          </w:p>
        </w:tc>
        <w:tc>
          <w:tcPr>
            <w:tcW w:type="dxa" w:w="2154"/>
          </w:tcPr>
          <w:p>
            <w:pPr>
              <w:spacing w:after="40" w:line="240" w:lineRule="auto"/>
            </w:pPr>
            <w:r>
              <w:rPr>
                <w:sz w:val="21"/>
              </w:rPr>
            </w:r>
            <w:r>
              <w:rPr>
                <w:sz w:val="21"/>
              </w:rPr>
              <w:t>Parcial</w:t>
            </w:r>
          </w:p>
        </w:tc>
      </w:tr>
      <w:tr>
        <w:trPr>
          <w:cantSplit w:val="true"/>
        </w:trPr>
        <w:tc>
          <w:tcPr>
            <w:tcW w:type="dxa" w:w="680"/>
          </w:tcPr>
          <w:p>
            <w:pPr>
              <w:spacing w:after="40" w:line="240" w:lineRule="auto"/>
            </w:pPr>
            <w:r>
              <w:rPr>
                <w:sz w:val="21"/>
              </w:rPr>
            </w:r>
            <w:r>
              <w:rPr>
                <w:sz w:val="21"/>
              </w:rPr>
              <w:t>19</w:t>
            </w:r>
          </w:p>
        </w:tc>
        <w:tc>
          <w:tcPr>
            <w:tcW w:type="dxa" w:w="6236"/>
          </w:tcPr>
          <w:p>
            <w:pPr>
              <w:spacing w:after="40" w:line="240" w:lineRule="auto"/>
            </w:pPr>
            <w:r>
              <w:rPr>
                <w:sz w:val="21"/>
              </w:rPr>
            </w:r>
            <w:r>
              <w:rPr>
                <w:sz w:val="21"/>
              </w:rPr>
              <w:t>Dedicatoria alternativa; el grupo debe personalizarla.</w:t>
            </w:r>
          </w:p>
        </w:tc>
        <w:tc>
          <w:tcPr>
            <w:tcW w:type="dxa" w:w="2154"/>
          </w:tcPr>
          <w:p>
            <w:pPr>
              <w:spacing w:after="40" w:line="240" w:lineRule="auto"/>
            </w:pPr>
            <w:r>
              <w:rPr>
                <w:sz w:val="21"/>
              </w:rPr>
            </w:r>
            <w:r>
              <w:rPr>
                <w:sz w:val="21"/>
              </w:rPr>
              <w:t>Parcial</w:t>
            </w:r>
          </w:p>
        </w:tc>
      </w:tr>
      <w:tr>
        <w:trPr>
          <w:cantSplit w:val="true"/>
        </w:trPr>
        <w:tc>
          <w:tcPr>
            <w:tcW w:type="dxa" w:w="680"/>
          </w:tcPr>
          <w:p>
            <w:pPr>
              <w:spacing w:after="40" w:line="240" w:lineRule="auto"/>
            </w:pPr>
            <w:r>
              <w:rPr>
                <w:sz w:val="21"/>
              </w:rPr>
            </w:r>
            <w:r>
              <w:rPr>
                <w:sz w:val="21"/>
              </w:rPr>
              <w:t>20</w:t>
            </w:r>
          </w:p>
        </w:tc>
        <w:tc>
          <w:tcPr>
            <w:tcW w:type="dxa" w:w="6236"/>
          </w:tcPr>
          <w:p>
            <w:pPr>
              <w:spacing w:after="40" w:line="240" w:lineRule="auto"/>
            </w:pPr>
            <w:r>
              <w:rPr>
                <w:sz w:val="21"/>
              </w:rPr>
            </w:r>
            <w:r>
              <w:rPr>
                <w:sz w:val="21"/>
              </w:rPr>
              <w:t>Plantilla de declaración; el grupo completa herramienta y fechas.</w:t>
            </w:r>
          </w:p>
        </w:tc>
        <w:tc>
          <w:tcPr>
            <w:tcW w:type="dxa" w:w="2154"/>
          </w:tcPr>
          <w:p>
            <w:pPr>
              <w:spacing w:after="40" w:line="240" w:lineRule="auto"/>
            </w:pPr>
            <w:r>
              <w:rPr>
                <w:sz w:val="21"/>
              </w:rPr>
            </w:r>
            <w:r>
              <w:rPr>
                <w:sz w:val="21"/>
              </w:rPr>
              <w:t>Parcial</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