
<file path=[Content_Types].xml><?xml version="1.0" encoding="utf-8"?>
<Types xmlns="http://schemas.openxmlformats.org/package/2006/content-types">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24856" w:rsidRDefault="00424856"/>
    <w:p w:rsidR="00424856" w:rsidRDefault="00424856"/>
    <w:p w:rsidR="00424856" w:rsidRPr="001C1EBB" w:rsidRDefault="009E0916">
      <w:pPr>
        <w:jc w:val="center"/>
        <w:rPr>
          <w:lang w:val="es-ES"/>
        </w:rPr>
      </w:pPr>
      <w:r w:rsidRPr="001C1EBB">
        <w:rPr>
          <w:b/>
          <w:bCs/>
          <w:lang w:val="es-ES"/>
        </w:rPr>
        <w:t>Evolución Económica del Baloncesto Profesional Femenino en Colombia (2022–2025)</w:t>
      </w:r>
    </w:p>
    <w:p w:rsidR="00424856" w:rsidRPr="001C1EBB" w:rsidRDefault="00424856">
      <w:pPr>
        <w:rPr>
          <w:lang w:val="es-ES"/>
        </w:rPr>
      </w:pPr>
    </w:p>
    <w:p w:rsidR="00424856" w:rsidRPr="001C1EBB" w:rsidRDefault="009E0916">
      <w:pPr>
        <w:jc w:val="center"/>
        <w:rPr>
          <w:lang w:val="es-ES"/>
        </w:rPr>
      </w:pPr>
      <w:r w:rsidRPr="001C1EBB">
        <w:rPr>
          <w:lang w:val="es-ES"/>
        </w:rPr>
        <w:t>Carlos Esneider Quiroga Rodríguez, Daniel Eduardo Pardo Cubides</w:t>
      </w:r>
      <w:r w:rsidRPr="001C1EBB">
        <w:rPr>
          <w:lang w:val="es-ES"/>
        </w:rPr>
        <w:t xml:space="preserve">, Henry Daniel </w:t>
      </w:r>
      <w:r w:rsidR="001C1EBB" w:rsidRPr="001C1EBB">
        <w:rPr>
          <w:lang w:val="es-ES"/>
        </w:rPr>
        <w:t xml:space="preserve">Pérez </w:t>
      </w:r>
      <w:r w:rsidR="001C1EBB">
        <w:rPr>
          <w:lang w:val="es-ES"/>
        </w:rPr>
        <w:t>Cuestas</w:t>
      </w:r>
      <w:r w:rsidRPr="001C1EBB">
        <w:rPr>
          <w:lang w:val="es-ES"/>
        </w:rPr>
        <w:t xml:space="preserve"> </w:t>
      </w:r>
    </w:p>
    <w:p w:rsidR="00424856" w:rsidRPr="001C1EBB" w:rsidRDefault="00424856">
      <w:pPr>
        <w:jc w:val="center"/>
        <w:rPr>
          <w:lang w:val="es-ES"/>
        </w:rPr>
      </w:pPr>
    </w:p>
    <w:p w:rsidR="00424856" w:rsidRPr="001C1EBB" w:rsidRDefault="009E0916">
      <w:pPr>
        <w:jc w:val="center"/>
        <w:rPr>
          <w:lang w:val="es-ES"/>
        </w:rPr>
      </w:pPr>
      <w:r w:rsidRPr="001C1EBB">
        <w:rPr>
          <w:lang w:val="es-ES"/>
        </w:rPr>
        <w:t>Programa de Administración Deportiva</w:t>
      </w:r>
    </w:p>
    <w:p w:rsidR="00424856" w:rsidRPr="001C1EBB" w:rsidRDefault="00424856">
      <w:pPr>
        <w:jc w:val="center"/>
        <w:rPr>
          <w:lang w:val="es-ES"/>
        </w:rPr>
      </w:pPr>
    </w:p>
    <w:p w:rsidR="00424856" w:rsidRPr="001C1EBB" w:rsidRDefault="009E0916">
      <w:pPr>
        <w:jc w:val="center"/>
        <w:rPr>
          <w:lang w:val="es-ES"/>
        </w:rPr>
      </w:pPr>
      <w:r w:rsidRPr="001C1EBB">
        <w:rPr>
          <w:lang w:val="es-ES"/>
        </w:rPr>
        <w:t>Universidad Distrital Francisco José de Caldas</w:t>
      </w:r>
    </w:p>
    <w:p w:rsidR="00424856" w:rsidRPr="001C1EBB" w:rsidRDefault="00424856">
      <w:pPr>
        <w:jc w:val="center"/>
        <w:rPr>
          <w:lang w:val="es-ES"/>
        </w:rPr>
      </w:pPr>
    </w:p>
    <w:p w:rsidR="00424856" w:rsidRPr="001C1EBB" w:rsidRDefault="009E0916">
      <w:pPr>
        <w:jc w:val="center"/>
        <w:rPr>
          <w:lang w:val="es-ES"/>
        </w:rPr>
      </w:pPr>
      <w:r w:rsidRPr="001C1EBB">
        <w:rPr>
          <w:lang w:val="es-ES"/>
        </w:rPr>
        <w:t>Metodología de la Investigación</w:t>
      </w:r>
    </w:p>
    <w:p w:rsidR="00424856" w:rsidRPr="001C1EBB" w:rsidRDefault="00424856">
      <w:pPr>
        <w:jc w:val="center"/>
        <w:rPr>
          <w:lang w:val="es-ES"/>
        </w:rPr>
      </w:pPr>
    </w:p>
    <w:p w:rsidR="00424856" w:rsidRPr="001C1EBB" w:rsidRDefault="009E0916">
      <w:pPr>
        <w:jc w:val="center"/>
        <w:rPr>
          <w:lang w:val="es-ES"/>
        </w:rPr>
      </w:pPr>
      <w:r w:rsidRPr="001C1EBB">
        <w:rPr>
          <w:lang w:val="es-ES"/>
        </w:rPr>
        <w:t>Mg. Kilderman Mendoza Moreno</w:t>
      </w:r>
    </w:p>
    <w:p w:rsidR="00424856" w:rsidRPr="001C1EBB" w:rsidRDefault="00424856">
      <w:pPr>
        <w:jc w:val="center"/>
        <w:rPr>
          <w:lang w:val="es-ES"/>
        </w:rPr>
      </w:pPr>
    </w:p>
    <w:p w:rsidR="00424856" w:rsidRPr="001C1EBB" w:rsidRDefault="001C1EBB">
      <w:pPr>
        <w:jc w:val="center"/>
        <w:rPr>
          <w:lang w:val="es-ES"/>
        </w:rPr>
      </w:pPr>
      <w:r>
        <w:rPr>
          <w:lang w:val="es-ES"/>
        </w:rPr>
        <w:t xml:space="preserve">30 de </w:t>
      </w:r>
      <w:r w:rsidR="009E0916" w:rsidRPr="001C1EBB">
        <w:rPr>
          <w:lang w:val="es-ES"/>
        </w:rPr>
        <w:t>Septiembre</w:t>
      </w:r>
      <w:r>
        <w:rPr>
          <w:lang w:val="es-ES"/>
        </w:rPr>
        <w:t xml:space="preserve"> </w:t>
      </w:r>
      <w:r w:rsidR="009E0916" w:rsidRPr="001C1EBB">
        <w:rPr>
          <w:lang w:val="es-ES"/>
        </w:rPr>
        <w:t>de 2026</w:t>
      </w:r>
      <w:bookmarkStart w:id="0" w:name="_GoBack"/>
      <w:bookmarkEnd w:id="0"/>
    </w:p>
    <w:p w:rsidR="00424856" w:rsidRPr="001C1EBB" w:rsidRDefault="009E0916">
      <w:pPr>
        <w:rPr>
          <w:lang w:val="es-ES"/>
        </w:rPr>
      </w:pPr>
      <w:r w:rsidRPr="001C1EBB">
        <w:rPr>
          <w:lang w:val="es-ES"/>
        </w:rPr>
        <w:br w:type="page"/>
      </w:r>
    </w:p>
    <w:p w:rsidR="00424856" w:rsidRPr="001C1EBB" w:rsidRDefault="009E0916">
      <w:pPr>
        <w:pStyle w:val="Ttulo1"/>
        <w:jc w:val="center"/>
        <w:rPr>
          <w:lang w:val="es-ES"/>
        </w:rPr>
      </w:pPr>
      <w:bookmarkStart w:id="1" w:name="_TocG8_000"/>
      <w:bookmarkEnd w:id="1"/>
      <w:r w:rsidRPr="001C1EBB">
        <w:rPr>
          <w:lang w:val="es-ES"/>
        </w:rPr>
        <w:lastRenderedPageBreak/>
        <w:t>Dedicatoria</w:t>
      </w:r>
    </w:p>
    <w:p w:rsidR="00424856" w:rsidRPr="001C1EBB" w:rsidRDefault="009E0916">
      <w:pPr>
        <w:ind w:firstLine="720"/>
        <w:rPr>
          <w:lang w:val="es-ES"/>
        </w:rPr>
      </w:pPr>
      <w:r w:rsidRPr="001C1EBB">
        <w:rPr>
          <w:lang w:val="es-ES"/>
        </w:rPr>
        <w:t xml:space="preserve">Dedicamos este proyecto, en primer lugar, a nuestras familias, por su apoyo, confianza y acompañamiento durante </w:t>
      </w:r>
      <w:r w:rsidRPr="001C1EBB">
        <w:rPr>
          <w:lang w:val="es-ES"/>
        </w:rPr>
        <w:t>nuestra formación académica. A nuestros docentes, por compartir sus conocimientos, orientarnos y motivarnos a continuar aprendiendo y creciendo profesionalmente.</w:t>
      </w:r>
    </w:p>
    <w:p w:rsidR="00424856" w:rsidRPr="001C1EBB" w:rsidRDefault="009E0916">
      <w:pPr>
        <w:ind w:firstLine="720"/>
        <w:rPr>
          <w:lang w:val="es-ES"/>
        </w:rPr>
      </w:pPr>
      <w:r w:rsidRPr="001C1EBB">
        <w:rPr>
          <w:lang w:val="es-ES"/>
        </w:rPr>
        <w:t>También dedicamos este trabajo a nuestros compañeros, quienes hicieron parte de este proceso y</w:t>
      </w:r>
      <w:r w:rsidRPr="001C1EBB">
        <w:rPr>
          <w:lang w:val="es-ES"/>
        </w:rPr>
        <w:t xml:space="preserve"> contribuyeron, directa o indirectamente, a que este proyecto pudiera desarrollarse. Finalmente, lo dedicamos a nosotros mismos, por el esfuerzo, la responsabilidad y la perseverancia que nos permitieron llevar a cabo este proyecto y superar los retos enco</w:t>
      </w:r>
      <w:r w:rsidRPr="001C1EBB">
        <w:rPr>
          <w:lang w:val="es-ES"/>
        </w:rPr>
        <w:t>ntrados durante el proceso.</w:t>
      </w:r>
    </w:p>
    <w:p w:rsidR="00424856" w:rsidRPr="001C1EBB" w:rsidRDefault="009E0916">
      <w:pPr>
        <w:rPr>
          <w:lang w:val="es-ES"/>
        </w:rPr>
      </w:pPr>
      <w:r w:rsidRPr="001C1EBB">
        <w:rPr>
          <w:lang w:val="es-ES"/>
        </w:rPr>
        <w:br w:type="page"/>
      </w:r>
    </w:p>
    <w:p w:rsidR="00424856" w:rsidRPr="001C1EBB" w:rsidRDefault="009E0916">
      <w:pPr>
        <w:pStyle w:val="Ttulo1"/>
        <w:jc w:val="center"/>
        <w:rPr>
          <w:lang w:val="es-ES"/>
        </w:rPr>
      </w:pPr>
      <w:bookmarkStart w:id="2" w:name="_TocG8_001"/>
      <w:bookmarkEnd w:id="2"/>
      <w:r w:rsidRPr="001C1EBB">
        <w:rPr>
          <w:lang w:val="es-ES"/>
        </w:rPr>
        <w:lastRenderedPageBreak/>
        <w:t>Agradecimientos</w:t>
      </w:r>
    </w:p>
    <w:p w:rsidR="00424856" w:rsidRPr="001C1EBB" w:rsidRDefault="009E0916">
      <w:pPr>
        <w:ind w:firstLine="720"/>
        <w:rPr>
          <w:lang w:val="es-ES"/>
        </w:rPr>
      </w:pPr>
      <w:r w:rsidRPr="001C1EBB">
        <w:rPr>
          <w:lang w:val="es-ES"/>
        </w:rPr>
        <w:t>De manera especial, agradecemos a nuestro asesor y docente, Kilderman Mendoza Moreno, por su orientación, disposición y por compartir sus conocimientos, los cuales fueron fundamentales para el desarrollo y culm</w:t>
      </w:r>
      <w:r w:rsidRPr="001C1EBB">
        <w:rPr>
          <w:lang w:val="es-ES"/>
        </w:rPr>
        <w:t>inación de este proyecto.</w:t>
      </w:r>
    </w:p>
    <w:p w:rsidR="00424856" w:rsidRPr="001C1EBB" w:rsidRDefault="009E0916">
      <w:pPr>
        <w:ind w:firstLine="720"/>
        <w:rPr>
          <w:lang w:val="es-ES"/>
        </w:rPr>
      </w:pPr>
      <w:r w:rsidRPr="001C1EBB">
        <w:rPr>
          <w:lang w:val="es-ES"/>
        </w:rPr>
        <w:t>A nuestras familias, por su apoyo constante, confianza y motivación durante este proceso, así como por impulsarnos a continuar trabajando por nuestras metas y superar los diferentes retos que se presentaron. A la Universidad Distr</w:t>
      </w:r>
      <w:r w:rsidRPr="001C1EBB">
        <w:rPr>
          <w:lang w:val="es-ES"/>
        </w:rPr>
        <w:t>ital Francisco José de Caldas, por contribuir a nuestra formación académica y profesional, brindándonos los conocimientos y herramientas necesarios para llevar a cabo este trabajo.</w:t>
      </w:r>
    </w:p>
    <w:p w:rsidR="00424856" w:rsidRPr="001C1EBB" w:rsidRDefault="009E0916">
      <w:pPr>
        <w:ind w:firstLine="720"/>
        <w:rPr>
          <w:lang w:val="es-ES"/>
        </w:rPr>
      </w:pPr>
      <w:r w:rsidRPr="001C1EBB">
        <w:rPr>
          <w:lang w:val="es-ES"/>
        </w:rPr>
        <w:t>Finalmente, y de manera muy especial, agradecemos a Dios por acompañarnos d</w:t>
      </w:r>
      <w:r w:rsidRPr="001C1EBB">
        <w:rPr>
          <w:lang w:val="es-ES"/>
        </w:rPr>
        <w:t>urante este proceso y brindarnos la fortaleza, sabiduría y perseverancia necesarias para culminar satisfactoriamente este proyecto.</w:t>
      </w:r>
    </w:p>
    <w:p w:rsidR="00424856" w:rsidRPr="001C1EBB" w:rsidRDefault="009E0916">
      <w:pPr>
        <w:rPr>
          <w:lang w:val="es-ES"/>
        </w:rPr>
      </w:pPr>
      <w:r w:rsidRPr="001C1EBB">
        <w:rPr>
          <w:lang w:val="es-ES"/>
        </w:rPr>
        <w:br w:type="page"/>
      </w:r>
    </w:p>
    <w:sdt>
      <w:sdtPr>
        <w:id w:val="1455557967"/>
        <w:docPartObj>
          <w:docPartGallery w:val="Table of Contents"/>
          <w:docPartUnique/>
        </w:docPartObj>
      </w:sdtPr>
      <w:sdtEndPr/>
      <w:sdtContent>
        <w:p w:rsidR="00424856" w:rsidRDefault="009E0916">
          <w:pPr>
            <w:jc w:val="center"/>
          </w:pPr>
          <w:r>
            <w:rPr>
              <w:b/>
              <w:bCs/>
              <w:color w:val="000000"/>
            </w:rPr>
            <w:t>Tabla de contenido</w:t>
          </w:r>
        </w:p>
        <w:p w:rsidR="00424856" w:rsidRDefault="009E0916">
          <w:pPr>
            <w:widowControl w:val="0"/>
            <w:tabs>
              <w:tab w:val="right" w:leader="dot" w:pos="9350"/>
            </w:tabs>
            <w:spacing w:before="60" w:line="240" w:lineRule="auto"/>
          </w:pPr>
          <w:r>
            <w:fldChar w:fldCharType="begin"/>
          </w:r>
          <w:r>
            <w:instrText xml:space="preserve"> TOC \h \u \z \t "Heading 1,1,Heading 2,2,"</w:instrText>
          </w:r>
          <w:r>
            <w:fldChar w:fldCharType="separate"/>
          </w:r>
          <w:hyperlink w:anchor="_TocG8_000" w:history="1">
            <w:r>
              <w:rPr>
                <w:b/>
                <w:bCs/>
                <w:color w:val="000000"/>
              </w:rPr>
              <w:t>Dedicatoria</w:t>
            </w:r>
            <w:r>
              <w:rPr>
                <w:b/>
                <w:bCs/>
                <w:color w:val="000000"/>
              </w:rPr>
              <w:tab/>
              <w:t>2</w:t>
            </w:r>
          </w:hyperlink>
        </w:p>
        <w:p w:rsidR="00424856" w:rsidRDefault="009E0916">
          <w:pPr>
            <w:widowControl w:val="0"/>
            <w:tabs>
              <w:tab w:val="right" w:leader="dot" w:pos="9350"/>
            </w:tabs>
            <w:spacing w:before="60" w:line="240" w:lineRule="auto"/>
          </w:pPr>
          <w:hyperlink w:anchor="_TocG8_001" w:history="1">
            <w:r>
              <w:rPr>
                <w:b/>
                <w:bCs/>
                <w:color w:val="000000"/>
              </w:rPr>
              <w:t>Agradecimientos</w:t>
            </w:r>
            <w:r>
              <w:rPr>
                <w:b/>
                <w:bCs/>
                <w:color w:val="000000"/>
              </w:rPr>
              <w:tab/>
              <w:t>3</w:t>
            </w:r>
          </w:hyperlink>
        </w:p>
        <w:p w:rsidR="00424856" w:rsidRDefault="009E0916">
          <w:pPr>
            <w:widowControl w:val="0"/>
            <w:tabs>
              <w:tab w:val="right" w:leader="dot" w:pos="9350"/>
            </w:tabs>
            <w:spacing w:before="60" w:line="240" w:lineRule="auto"/>
          </w:pPr>
          <w:hyperlink w:anchor="_TocG8_002" w:history="1">
            <w:r>
              <w:rPr>
                <w:b/>
                <w:bCs/>
                <w:color w:val="000000"/>
              </w:rPr>
              <w:t>Lista de Tablas</w:t>
            </w:r>
            <w:r>
              <w:rPr>
                <w:b/>
                <w:bCs/>
                <w:color w:val="000000"/>
              </w:rPr>
              <w:tab/>
              <w:t>5</w:t>
            </w:r>
          </w:hyperlink>
        </w:p>
        <w:p w:rsidR="00424856" w:rsidRDefault="009E0916">
          <w:pPr>
            <w:widowControl w:val="0"/>
            <w:tabs>
              <w:tab w:val="right" w:leader="dot" w:pos="9350"/>
            </w:tabs>
            <w:spacing w:before="60" w:line="240" w:lineRule="auto"/>
          </w:pPr>
          <w:hyperlink w:anchor="_TocG8_003" w:history="1">
            <w:r>
              <w:rPr>
                <w:b/>
                <w:bCs/>
                <w:color w:val="000000"/>
              </w:rPr>
              <w:t>Glosario</w:t>
            </w:r>
            <w:r>
              <w:rPr>
                <w:b/>
                <w:bCs/>
                <w:color w:val="000000"/>
              </w:rPr>
              <w:tab/>
              <w:t>6</w:t>
            </w:r>
          </w:hyperlink>
        </w:p>
        <w:p w:rsidR="00424856" w:rsidRDefault="009E0916">
          <w:pPr>
            <w:widowControl w:val="0"/>
            <w:tabs>
              <w:tab w:val="right" w:leader="dot" w:pos="9350"/>
            </w:tabs>
            <w:spacing w:before="60" w:line="240" w:lineRule="auto"/>
          </w:pPr>
          <w:hyperlink w:anchor="_TocG8_004" w:history="1">
            <w:r>
              <w:rPr>
                <w:b/>
                <w:bCs/>
                <w:color w:val="000000"/>
              </w:rPr>
              <w:t>Resumen</w:t>
            </w:r>
            <w:r>
              <w:rPr>
                <w:b/>
                <w:bCs/>
                <w:color w:val="000000"/>
              </w:rPr>
              <w:tab/>
              <w:t>8</w:t>
            </w:r>
          </w:hyperlink>
        </w:p>
        <w:p w:rsidR="00424856" w:rsidRDefault="009E0916">
          <w:pPr>
            <w:widowControl w:val="0"/>
            <w:tabs>
              <w:tab w:val="right" w:leader="dot" w:pos="9350"/>
            </w:tabs>
            <w:spacing w:before="60" w:line="240" w:lineRule="auto"/>
          </w:pPr>
          <w:hyperlink w:anchor="_TocG8_005" w:history="1">
            <w:r>
              <w:rPr>
                <w:b/>
                <w:bCs/>
                <w:color w:val="000000"/>
              </w:rPr>
              <w:t>Abstract</w:t>
            </w:r>
            <w:r>
              <w:rPr>
                <w:b/>
                <w:bCs/>
                <w:color w:val="000000"/>
              </w:rPr>
              <w:tab/>
              <w:t>10</w:t>
            </w:r>
          </w:hyperlink>
        </w:p>
        <w:p w:rsidR="00424856" w:rsidRDefault="009E0916">
          <w:pPr>
            <w:widowControl w:val="0"/>
            <w:tabs>
              <w:tab w:val="right" w:leader="dot" w:pos="9350"/>
            </w:tabs>
            <w:spacing w:before="60" w:line="240" w:lineRule="auto"/>
          </w:pPr>
          <w:hyperlink w:anchor="_TocG8_006" w:history="1">
            <w:r>
              <w:rPr>
                <w:b/>
                <w:bCs/>
                <w:color w:val="000000"/>
              </w:rPr>
              <w:t>Introducc</w:t>
            </w:r>
            <w:r>
              <w:rPr>
                <w:b/>
                <w:bCs/>
                <w:color w:val="000000"/>
              </w:rPr>
              <w:t>ión</w:t>
            </w:r>
            <w:r>
              <w:rPr>
                <w:b/>
                <w:bCs/>
                <w:color w:val="000000"/>
              </w:rPr>
              <w:tab/>
              <w:t>12</w:t>
            </w:r>
          </w:hyperlink>
        </w:p>
        <w:p w:rsidR="00424856" w:rsidRDefault="009E0916">
          <w:pPr>
            <w:widowControl w:val="0"/>
            <w:tabs>
              <w:tab w:val="right" w:leader="dot" w:pos="9350"/>
            </w:tabs>
            <w:spacing w:before="60" w:line="240" w:lineRule="auto"/>
          </w:pPr>
          <w:hyperlink w:anchor="_TocG8_007" w:history="1">
            <w:r>
              <w:rPr>
                <w:b/>
                <w:bCs/>
                <w:color w:val="000000"/>
              </w:rPr>
              <w:t>Descripción del Problema</w:t>
            </w:r>
            <w:r>
              <w:rPr>
                <w:b/>
                <w:bCs/>
                <w:color w:val="000000"/>
              </w:rPr>
              <w:tab/>
              <w:t>14</w:t>
            </w:r>
          </w:hyperlink>
        </w:p>
        <w:p w:rsidR="00424856" w:rsidRDefault="009E0916">
          <w:pPr>
            <w:widowControl w:val="0"/>
            <w:tabs>
              <w:tab w:val="right" w:leader="dot" w:pos="9350"/>
            </w:tabs>
            <w:spacing w:before="60" w:line="240" w:lineRule="auto"/>
            <w:ind w:left="360"/>
          </w:pPr>
          <w:hyperlink w:anchor="_TocG8_008" w:history="1">
            <w:r>
              <w:rPr>
                <w:color w:val="000000"/>
              </w:rPr>
              <w:t>Contextualización en el Nivel Internacional</w:t>
            </w:r>
            <w:r>
              <w:rPr>
                <w:color w:val="000000"/>
              </w:rPr>
              <w:tab/>
              <w:t>14</w:t>
            </w:r>
          </w:hyperlink>
        </w:p>
        <w:p w:rsidR="00424856" w:rsidRDefault="009E0916">
          <w:pPr>
            <w:widowControl w:val="0"/>
            <w:tabs>
              <w:tab w:val="right" w:leader="dot" w:pos="9350"/>
            </w:tabs>
            <w:spacing w:before="60" w:line="240" w:lineRule="auto"/>
            <w:ind w:left="360"/>
          </w:pPr>
          <w:hyperlink w:anchor="_TocG8_009" w:history="1">
            <w:r>
              <w:rPr>
                <w:color w:val="000000"/>
              </w:rPr>
              <w:t>Contextualización en el Nivel Regional Latinoamericano</w:t>
            </w:r>
            <w:r>
              <w:rPr>
                <w:color w:val="000000"/>
              </w:rPr>
              <w:tab/>
              <w:t>15</w:t>
            </w:r>
          </w:hyperlink>
        </w:p>
        <w:p w:rsidR="00424856" w:rsidRDefault="009E0916">
          <w:pPr>
            <w:widowControl w:val="0"/>
            <w:tabs>
              <w:tab w:val="right" w:leader="dot" w:pos="9350"/>
            </w:tabs>
            <w:spacing w:before="60" w:line="240" w:lineRule="auto"/>
            <w:ind w:left="360"/>
          </w:pPr>
          <w:hyperlink w:anchor="_TocG8_010" w:history="1">
            <w:r>
              <w:rPr>
                <w:color w:val="000000"/>
              </w:rPr>
              <w:t>Contextualización en el Nivel Nacional</w:t>
            </w:r>
            <w:r>
              <w:rPr>
                <w:color w:val="000000"/>
              </w:rPr>
              <w:tab/>
              <w:t>16</w:t>
            </w:r>
          </w:hyperlink>
        </w:p>
        <w:p w:rsidR="00424856" w:rsidRDefault="009E0916">
          <w:pPr>
            <w:widowControl w:val="0"/>
            <w:tabs>
              <w:tab w:val="right" w:leader="dot" w:pos="9350"/>
            </w:tabs>
            <w:spacing w:before="60" w:line="240" w:lineRule="auto"/>
            <w:ind w:left="360"/>
          </w:pPr>
          <w:hyperlink w:anchor="_TocG8_011" w:history="1">
            <w:r>
              <w:rPr>
                <w:color w:val="000000"/>
              </w:rPr>
              <w:t>Contextualización en el Nivel Local</w:t>
            </w:r>
            <w:r>
              <w:rPr>
                <w:color w:val="000000"/>
              </w:rPr>
              <w:tab/>
              <w:t>19</w:t>
            </w:r>
          </w:hyperlink>
        </w:p>
        <w:p w:rsidR="00424856" w:rsidRDefault="009E0916">
          <w:pPr>
            <w:widowControl w:val="0"/>
            <w:tabs>
              <w:tab w:val="right" w:leader="dot" w:pos="9350"/>
            </w:tabs>
            <w:spacing w:before="60" w:line="240" w:lineRule="auto"/>
            <w:ind w:left="360"/>
          </w:pPr>
          <w:hyperlink w:anchor="_TocG8_012" w:history="1">
            <w:r>
              <w:rPr>
                <w:color w:val="000000"/>
              </w:rPr>
              <w:t>Magnitud del Problema</w:t>
            </w:r>
            <w:r>
              <w:rPr>
                <w:color w:val="000000"/>
              </w:rPr>
              <w:tab/>
              <w:t>20</w:t>
            </w:r>
          </w:hyperlink>
        </w:p>
        <w:p w:rsidR="00424856" w:rsidRDefault="009E0916">
          <w:pPr>
            <w:widowControl w:val="0"/>
            <w:tabs>
              <w:tab w:val="right" w:leader="dot" w:pos="9350"/>
            </w:tabs>
            <w:spacing w:before="60" w:line="240" w:lineRule="auto"/>
            <w:ind w:left="360"/>
          </w:pPr>
          <w:hyperlink w:anchor="_TocG8_013" w:history="1">
            <w:r>
              <w:rPr>
                <w:color w:val="000000"/>
              </w:rPr>
              <w:t>Actores Afectados y Consecuencia</w:t>
            </w:r>
            <w:r>
              <w:rPr>
                <w:color w:val="000000"/>
              </w:rPr>
              <w:t>s</w:t>
            </w:r>
            <w:r>
              <w:rPr>
                <w:color w:val="000000"/>
              </w:rPr>
              <w:tab/>
              <w:t>22</w:t>
            </w:r>
          </w:hyperlink>
        </w:p>
        <w:p w:rsidR="00424856" w:rsidRDefault="009E0916">
          <w:pPr>
            <w:widowControl w:val="0"/>
            <w:tabs>
              <w:tab w:val="right" w:leader="dot" w:pos="9350"/>
            </w:tabs>
            <w:spacing w:before="60" w:line="240" w:lineRule="auto"/>
            <w:ind w:left="360"/>
          </w:pPr>
          <w:hyperlink w:anchor="_TocG8_014" w:history="1">
            <w:r>
              <w:rPr>
                <w:color w:val="000000"/>
              </w:rPr>
              <w:t>Vacío de Conocimiento</w:t>
            </w:r>
            <w:r>
              <w:rPr>
                <w:color w:val="000000"/>
              </w:rPr>
              <w:tab/>
              <w:t>23</w:t>
            </w:r>
          </w:hyperlink>
        </w:p>
        <w:p w:rsidR="00424856" w:rsidRDefault="009E0916">
          <w:pPr>
            <w:widowControl w:val="0"/>
            <w:tabs>
              <w:tab w:val="right" w:leader="dot" w:pos="9350"/>
            </w:tabs>
            <w:spacing w:before="60" w:line="240" w:lineRule="auto"/>
            <w:ind w:left="360"/>
          </w:pPr>
          <w:hyperlink w:anchor="_TocG8_015" w:history="1">
            <w:r>
              <w:rPr>
                <w:color w:val="000000"/>
              </w:rPr>
              <w:t>Delimitación del Problema</w:t>
            </w:r>
            <w:r>
              <w:rPr>
                <w:color w:val="000000"/>
              </w:rPr>
              <w:tab/>
              <w:t>23</w:t>
            </w:r>
          </w:hyperlink>
        </w:p>
        <w:p w:rsidR="00424856" w:rsidRDefault="009E0916">
          <w:pPr>
            <w:widowControl w:val="0"/>
            <w:tabs>
              <w:tab w:val="right" w:leader="dot" w:pos="9350"/>
            </w:tabs>
            <w:spacing w:before="60" w:line="240" w:lineRule="auto"/>
          </w:pPr>
          <w:hyperlink w:anchor="_TocG8_016" w:history="1">
            <w:r>
              <w:rPr>
                <w:b/>
                <w:bCs/>
                <w:color w:val="000000"/>
              </w:rPr>
              <w:t>Pregunta de Investigación</w:t>
            </w:r>
            <w:r>
              <w:rPr>
                <w:b/>
                <w:bCs/>
                <w:color w:val="000000"/>
              </w:rPr>
              <w:tab/>
              <w:t>25</w:t>
            </w:r>
          </w:hyperlink>
        </w:p>
        <w:p w:rsidR="00424856" w:rsidRDefault="009E0916">
          <w:pPr>
            <w:widowControl w:val="0"/>
            <w:tabs>
              <w:tab w:val="right" w:leader="dot" w:pos="9350"/>
            </w:tabs>
            <w:spacing w:before="60" w:line="240" w:lineRule="auto"/>
          </w:pPr>
          <w:hyperlink w:anchor="_TocG8_017" w:history="1">
            <w:r>
              <w:rPr>
                <w:b/>
                <w:bCs/>
                <w:color w:val="000000"/>
              </w:rPr>
              <w:t>Objetivos</w:t>
            </w:r>
            <w:r>
              <w:rPr>
                <w:b/>
                <w:bCs/>
                <w:color w:val="000000"/>
              </w:rPr>
              <w:tab/>
              <w:t>25</w:t>
            </w:r>
          </w:hyperlink>
        </w:p>
        <w:p w:rsidR="00424856" w:rsidRDefault="009E0916">
          <w:pPr>
            <w:widowControl w:val="0"/>
            <w:tabs>
              <w:tab w:val="right" w:leader="dot" w:pos="9350"/>
            </w:tabs>
            <w:spacing w:before="60" w:line="240" w:lineRule="auto"/>
            <w:ind w:left="360"/>
          </w:pPr>
          <w:hyperlink w:anchor="_TocG8_018" w:history="1">
            <w:r>
              <w:rPr>
                <w:color w:val="000000"/>
              </w:rPr>
              <w:t>Objet</w:t>
            </w:r>
            <w:r>
              <w:rPr>
                <w:color w:val="000000"/>
              </w:rPr>
              <w:t>ivo General</w:t>
            </w:r>
            <w:r>
              <w:rPr>
                <w:color w:val="000000"/>
              </w:rPr>
              <w:tab/>
              <w:t>25</w:t>
            </w:r>
          </w:hyperlink>
        </w:p>
        <w:p w:rsidR="00424856" w:rsidRDefault="009E0916">
          <w:pPr>
            <w:widowControl w:val="0"/>
            <w:tabs>
              <w:tab w:val="right" w:leader="dot" w:pos="9350"/>
            </w:tabs>
            <w:spacing w:before="60" w:line="240" w:lineRule="auto"/>
            <w:ind w:left="360"/>
          </w:pPr>
          <w:hyperlink w:anchor="_TocG8_019" w:history="1">
            <w:r>
              <w:rPr>
                <w:color w:val="000000"/>
              </w:rPr>
              <w:t>Objetivos Específicos</w:t>
            </w:r>
            <w:r>
              <w:rPr>
                <w:color w:val="000000"/>
              </w:rPr>
              <w:tab/>
              <w:t>25</w:t>
            </w:r>
          </w:hyperlink>
        </w:p>
        <w:p w:rsidR="00424856" w:rsidRDefault="009E0916">
          <w:pPr>
            <w:widowControl w:val="0"/>
            <w:tabs>
              <w:tab w:val="right" w:leader="dot" w:pos="9350"/>
            </w:tabs>
            <w:spacing w:before="60" w:line="240" w:lineRule="auto"/>
          </w:pPr>
          <w:hyperlink w:anchor="_TocG8_020" w:history="1">
            <w:r>
              <w:rPr>
                <w:b/>
                <w:bCs/>
                <w:color w:val="000000"/>
              </w:rPr>
              <w:t>Justificación</w:t>
            </w:r>
            <w:r>
              <w:rPr>
                <w:b/>
                <w:bCs/>
                <w:color w:val="000000"/>
              </w:rPr>
              <w:tab/>
              <w:t>25</w:t>
            </w:r>
          </w:hyperlink>
        </w:p>
        <w:p w:rsidR="00424856" w:rsidRDefault="009E0916">
          <w:pPr>
            <w:widowControl w:val="0"/>
            <w:tabs>
              <w:tab w:val="right" w:leader="dot" w:pos="9350"/>
            </w:tabs>
            <w:spacing w:before="60" w:line="240" w:lineRule="auto"/>
            <w:ind w:left="360"/>
          </w:pPr>
          <w:hyperlink w:anchor="_TocG8_021" w:history="1">
            <w:r>
              <w:rPr>
                <w:color w:val="000000"/>
              </w:rPr>
              <w:t>Pertinencia Teórica</w:t>
            </w:r>
            <w:r>
              <w:rPr>
                <w:color w:val="000000"/>
              </w:rPr>
              <w:tab/>
              <w:t>26</w:t>
            </w:r>
          </w:hyperlink>
        </w:p>
        <w:p w:rsidR="00424856" w:rsidRDefault="009E0916">
          <w:pPr>
            <w:widowControl w:val="0"/>
            <w:tabs>
              <w:tab w:val="right" w:leader="dot" w:pos="9350"/>
            </w:tabs>
            <w:spacing w:before="60" w:line="240" w:lineRule="auto"/>
            <w:ind w:left="360"/>
          </w:pPr>
          <w:hyperlink w:anchor="_TocG8_022" w:history="1">
            <w:r>
              <w:rPr>
                <w:color w:val="000000"/>
              </w:rPr>
              <w:t>Pertinencia Social</w:t>
            </w:r>
            <w:r>
              <w:rPr>
                <w:color w:val="000000"/>
              </w:rPr>
              <w:tab/>
              <w:t>26</w:t>
            </w:r>
          </w:hyperlink>
        </w:p>
        <w:p w:rsidR="00424856" w:rsidRDefault="009E0916">
          <w:pPr>
            <w:widowControl w:val="0"/>
            <w:tabs>
              <w:tab w:val="right" w:leader="dot" w:pos="9350"/>
            </w:tabs>
            <w:spacing w:before="60" w:line="240" w:lineRule="auto"/>
            <w:ind w:left="360"/>
          </w:pPr>
          <w:hyperlink w:anchor="_TocG8_023" w:history="1">
            <w:r>
              <w:rPr>
                <w:color w:val="000000"/>
              </w:rPr>
              <w:t>Pertinencia Práctica</w:t>
            </w:r>
            <w:r>
              <w:rPr>
                <w:color w:val="000000"/>
              </w:rPr>
              <w:tab/>
              <w:t>27</w:t>
            </w:r>
          </w:hyperlink>
        </w:p>
        <w:p w:rsidR="00424856" w:rsidRDefault="009E0916">
          <w:pPr>
            <w:widowControl w:val="0"/>
            <w:tabs>
              <w:tab w:val="right" w:leader="dot" w:pos="9350"/>
            </w:tabs>
            <w:spacing w:before="60" w:line="240" w:lineRule="auto"/>
            <w:ind w:left="360"/>
          </w:pPr>
          <w:hyperlink w:anchor="_TocG8_024" w:history="1">
            <w:r>
              <w:rPr>
                <w:color w:val="000000"/>
              </w:rPr>
              <w:t>Pertinencia Disciplinar</w:t>
            </w:r>
            <w:r>
              <w:rPr>
                <w:color w:val="000000"/>
              </w:rPr>
              <w:tab/>
              <w:t>28</w:t>
            </w:r>
          </w:hyperlink>
        </w:p>
        <w:p w:rsidR="00424856" w:rsidRDefault="009E0916">
          <w:pPr>
            <w:widowControl w:val="0"/>
            <w:tabs>
              <w:tab w:val="right" w:leader="dot" w:pos="9350"/>
            </w:tabs>
            <w:spacing w:before="60" w:line="240" w:lineRule="auto"/>
            <w:ind w:left="360"/>
          </w:pPr>
          <w:hyperlink w:anchor="_TocG8_025" w:history="1">
            <w:r>
              <w:rPr>
                <w:color w:val="000000"/>
              </w:rPr>
              <w:t>Viabilidad</w:t>
            </w:r>
            <w:r>
              <w:rPr>
                <w:color w:val="000000"/>
              </w:rPr>
              <w:tab/>
              <w:t>28</w:t>
            </w:r>
          </w:hyperlink>
        </w:p>
        <w:p w:rsidR="00424856" w:rsidRDefault="009E0916">
          <w:pPr>
            <w:widowControl w:val="0"/>
            <w:tabs>
              <w:tab w:val="right" w:leader="dot" w:pos="9350"/>
            </w:tabs>
            <w:spacing w:before="60" w:line="240" w:lineRule="auto"/>
          </w:pPr>
          <w:hyperlink w:anchor="_TocG8_026" w:history="1">
            <w:r>
              <w:rPr>
                <w:b/>
                <w:bCs/>
                <w:color w:val="000000"/>
              </w:rPr>
              <w:t>Antecedentes</w:t>
            </w:r>
            <w:r>
              <w:rPr>
                <w:b/>
                <w:bCs/>
                <w:color w:val="000000"/>
              </w:rPr>
              <w:tab/>
              <w:t>30</w:t>
            </w:r>
          </w:hyperlink>
        </w:p>
        <w:p w:rsidR="00424856" w:rsidRDefault="009E0916">
          <w:pPr>
            <w:widowControl w:val="0"/>
            <w:tabs>
              <w:tab w:val="right" w:leader="dot" w:pos="9350"/>
            </w:tabs>
            <w:spacing w:before="60" w:line="240" w:lineRule="auto"/>
            <w:ind w:left="360"/>
          </w:pPr>
          <w:hyperlink w:anchor="_TocG8_027" w:history="1">
            <w:r>
              <w:rPr>
                <w:color w:val="000000"/>
              </w:rPr>
              <w:t>Antecedentes Internacionales: Economía del Deporte Femenino y Brecha Salarial</w:t>
            </w:r>
            <w:r>
              <w:rPr>
                <w:color w:val="000000"/>
              </w:rPr>
              <w:tab/>
              <w:t>30</w:t>
            </w:r>
          </w:hyperlink>
        </w:p>
        <w:p w:rsidR="00424856" w:rsidRDefault="009E0916">
          <w:pPr>
            <w:widowControl w:val="0"/>
            <w:tabs>
              <w:tab w:val="right" w:leader="dot" w:pos="9350"/>
            </w:tabs>
            <w:spacing w:before="60" w:line="240" w:lineRule="auto"/>
            <w:ind w:left="360"/>
          </w:pPr>
          <w:hyperlink w:anchor="_TocG8_028" w:history="1">
            <w:r>
              <w:rPr>
                <w:color w:val="000000"/>
              </w:rPr>
              <w:t>Antecedentes Nacionales y Regionales: El Caso Colombiano</w:t>
            </w:r>
            <w:r>
              <w:rPr>
                <w:color w:val="000000"/>
              </w:rPr>
              <w:tab/>
              <w:t>31</w:t>
            </w:r>
          </w:hyperlink>
        </w:p>
        <w:p w:rsidR="00424856" w:rsidRDefault="009E0916">
          <w:pPr>
            <w:widowControl w:val="0"/>
            <w:tabs>
              <w:tab w:val="right" w:leader="dot" w:pos="9350"/>
            </w:tabs>
            <w:spacing w:before="60" w:line="240" w:lineRule="auto"/>
            <w:ind w:left="360"/>
          </w:pPr>
          <w:hyperlink w:anchor="_TocG8_029" w:history="1">
            <w:r>
              <w:rPr>
                <w:color w:val="000000"/>
              </w:rPr>
              <w:t>Síntesis del Vacío de Conocimiento</w:t>
            </w:r>
            <w:r>
              <w:rPr>
                <w:color w:val="000000"/>
              </w:rPr>
              <w:tab/>
              <w:t>33</w:t>
            </w:r>
          </w:hyperlink>
        </w:p>
        <w:p w:rsidR="00424856" w:rsidRDefault="009E0916">
          <w:pPr>
            <w:widowControl w:val="0"/>
            <w:tabs>
              <w:tab w:val="right" w:leader="dot" w:pos="9350"/>
            </w:tabs>
            <w:spacing w:before="60" w:line="240" w:lineRule="auto"/>
          </w:pPr>
          <w:hyperlink w:anchor="_TocG8_030" w:history="1">
            <w:r>
              <w:rPr>
                <w:b/>
                <w:bCs/>
                <w:color w:val="000000"/>
              </w:rPr>
              <w:t>Referencia Teórica y Conceptual</w:t>
            </w:r>
            <w:r>
              <w:rPr>
                <w:b/>
                <w:bCs/>
                <w:color w:val="000000"/>
              </w:rPr>
              <w:tab/>
              <w:t>34</w:t>
            </w:r>
          </w:hyperlink>
        </w:p>
        <w:p w:rsidR="00424856" w:rsidRDefault="009E0916">
          <w:pPr>
            <w:widowControl w:val="0"/>
            <w:tabs>
              <w:tab w:val="right" w:leader="dot" w:pos="9350"/>
            </w:tabs>
            <w:spacing w:before="60" w:line="240" w:lineRule="auto"/>
            <w:ind w:left="360"/>
          </w:pPr>
          <w:hyperlink w:anchor="_TocG8_031" w:history="1">
            <w:r>
              <w:rPr>
                <w:color w:val="000000"/>
              </w:rPr>
              <w:t>La Economía del Deporte como Marco Interpretativo General</w:t>
            </w:r>
            <w:r>
              <w:rPr>
                <w:color w:val="000000"/>
              </w:rPr>
              <w:tab/>
              <w:t>34</w:t>
            </w:r>
          </w:hyperlink>
        </w:p>
        <w:p w:rsidR="00424856" w:rsidRDefault="009E0916">
          <w:pPr>
            <w:widowControl w:val="0"/>
            <w:tabs>
              <w:tab w:val="right" w:leader="dot" w:pos="9350"/>
            </w:tabs>
            <w:spacing w:before="60" w:line="240" w:lineRule="auto"/>
            <w:ind w:left="360"/>
          </w:pPr>
          <w:hyperlink w:anchor="_TocG8_032" w:history="1">
            <w:r>
              <w:rPr>
                <w:color w:val="000000"/>
              </w:rPr>
              <w:t>Teoría del Patrocinio Deportivo</w:t>
            </w:r>
            <w:r>
              <w:rPr>
                <w:color w:val="000000"/>
              </w:rPr>
              <w:tab/>
              <w:t>35</w:t>
            </w:r>
          </w:hyperlink>
        </w:p>
        <w:p w:rsidR="00424856" w:rsidRDefault="009E0916">
          <w:pPr>
            <w:widowControl w:val="0"/>
            <w:tabs>
              <w:tab w:val="right" w:leader="dot" w:pos="9350"/>
            </w:tabs>
            <w:spacing w:before="60" w:line="240" w:lineRule="auto"/>
            <w:ind w:left="360"/>
          </w:pPr>
          <w:hyperlink w:anchor="_TocG8_033" w:history="1">
            <w:r>
              <w:rPr>
                <w:color w:val="000000"/>
              </w:rPr>
              <w:t>Marco Conceptual: Pres</w:t>
            </w:r>
            <w:r>
              <w:rPr>
                <w:color w:val="000000"/>
              </w:rPr>
              <w:t>upuesto de Club, Brecha Económica de Género y Salario Mínimo Legal Mensual Vigente</w:t>
            </w:r>
            <w:r>
              <w:rPr>
                <w:color w:val="000000"/>
              </w:rPr>
              <w:tab/>
              <w:t>36</w:t>
            </w:r>
          </w:hyperlink>
        </w:p>
        <w:p w:rsidR="00424856" w:rsidRDefault="009E0916">
          <w:pPr>
            <w:widowControl w:val="0"/>
            <w:tabs>
              <w:tab w:val="right" w:leader="dot" w:pos="9350"/>
            </w:tabs>
            <w:spacing w:before="60" w:line="240" w:lineRule="auto"/>
            <w:ind w:left="360"/>
          </w:pPr>
          <w:hyperlink w:anchor="_TocG8_034" w:history="1">
            <w:r>
              <w:rPr>
                <w:color w:val="000000"/>
              </w:rPr>
              <w:t>Síntesis de la Referencia Teórica y su Relación con la Pregunta de Investigación</w:t>
            </w:r>
            <w:r>
              <w:rPr>
                <w:color w:val="000000"/>
              </w:rPr>
              <w:tab/>
              <w:t>37</w:t>
            </w:r>
          </w:hyperlink>
        </w:p>
        <w:p w:rsidR="00424856" w:rsidRDefault="009E0916">
          <w:pPr>
            <w:widowControl w:val="0"/>
            <w:tabs>
              <w:tab w:val="right" w:leader="dot" w:pos="9350"/>
            </w:tabs>
            <w:spacing w:before="60" w:line="240" w:lineRule="auto"/>
          </w:pPr>
          <w:hyperlink w:anchor="_TocG8_035" w:history="1">
            <w:r>
              <w:rPr>
                <w:b/>
                <w:bCs/>
                <w:color w:val="000000"/>
              </w:rPr>
              <w:t>Referencias</w:t>
            </w:r>
            <w:r>
              <w:rPr>
                <w:b/>
                <w:bCs/>
                <w:color w:val="000000"/>
              </w:rPr>
              <w:tab/>
              <w:t>38</w:t>
            </w:r>
          </w:hyperlink>
          <w:r>
            <w:fldChar w:fldCharType="end"/>
          </w:r>
        </w:p>
      </w:sdtContent>
    </w:sdt>
    <w:p w:rsidR="00424856" w:rsidRPr="001C1EBB" w:rsidRDefault="009E0916">
      <w:pPr>
        <w:pStyle w:val="Ttulo1"/>
        <w:pageBreakBefore/>
        <w:jc w:val="center"/>
        <w:rPr>
          <w:lang w:val="es-ES"/>
        </w:rPr>
      </w:pPr>
      <w:bookmarkStart w:id="3" w:name="_TocG8_002"/>
      <w:bookmarkEnd w:id="3"/>
      <w:r w:rsidRPr="001C1EBB">
        <w:rPr>
          <w:lang w:val="es-ES"/>
        </w:rPr>
        <w:lastRenderedPageBreak/>
        <w:t xml:space="preserve">Lista </w:t>
      </w:r>
      <w:r w:rsidRPr="001C1EBB">
        <w:rPr>
          <w:lang w:val="es-ES"/>
        </w:rPr>
        <w:t>de Tablas</w:t>
      </w:r>
    </w:p>
    <w:p w:rsidR="00424856" w:rsidRPr="001C1EBB" w:rsidRDefault="009E0916">
      <w:pPr>
        <w:tabs>
          <w:tab w:val="right" w:leader="dot" w:pos="9350"/>
        </w:tabs>
        <w:rPr>
          <w:lang w:val="es-ES"/>
        </w:rPr>
      </w:pPr>
      <w:r w:rsidRPr="001C1EBB">
        <w:rPr>
          <w:lang w:val="es-ES"/>
        </w:rPr>
        <w:t>Tabla 1. Ingresos globales del deporte femenino de élite y participación del baloncesto, 2022–</w:t>
      </w:r>
      <w:r w:rsidRPr="001C1EBB">
        <w:rPr>
          <w:lang w:val="es-ES"/>
        </w:rPr>
        <w:tab/>
        <w:t>20</w:t>
      </w:r>
    </w:p>
    <w:p w:rsidR="00424856" w:rsidRPr="001C1EBB" w:rsidRDefault="009E0916">
      <w:pPr>
        <w:tabs>
          <w:tab w:val="right" w:leader="dot" w:pos="9350"/>
        </w:tabs>
        <w:rPr>
          <w:lang w:val="es-ES"/>
        </w:rPr>
      </w:pPr>
      <w:r w:rsidRPr="001C1EBB">
        <w:rPr>
          <w:lang w:val="es-ES"/>
        </w:rPr>
        <w:t>Tabla 2. Ediciones registradas de la Liga Superior Femenina de Baloncesto, 2020–</w:t>
      </w:r>
      <w:r w:rsidRPr="001C1EBB">
        <w:rPr>
          <w:lang w:val="es-ES"/>
        </w:rPr>
        <w:tab/>
        <w:t>21</w:t>
      </w:r>
    </w:p>
    <w:p w:rsidR="00424856" w:rsidRPr="001C1EBB" w:rsidRDefault="009E0916">
      <w:pPr>
        <w:tabs>
          <w:tab w:val="right" w:leader="dot" w:pos="9350"/>
        </w:tabs>
        <w:rPr>
          <w:lang w:val="es-ES"/>
        </w:rPr>
      </w:pPr>
      <w:r w:rsidRPr="001C1EBB">
        <w:rPr>
          <w:lang w:val="es-ES"/>
        </w:rPr>
        <w:t>Tabla 3. Salario mínimo legal mensual vigente en Colombia, 2022–</w:t>
      </w:r>
      <w:r w:rsidRPr="001C1EBB">
        <w:rPr>
          <w:lang w:val="es-ES"/>
        </w:rPr>
        <w:tab/>
        <w:t>22</w:t>
      </w:r>
    </w:p>
    <w:p w:rsidR="00424856" w:rsidRPr="001C1EBB" w:rsidRDefault="009E0916">
      <w:pPr>
        <w:rPr>
          <w:lang w:val="es-ES"/>
        </w:rPr>
      </w:pPr>
      <w:r w:rsidRPr="001C1EBB">
        <w:rPr>
          <w:lang w:val="es-ES"/>
        </w:rPr>
        <w:br w:type="page"/>
      </w:r>
    </w:p>
    <w:p w:rsidR="00424856" w:rsidRPr="001C1EBB" w:rsidRDefault="009E0916">
      <w:pPr>
        <w:pStyle w:val="Ttulo1"/>
        <w:jc w:val="center"/>
        <w:rPr>
          <w:lang w:val="es-ES"/>
        </w:rPr>
      </w:pPr>
      <w:bookmarkStart w:id="4" w:name="_TocG8_003"/>
      <w:bookmarkEnd w:id="4"/>
      <w:r w:rsidRPr="001C1EBB">
        <w:rPr>
          <w:lang w:val="es-ES"/>
        </w:rPr>
        <w:lastRenderedPageBreak/>
        <w:t>Glosario</w:t>
      </w:r>
    </w:p>
    <w:p w:rsidR="00424856" w:rsidRPr="001C1EBB" w:rsidRDefault="009E0916">
      <w:pPr>
        <w:ind w:left="720" w:hanging="720"/>
        <w:rPr>
          <w:lang w:val="es-ES"/>
        </w:rPr>
      </w:pPr>
      <w:r w:rsidRPr="001C1EBB">
        <w:rPr>
          <w:b/>
          <w:bCs/>
          <w:lang w:val="es-ES"/>
        </w:rPr>
        <w:t>Club con deportistas profesionales</w:t>
      </w:r>
      <w:r w:rsidRPr="001C1EBB">
        <w:rPr>
          <w:b/>
          <w:bCs/>
          <w:lang w:val="es-ES"/>
        </w:rPr>
        <w:t>:</w:t>
      </w:r>
      <w:r w:rsidRPr="001C1EBB">
        <w:rPr>
          <w:lang w:val="es-ES"/>
        </w:rPr>
        <w:t xml:space="preserve"> Organización deportiva que, según el artículo 1 de la Ley 1445 de 2011, debe constituirse como corporación o asociación deportiva, o como sociedad anónima, y que para disciplinas distintas del fútbol organ</w:t>
      </w:r>
      <w:r w:rsidRPr="001C1EBB">
        <w:rPr>
          <w:lang w:val="es-ES"/>
        </w:rPr>
        <w:t>izadas como sociedad anónima no puede tener un capital suscrito y pagado inferior a 100 salarios mínimos legales mensuales vigentes (Congreso de la República de Colombia, 2011).</w:t>
      </w:r>
    </w:p>
    <w:p w:rsidR="00424856" w:rsidRPr="001C1EBB" w:rsidRDefault="009E0916">
      <w:pPr>
        <w:ind w:left="720" w:hanging="720"/>
        <w:rPr>
          <w:lang w:val="es-ES"/>
        </w:rPr>
      </w:pPr>
      <w:r w:rsidRPr="001C1EBB">
        <w:rPr>
          <w:b/>
          <w:bCs/>
          <w:lang w:val="es-ES"/>
        </w:rPr>
        <w:t>Ingresos comerciales</w:t>
      </w:r>
      <w:r w:rsidRPr="001C1EBB">
        <w:rPr>
          <w:b/>
          <w:bCs/>
          <w:lang w:val="es-ES"/>
        </w:rPr>
        <w:t>:</w:t>
      </w:r>
      <w:r w:rsidRPr="001C1EBB">
        <w:rPr>
          <w:lang w:val="es-ES"/>
        </w:rPr>
        <w:t xml:space="preserve"> </w:t>
      </w:r>
      <w:r w:rsidRPr="001C1EBB">
        <w:rPr>
          <w:lang w:val="es-ES"/>
        </w:rPr>
        <w:t>Categoría de ingresos que agrupa patrocinios</w:t>
      </w:r>
      <w:r w:rsidRPr="001C1EBB">
        <w:rPr>
          <w:lang w:val="es-ES"/>
        </w:rPr>
        <w:t xml:space="preserve">, alianzas, </w:t>
      </w:r>
      <w:r w:rsidRPr="001C1EBB">
        <w:rPr>
          <w:lang w:val="es-ES"/>
        </w:rPr>
        <w:t>venta de mercancía y giras de pretemporada. En el deporte femenino de élite superó por primera vez los 1.000 millones de dólares en 2024 y constituye la mayor fuente de ingresos del sector (Deloitte, 2025).</w:t>
      </w:r>
    </w:p>
    <w:p w:rsidR="00424856" w:rsidRPr="001C1EBB" w:rsidRDefault="009E0916">
      <w:pPr>
        <w:ind w:left="720" w:hanging="720"/>
        <w:rPr>
          <w:lang w:val="es-ES"/>
        </w:rPr>
      </w:pPr>
      <w:r w:rsidRPr="001C1EBB">
        <w:rPr>
          <w:b/>
          <w:bCs/>
          <w:lang w:val="es-ES"/>
        </w:rPr>
        <w:t>Ingresos por patrocinio</w:t>
      </w:r>
      <w:r w:rsidRPr="001C1EBB">
        <w:rPr>
          <w:b/>
          <w:bCs/>
          <w:lang w:val="es-ES"/>
        </w:rPr>
        <w:t>:</w:t>
      </w:r>
      <w:r w:rsidRPr="001C1EBB">
        <w:rPr>
          <w:lang w:val="es-ES"/>
        </w:rPr>
        <w:t xml:space="preserve"> Recursos que una organiz</w:t>
      </w:r>
      <w:r w:rsidRPr="001C1EBB">
        <w:rPr>
          <w:lang w:val="es-ES"/>
        </w:rPr>
        <w:t>ación deportiva recibe de una empresa a cambio de asociar su marca a la actividad deportiva. El patrocinio oper</w:t>
      </w:r>
      <w:r w:rsidRPr="001C1EBB">
        <w:rPr>
          <w:lang w:val="es-ES"/>
        </w:rPr>
        <w:t>a</w:t>
      </w:r>
      <w:r w:rsidRPr="001C1EBB">
        <w:rPr>
          <w:lang w:val="es-ES"/>
        </w:rPr>
        <w:t xml:space="preserve"> como herramienta de comunicación comercial y como mecanismo de responsabilidad social empresarial (Torres-Romay y García-Mirón, 2020).</w:t>
      </w:r>
    </w:p>
    <w:p w:rsidR="00424856" w:rsidRPr="001C1EBB" w:rsidRDefault="009E0916">
      <w:pPr>
        <w:ind w:left="720" w:hanging="720"/>
        <w:rPr>
          <w:lang w:val="es-ES"/>
        </w:rPr>
      </w:pPr>
      <w:r w:rsidRPr="001C1EBB">
        <w:rPr>
          <w:b/>
          <w:bCs/>
          <w:lang w:val="es-ES"/>
        </w:rPr>
        <w:t>Presupue</w:t>
      </w:r>
      <w:r w:rsidRPr="001C1EBB">
        <w:rPr>
          <w:b/>
          <w:bCs/>
          <w:lang w:val="es-ES"/>
        </w:rPr>
        <w:t xml:space="preserve">sto </w:t>
      </w:r>
      <w:r w:rsidRPr="001C1EBB">
        <w:rPr>
          <w:b/>
          <w:bCs/>
          <w:lang w:val="es-ES"/>
        </w:rPr>
        <w:t>del club:</w:t>
      </w:r>
      <w:r w:rsidRPr="001C1EBB">
        <w:rPr>
          <w:lang w:val="es-ES"/>
        </w:rPr>
        <w:t xml:space="preserve"> Estimación de ingresos y gastos que una organización deportiva proyecta para un periodo determinado. Incluye nómina, desplazamientos, alquiler de escenarios, inscripción o ficha en la división profesional y gastos administrativos.</w:t>
      </w:r>
    </w:p>
    <w:p w:rsidR="00424856" w:rsidRPr="001C1EBB" w:rsidRDefault="009E0916">
      <w:pPr>
        <w:ind w:left="720" w:hanging="720"/>
        <w:rPr>
          <w:lang w:val="es-ES"/>
        </w:rPr>
      </w:pPr>
      <w:r w:rsidRPr="001C1EBB">
        <w:rPr>
          <w:b/>
          <w:bCs/>
          <w:lang w:val="es-ES"/>
        </w:rPr>
        <w:t>Salario mín</w:t>
      </w:r>
      <w:r w:rsidRPr="001C1EBB">
        <w:rPr>
          <w:b/>
          <w:bCs/>
          <w:lang w:val="es-ES"/>
        </w:rPr>
        <w:t>imo legal mensual vigente (SMLMV</w:t>
      </w:r>
      <w:r w:rsidRPr="001C1EBB">
        <w:rPr>
          <w:b/>
          <w:bCs/>
          <w:lang w:val="es-ES"/>
        </w:rPr>
        <w:t>):</w:t>
      </w:r>
      <w:r w:rsidRPr="001C1EBB">
        <w:rPr>
          <w:lang w:val="es-ES"/>
        </w:rPr>
        <w:t xml:space="preserve"> Remuneración mínima fijada anualmente por el Gobierno nacional. Se emplea en este </w:t>
      </w:r>
      <w:r w:rsidRPr="001C1EBB">
        <w:rPr>
          <w:lang w:val="es-ES"/>
        </w:rPr>
        <w:t>documento</w:t>
      </w:r>
      <w:r w:rsidRPr="001C1EBB">
        <w:rPr>
          <w:lang w:val="es-ES"/>
        </w:rPr>
        <w:t xml:space="preserve"> como unidad de referencia para comparar las remuneraciones reportadas en el deporte profesional (Presidencia de la República de C</w:t>
      </w:r>
      <w:r w:rsidRPr="001C1EBB">
        <w:rPr>
          <w:lang w:val="es-ES"/>
        </w:rPr>
        <w:t>olombia, 2024).</w:t>
      </w:r>
    </w:p>
    <w:p w:rsidR="00424856" w:rsidRPr="001C1EBB" w:rsidRDefault="009E0916">
      <w:pPr>
        <w:ind w:left="720" w:hanging="720"/>
        <w:rPr>
          <w:lang w:val="es-ES"/>
        </w:rPr>
      </w:pPr>
      <w:r w:rsidRPr="001C1EBB">
        <w:rPr>
          <w:b/>
          <w:bCs/>
          <w:lang w:val="es-ES"/>
        </w:rPr>
        <w:t>Brecha económica de género en el deporte</w:t>
      </w:r>
      <w:r w:rsidRPr="001C1EBB">
        <w:rPr>
          <w:b/>
          <w:bCs/>
          <w:lang w:val="es-ES"/>
        </w:rPr>
        <w:t>:</w:t>
      </w:r>
      <w:r w:rsidRPr="001C1EBB">
        <w:rPr>
          <w:lang w:val="es-ES"/>
        </w:rPr>
        <w:t xml:space="preserve"> Diferencia sistemática en inversión, remuneración y condiciones contractuales entre las ramas masculina y femenina de una misma </w:t>
      </w:r>
      <w:r w:rsidRPr="001C1EBB">
        <w:rPr>
          <w:lang w:val="es-ES"/>
        </w:rPr>
        <w:lastRenderedPageBreak/>
        <w:t>disciplina, documentada de manera recurrente en la literatura sobre pa</w:t>
      </w:r>
      <w:r w:rsidRPr="001C1EBB">
        <w:rPr>
          <w:lang w:val="es-ES"/>
        </w:rPr>
        <w:t>trocinio deportivo (Torres-Romay y García-Mirón, 2020).</w:t>
      </w:r>
    </w:p>
    <w:p w:rsidR="00424856" w:rsidRPr="001C1EBB" w:rsidRDefault="009E0916">
      <w:pPr>
        <w:ind w:left="720" w:hanging="720"/>
        <w:rPr>
          <w:lang w:val="es-ES"/>
        </w:rPr>
      </w:pPr>
      <w:r w:rsidRPr="001C1EBB">
        <w:rPr>
          <w:b/>
          <w:bCs/>
          <w:lang w:val="es-ES"/>
        </w:rPr>
        <w:t>Valor de marca</w:t>
      </w:r>
      <w:r w:rsidRPr="001C1EBB">
        <w:rPr>
          <w:b/>
          <w:bCs/>
          <w:lang w:val="es-ES"/>
        </w:rPr>
        <w:t>:</w:t>
      </w:r>
      <w:r w:rsidRPr="001C1EBB">
        <w:rPr>
          <w:lang w:val="es-ES"/>
        </w:rPr>
        <w:t xml:space="preserve"> Conjunto de activos intangibles asociados al nombre y símbolo de una organización o deportista que incrementan el valor percibido de su oferta comercial.</w:t>
      </w:r>
    </w:p>
    <w:p w:rsidR="00424856" w:rsidRPr="001C1EBB" w:rsidRDefault="009E0916">
      <w:pPr>
        <w:ind w:left="720" w:hanging="720"/>
        <w:rPr>
          <w:lang w:val="es-ES"/>
        </w:rPr>
      </w:pPr>
      <w:r w:rsidRPr="001C1EBB">
        <w:rPr>
          <w:b/>
          <w:bCs/>
          <w:lang w:val="es-ES"/>
        </w:rPr>
        <w:t>Modelo de negocio autosustentable</w:t>
      </w:r>
      <w:r w:rsidRPr="001C1EBB">
        <w:rPr>
          <w:b/>
          <w:bCs/>
          <w:lang w:val="es-ES"/>
        </w:rPr>
        <w:t>:</w:t>
      </w:r>
      <w:r w:rsidRPr="001C1EBB">
        <w:rPr>
          <w:lang w:val="es-ES"/>
        </w:rPr>
        <w:t xml:space="preserve"> </w:t>
      </w:r>
      <w:r w:rsidRPr="001C1EBB">
        <w:rPr>
          <w:lang w:val="es-ES"/>
        </w:rPr>
        <w:t>Esquema de operación en el que los ingresos propios de la organización cubren sus costos sin depender de transferencias externas permanentes.</w:t>
      </w:r>
    </w:p>
    <w:p w:rsidR="00424856" w:rsidRPr="001C1EBB" w:rsidRDefault="009E0916">
      <w:pPr>
        <w:rPr>
          <w:lang w:val="es-ES"/>
        </w:rPr>
      </w:pPr>
      <w:r w:rsidRPr="001C1EBB">
        <w:rPr>
          <w:lang w:val="es-ES"/>
        </w:rPr>
        <w:br w:type="page"/>
      </w:r>
    </w:p>
    <w:p w:rsidR="00424856" w:rsidRPr="001C1EBB" w:rsidRDefault="009E0916">
      <w:pPr>
        <w:pStyle w:val="Ttulo1"/>
        <w:jc w:val="center"/>
        <w:rPr>
          <w:lang w:val="es-ES"/>
        </w:rPr>
      </w:pPr>
      <w:bookmarkStart w:id="5" w:name="_TocG8_004"/>
      <w:bookmarkEnd w:id="5"/>
      <w:r w:rsidRPr="001C1EBB">
        <w:rPr>
          <w:lang w:val="es-ES"/>
        </w:rPr>
        <w:lastRenderedPageBreak/>
        <w:t>Resumen</w:t>
      </w:r>
    </w:p>
    <w:p w:rsidR="00424856" w:rsidRPr="001C1EBB" w:rsidRDefault="009E0916">
      <w:pPr>
        <w:rPr>
          <w:lang w:val="es-ES"/>
        </w:rPr>
      </w:pPr>
      <w:r w:rsidRPr="001C1EBB">
        <w:rPr>
          <w:lang w:val="es-ES"/>
        </w:rPr>
        <w:t xml:space="preserve">Este trabajo </w:t>
      </w:r>
      <w:r w:rsidRPr="001C1EBB">
        <w:rPr>
          <w:lang w:val="es-ES"/>
        </w:rPr>
        <w:t>desarrolla</w:t>
      </w:r>
      <w:r w:rsidRPr="001C1EBB">
        <w:rPr>
          <w:lang w:val="es-ES"/>
        </w:rPr>
        <w:t xml:space="preserve"> el problema de investigación sobre la evoluci</w:t>
      </w:r>
      <w:r w:rsidRPr="001C1EBB">
        <w:rPr>
          <w:lang w:val="es-ES"/>
        </w:rPr>
        <w:t xml:space="preserve">ón de tres variables económicas del baloncesto profesional femenino colombiano </w:t>
      </w:r>
      <w:r w:rsidRPr="001C1EBB">
        <w:rPr>
          <w:lang w:val="es-ES"/>
        </w:rPr>
        <w:t>(</w:t>
      </w:r>
      <w:r w:rsidRPr="001C1EBB">
        <w:rPr>
          <w:lang w:val="es-ES"/>
        </w:rPr>
        <w:t>los ingresos por patrocinio, los presupuestos de los clubes y los salarios de las jugadoras</w:t>
      </w:r>
      <w:r w:rsidRPr="001C1EBB">
        <w:rPr>
          <w:lang w:val="es-ES"/>
        </w:rPr>
        <w:t>)</w:t>
      </w:r>
      <w:r w:rsidRPr="001C1EBB">
        <w:rPr>
          <w:lang w:val="es-ES"/>
        </w:rPr>
        <w:t xml:space="preserve"> entre 2022 y 2025. El estudio parte de un contraste documentado: mientras los ingre</w:t>
      </w:r>
      <w:r w:rsidRPr="001C1EBB">
        <w:rPr>
          <w:lang w:val="es-ES"/>
        </w:rPr>
        <w:t xml:space="preserve">sos globales del deporte femenino de élite pasaron de 692 millones de dólares en 2022 a 1.880 millones en 2024, con una proyección de 2.350 millones para 2025 y con el baloncesto como principal disciplina generadora de ingresos (Deloitte, 2025), el </w:t>
      </w:r>
      <w:r w:rsidRPr="001C1EBB">
        <w:rPr>
          <w:lang w:val="es-ES"/>
        </w:rPr>
        <w:t>balonce</w:t>
      </w:r>
      <w:r w:rsidRPr="001C1EBB">
        <w:rPr>
          <w:lang w:val="es-ES"/>
        </w:rPr>
        <w:t>sto</w:t>
      </w:r>
      <w:r w:rsidRPr="001C1EBB">
        <w:rPr>
          <w:lang w:val="es-ES"/>
        </w:rPr>
        <w:t xml:space="preserve"> profesional femenino colombiano operó en el mismo periodo con certámenes de entre cuatro y seis semanas de duración y con una financiación predominantemente pública. Para la edición de 2023 de la Liga Superior Femenina de Baloncesto, el Viceministerio </w:t>
      </w:r>
      <w:r w:rsidRPr="001C1EBB">
        <w:rPr>
          <w:lang w:val="es-ES"/>
        </w:rPr>
        <w:t xml:space="preserve">del Deporte reportó un aporte superior a los 300 millones de pesos y reconoció públicamente que </w:t>
      </w:r>
      <w:r w:rsidRPr="001C1EBB">
        <w:rPr>
          <w:lang w:val="es-ES"/>
        </w:rPr>
        <w:t>esta</w:t>
      </w:r>
      <w:r w:rsidRPr="001C1EBB">
        <w:rPr>
          <w:lang w:val="es-ES"/>
        </w:rPr>
        <w:t xml:space="preserve"> cifra resultaba insuficiente (El Espectador, 2023).</w:t>
      </w:r>
    </w:p>
    <w:p w:rsidR="00424856" w:rsidRPr="001C1EBB" w:rsidRDefault="009E0916">
      <w:pPr>
        <w:ind w:firstLine="720"/>
        <w:rPr>
          <w:lang w:val="es-ES"/>
        </w:rPr>
      </w:pPr>
      <w:r w:rsidRPr="001C1EBB">
        <w:rPr>
          <w:lang w:val="es-ES"/>
        </w:rPr>
        <w:t xml:space="preserve">El problema </w:t>
      </w:r>
      <w:r w:rsidRPr="001C1EBB">
        <w:rPr>
          <w:lang w:val="es-ES"/>
        </w:rPr>
        <w:t xml:space="preserve">de esta </w:t>
      </w:r>
      <w:r w:rsidRPr="001C1EBB">
        <w:rPr>
          <w:lang w:val="es-ES"/>
        </w:rPr>
        <w:t xml:space="preserve">investigación es la </w:t>
      </w:r>
      <w:r w:rsidRPr="001C1EBB">
        <w:rPr>
          <w:lang w:val="es-ES"/>
        </w:rPr>
        <w:t>falta</w:t>
      </w:r>
      <w:r w:rsidRPr="001C1EBB">
        <w:rPr>
          <w:lang w:val="es-ES"/>
        </w:rPr>
        <w:t xml:space="preserve"> de información sistematizada, pública y verificable sobre</w:t>
      </w:r>
      <w:r w:rsidRPr="001C1EBB">
        <w:rPr>
          <w:lang w:val="es-ES"/>
        </w:rPr>
        <w:t xml:space="preserve"> l</w:t>
      </w:r>
      <w:r w:rsidRPr="001C1EBB">
        <w:rPr>
          <w:lang w:val="es-ES"/>
        </w:rPr>
        <w:t>os datos</w:t>
      </w:r>
      <w:r w:rsidRPr="001C1EBB">
        <w:rPr>
          <w:lang w:val="es-ES"/>
        </w:rPr>
        <w:t xml:space="preserve"> de ingresos, gastos y remuneraciones de este subsector, una opacidad que también ha sido denunciada por los clubes de la rama masculina ante la División Profesional de Baloncesto (Rengifo, 2024). Esta carencia impide a los administradores deport</w:t>
      </w:r>
      <w:r w:rsidRPr="001C1EBB">
        <w:rPr>
          <w:lang w:val="es-ES"/>
        </w:rPr>
        <w:t>ivos estimar el costo real de sostener un club femenino, valorar comercialmente el producto deportivo y diseñar propuestas de patrocinio con sustento en datos.</w:t>
      </w:r>
    </w:p>
    <w:p w:rsidR="00424856" w:rsidRPr="001C1EBB" w:rsidRDefault="009E0916">
      <w:pPr>
        <w:ind w:firstLine="720"/>
        <w:rPr>
          <w:lang w:val="es-ES"/>
        </w:rPr>
      </w:pPr>
      <w:r w:rsidRPr="001C1EBB">
        <w:rPr>
          <w:lang w:val="es-ES"/>
        </w:rPr>
        <w:t>El estudio adopta un alcance descriptivo con diseño documental. Las unidades de análisis son los</w:t>
      </w:r>
      <w:r w:rsidRPr="001C1EBB">
        <w:rPr>
          <w:lang w:val="es-ES"/>
        </w:rPr>
        <w:t xml:space="preserve"> certámenes nacionales de baloncesto femenino disputados en Colombia entre 2022 y 2025, los clubes participantes y las entidades que los financian. Las fuentes previstas son documentos federativos y estatales, normativa nacional, bases de datos estadística</w:t>
      </w:r>
      <w:r w:rsidRPr="001C1EBB">
        <w:rPr>
          <w:lang w:val="es-ES"/>
        </w:rPr>
        <w:t xml:space="preserve">s especializadas y prensa deportiva verificable. Por corresponder a la formulación del problema y </w:t>
      </w:r>
      <w:r w:rsidRPr="001C1EBB">
        <w:rPr>
          <w:lang w:val="es-ES"/>
        </w:rPr>
        <w:lastRenderedPageBreak/>
        <w:t>al marco de referencia, este documento no presenta resultados, hallazgos ni conclusiones: su propósito es delimitar el fenómeno, justificar su estudio, establ</w:t>
      </w:r>
      <w:r w:rsidRPr="001C1EBB">
        <w:rPr>
          <w:lang w:val="es-ES"/>
        </w:rPr>
        <w:t>ecer los objetivos y sustentar los antecedentes y la referencia teórica que guiarán las fases posteriores de la investigación.</w:t>
      </w:r>
    </w:p>
    <w:p w:rsidR="00424856" w:rsidRPr="001C1EBB" w:rsidRDefault="009E0916">
      <w:pPr>
        <w:ind w:firstLine="720"/>
        <w:rPr>
          <w:lang w:val="es-ES"/>
        </w:rPr>
      </w:pPr>
      <w:r w:rsidRPr="001C1EBB">
        <w:rPr>
          <w:i/>
          <w:iCs/>
          <w:lang w:val="es-ES"/>
        </w:rPr>
        <w:t xml:space="preserve">Palabras clave: </w:t>
      </w:r>
      <w:r w:rsidRPr="001C1EBB">
        <w:rPr>
          <w:lang w:val="es-ES"/>
        </w:rPr>
        <w:t>baloncesto femenino, economía del deporte, patrocinio deportivo, presupuesto de clubes, salarios, Colombia</w:t>
      </w:r>
    </w:p>
    <w:p w:rsidR="00424856" w:rsidRPr="001C1EBB" w:rsidRDefault="009E0916">
      <w:pPr>
        <w:rPr>
          <w:lang w:val="es-ES"/>
        </w:rPr>
      </w:pPr>
      <w:r w:rsidRPr="001C1EBB">
        <w:rPr>
          <w:lang w:val="es-ES"/>
        </w:rPr>
        <w:br w:type="page"/>
      </w:r>
    </w:p>
    <w:p w:rsidR="00424856" w:rsidRDefault="009E0916">
      <w:pPr>
        <w:pStyle w:val="Ttulo1"/>
        <w:jc w:val="center"/>
      </w:pPr>
      <w:bookmarkStart w:id="6" w:name="_TocG8_005"/>
      <w:bookmarkEnd w:id="6"/>
      <w:r>
        <w:lastRenderedPageBreak/>
        <w:t>Abstract</w:t>
      </w:r>
    </w:p>
    <w:p w:rsidR="00424856" w:rsidRDefault="009E0916">
      <w:r>
        <w:t xml:space="preserve">This paper formulates the research problem concerning the evolution of three economic variables in Colombian women’s professional basketball </w:t>
      </w:r>
      <w:r>
        <w:t>(</w:t>
      </w:r>
      <w:r>
        <w:t>sponsorship revenue, club budgets and player salaries</w:t>
      </w:r>
      <w:r>
        <w:t>)</w:t>
      </w:r>
      <w:r>
        <w:t xml:space="preserve"> between 2022 and 2025. The study starts from a doc</w:t>
      </w:r>
      <w:r>
        <w:t>umented contrast: while global revenues in women’s elite sport rose from USD 692 million in 2022 to USD 1.88 billion in 2024, with a projection of USD 2.35 billion for 2025 and basketball as the leading revenue-generating discipline (Deloitte, 2025), the C</w:t>
      </w:r>
      <w:r>
        <w:t>olombian women’s professional circuit operated during the same period with competitions lasting four to six weeks and relying predominantly on public funding. For the 2023 edition of the Liga Superior Femenina de Baloncesto, the Deputy Ministry of Sport re</w:t>
      </w:r>
      <w:r>
        <w:t>ported a contribution exceeding 300 million Colombian pesos while publicly acknowledging that this amount was insufficient (El Espectador, 2023).</w:t>
      </w:r>
    </w:p>
    <w:p w:rsidR="00424856" w:rsidRDefault="009E0916">
      <w:pPr>
        <w:ind w:firstLine="720"/>
      </w:pPr>
      <w:r>
        <w:t>The problem addressed is the absence of systematised, public and verifiable information on the revenue, expend</w:t>
      </w:r>
      <w:r>
        <w:t>iture and remuneration structure of this subsector, an opacity that clubs in the men’s branch have also denounced before the Professional Basketball Division (Rengifo, 2024). This gap prevents sport managers from estimating the real cost of sustaining a wo</w:t>
      </w:r>
      <w:r>
        <w:t>men’s club, assessing the commercial value of the sporting product, or designing evidence-based sponsorship proposals.</w:t>
      </w:r>
    </w:p>
    <w:p w:rsidR="00424856" w:rsidRDefault="009E0916">
      <w:pPr>
        <w:ind w:firstLine="720"/>
      </w:pPr>
      <w:r>
        <w:t>The study adopts a descriptive scope with a documentary design. The units of analysis are the national women’s basketball competitions he</w:t>
      </w:r>
      <w:r>
        <w:t>ld in Colombia between 2022 and 2025, the participating clubs and the entities that fund them. Planned sources include federation and government documents, national legislation, specialised statistical databases and verifiable sports journalism. As this do</w:t>
      </w:r>
      <w:r>
        <w:t xml:space="preserve">cument corresponds to the formulation of the problem and the theoretical framework, it presents no results, findings or conclusions: its purpose is to delimit the </w:t>
      </w:r>
      <w:r>
        <w:lastRenderedPageBreak/>
        <w:t>phenomenon, justify its study, establish the objectives and set out the background and theory</w:t>
      </w:r>
      <w:r>
        <w:t xml:space="preserve"> guiding the subsequent phases of the research.</w:t>
      </w:r>
    </w:p>
    <w:p w:rsidR="00424856" w:rsidRDefault="009E0916">
      <w:pPr>
        <w:ind w:firstLine="720"/>
      </w:pPr>
      <w:r>
        <w:rPr>
          <w:i/>
          <w:iCs/>
        </w:rPr>
        <w:t xml:space="preserve">Keywords: </w:t>
      </w:r>
      <w:r>
        <w:t>women’s basketball, sport economics, sport sponsorship, club budgets, salaries, Colombia</w:t>
      </w:r>
    </w:p>
    <w:p w:rsidR="00424856" w:rsidRDefault="009E0916">
      <w:r>
        <w:br w:type="page"/>
      </w:r>
    </w:p>
    <w:p w:rsidR="00424856" w:rsidRPr="001C1EBB" w:rsidRDefault="009E0916">
      <w:pPr>
        <w:pStyle w:val="Ttulo1"/>
        <w:jc w:val="center"/>
        <w:rPr>
          <w:lang w:val="es-ES"/>
        </w:rPr>
      </w:pPr>
      <w:bookmarkStart w:id="7" w:name="_TocG8_006"/>
      <w:bookmarkEnd w:id="7"/>
      <w:r w:rsidRPr="001C1EBB">
        <w:rPr>
          <w:lang w:val="es-ES"/>
        </w:rPr>
        <w:lastRenderedPageBreak/>
        <w:t>Introducción</w:t>
      </w:r>
    </w:p>
    <w:p w:rsidR="00424856" w:rsidRPr="001C1EBB" w:rsidRDefault="009E0916">
      <w:pPr>
        <w:ind w:firstLine="720"/>
        <w:rPr>
          <w:lang w:val="es-ES"/>
        </w:rPr>
      </w:pPr>
      <w:r w:rsidRPr="001C1EBB">
        <w:rPr>
          <w:lang w:val="es-ES"/>
        </w:rPr>
        <w:t xml:space="preserve">La economía del deporte femenino atraviesa una fase de expansión </w:t>
      </w:r>
      <w:r w:rsidRPr="001C1EBB">
        <w:rPr>
          <w:lang w:val="es-ES"/>
        </w:rPr>
        <w:t>histórica</w:t>
      </w:r>
      <w:r w:rsidRPr="001C1EBB">
        <w:rPr>
          <w:lang w:val="es-ES"/>
        </w:rPr>
        <w:t xml:space="preserve">. De acuerdo con el </w:t>
      </w:r>
      <w:r w:rsidRPr="001C1EBB">
        <w:rPr>
          <w:lang w:val="es-ES"/>
        </w:rPr>
        <w:t>informe de Deloitte (2025), los ingresos globales del deporte femenino de élite pasaron de 692 millones de dólares en 2022 a 1.880 millones en 2024, y se proyectaron en al menos 2.350 millones para 2025.</w:t>
      </w:r>
    </w:p>
    <w:p w:rsidR="00424856" w:rsidRPr="001C1EBB" w:rsidRDefault="009E0916">
      <w:pPr>
        <w:ind w:firstLine="720"/>
        <w:rPr>
          <w:lang w:val="es-ES"/>
        </w:rPr>
      </w:pPr>
      <w:r w:rsidRPr="001C1EBB">
        <w:rPr>
          <w:lang w:val="es-ES"/>
        </w:rPr>
        <w:t>En ese mismo informe, el baloncesto se posicionó com</w:t>
      </w:r>
      <w:r w:rsidRPr="001C1EBB">
        <w:rPr>
          <w:lang w:val="es-ES"/>
        </w:rPr>
        <w:t>o la disciplina femenina con mayores ingresos a escala mundial, con una proyección de 1.030 millones de dólares para 2025 frente a los 710 millones estimados para 2024. El hito más visible de esa transformación fue el acuerdo de derechos de transmisión que</w:t>
      </w:r>
      <w:r w:rsidRPr="001C1EBB">
        <w:rPr>
          <w:lang w:val="es-ES"/>
        </w:rPr>
        <w:t xml:space="preserve"> la Women’s National Basketball Association (WNBA) suscribió en julio de 2024 con The Walt Disney Company, Amazon Prime Video y NBCUniversal, con vigencia desde la temporada 2026 y hasta 2036 (WNBA, 2024), valorado en cerca de 2.200 millones de dólares, es</w:t>
      </w:r>
      <w:r w:rsidRPr="001C1EBB">
        <w:rPr>
          <w:lang w:val="es-ES"/>
        </w:rPr>
        <w:t xml:space="preserve"> decir, alrededor de 200 millones anuales (ESPN, 2024).</w:t>
      </w:r>
    </w:p>
    <w:p w:rsidR="00424856" w:rsidRPr="001C1EBB" w:rsidRDefault="009E0916">
      <w:pPr>
        <w:ind w:firstLine="720"/>
        <w:rPr>
          <w:lang w:val="es-ES"/>
        </w:rPr>
      </w:pPr>
      <w:r w:rsidRPr="001C1EBB">
        <w:rPr>
          <w:lang w:val="es-ES"/>
        </w:rPr>
        <w:t>Ese crecimiento, sin embargo, no se distribuye de manera homogénea. Deloitte (2025) precisó que el 56 % de los ingresos globales del deporte femenino generados en 2024 provino de Norteamérica. En Colo</w:t>
      </w:r>
      <w:r w:rsidRPr="001C1EBB">
        <w:rPr>
          <w:lang w:val="es-ES"/>
        </w:rPr>
        <w:t>mbia, el auge internacional aún no se traduce en condiciones equivalentes para las deportistas: la prensa</w:t>
      </w:r>
      <w:r w:rsidRPr="001C1EBB">
        <w:rPr>
          <w:lang w:val="es-ES"/>
        </w:rPr>
        <w:t xml:space="preserve"> </w:t>
      </w:r>
      <w:r w:rsidRPr="001C1EBB">
        <w:rPr>
          <w:lang w:val="es-ES"/>
        </w:rPr>
        <w:t xml:space="preserve">nacional ha señalado que el país continúa distante del </w:t>
      </w:r>
      <w:r w:rsidRPr="001C1EBB">
        <w:rPr>
          <w:lang w:val="es-ES"/>
        </w:rPr>
        <w:t>factor</w:t>
      </w:r>
      <w:r w:rsidRPr="001C1EBB">
        <w:rPr>
          <w:lang w:val="es-ES"/>
        </w:rPr>
        <w:t xml:space="preserve"> inversor que se observa en otros mercados y que persisten brechas salariales frente a la</w:t>
      </w:r>
      <w:r w:rsidRPr="001C1EBB">
        <w:rPr>
          <w:lang w:val="es-ES"/>
        </w:rPr>
        <w:t xml:space="preserve"> rama masculina (Semana, 2025).</w:t>
      </w:r>
    </w:p>
    <w:p w:rsidR="00424856" w:rsidRPr="001C1EBB" w:rsidRDefault="009E0916">
      <w:pPr>
        <w:ind w:firstLine="720"/>
        <w:rPr>
          <w:lang w:val="es-ES"/>
        </w:rPr>
      </w:pPr>
      <w:r w:rsidRPr="001C1EBB">
        <w:rPr>
          <w:lang w:val="es-ES"/>
        </w:rPr>
        <w:t xml:space="preserve">El baloncesto femenino colombiano ofrece un caso especialmente ilustrativo </w:t>
      </w:r>
      <w:r w:rsidRPr="001C1EBB">
        <w:rPr>
          <w:lang w:val="es-ES"/>
        </w:rPr>
        <w:t>frente a los datos internacionales</w:t>
      </w:r>
      <w:r w:rsidRPr="001C1EBB">
        <w:rPr>
          <w:lang w:val="es-ES"/>
        </w:rPr>
        <w:t>. En el plano deportivo, la Selección Colombia ha mostrado una notable regularidad: ocupó el trigésimo lugar del Ra</w:t>
      </w:r>
      <w:r w:rsidRPr="001C1EBB">
        <w:rPr>
          <w:lang w:val="es-ES"/>
        </w:rPr>
        <w:t xml:space="preserve">nking Mundial Femenino de la Federación Internacional de Baloncesto (FIBA) y el quinto de América, alcanzó su cuarta medalla de bronce consecutiva en el Campeonato Sudamericano Femenino de 2024 y encadenó tres quintos puestos </w:t>
      </w:r>
      <w:r w:rsidRPr="001C1EBB">
        <w:rPr>
          <w:lang w:val="es-ES"/>
        </w:rPr>
        <w:lastRenderedPageBreak/>
        <w:t>consecutivos en la FIBA AmeriC</w:t>
      </w:r>
      <w:r w:rsidRPr="001C1EBB">
        <w:rPr>
          <w:lang w:val="es-ES"/>
        </w:rPr>
        <w:t xml:space="preserve">up Femenina (FIBA, 2025). En el plano económico e institucional, en cambio, el </w:t>
      </w:r>
      <w:r w:rsidRPr="001C1EBB">
        <w:rPr>
          <w:lang w:val="es-ES"/>
        </w:rPr>
        <w:t>ámbito</w:t>
      </w:r>
      <w:r w:rsidRPr="001C1EBB">
        <w:rPr>
          <w:lang w:val="es-ES"/>
        </w:rPr>
        <w:t xml:space="preserve"> doméstico se ha desarrollado mediante torneos cortos, con financiación mayoritariamente </w:t>
      </w:r>
      <w:r w:rsidRPr="001C1EBB">
        <w:rPr>
          <w:lang w:val="es-ES"/>
        </w:rPr>
        <w:t>pública</w:t>
      </w:r>
      <w:r w:rsidRPr="001C1EBB">
        <w:rPr>
          <w:lang w:val="es-ES"/>
        </w:rPr>
        <w:t xml:space="preserve"> y sin información que permita conocer cuánto cuesta sostener un club femen</w:t>
      </w:r>
      <w:r w:rsidRPr="001C1EBB">
        <w:rPr>
          <w:lang w:val="es-ES"/>
        </w:rPr>
        <w:t>ino ni cuánto perciben las jugadoras.</w:t>
      </w:r>
    </w:p>
    <w:p w:rsidR="00424856" w:rsidRPr="001C1EBB" w:rsidRDefault="009E0916">
      <w:pPr>
        <w:ind w:firstLine="720"/>
        <w:rPr>
          <w:lang w:val="es-ES"/>
        </w:rPr>
      </w:pPr>
      <w:r w:rsidRPr="001C1EBB">
        <w:rPr>
          <w:lang w:val="es-ES"/>
        </w:rPr>
        <w:t>El periodo 2022–2025 constituye un marco temporal para examinar esa tensión. Dentro de él se encuentran la última edición registrada de la Liga Superior Femenina de Baloncesto en las bases de datos especializadas (Lati</w:t>
      </w:r>
      <w:r w:rsidRPr="001C1EBB">
        <w:rPr>
          <w:lang w:val="es-ES"/>
        </w:rPr>
        <w:t>nbasket, 2025), el reconocimiento oficial de la insuficiencia del apoyo estatal al certamen femenino (El Espectador, 2023), la crisis financiera y de transparencia que los clubes profesionales masculinos denunciaron ante la División Profesional de Balonces</w:t>
      </w:r>
      <w:r w:rsidRPr="001C1EBB">
        <w:rPr>
          <w:lang w:val="es-ES"/>
        </w:rPr>
        <w:t>to y la expansión comercial del deporte femenino en el escenario internacional (Deloitte, 2025).</w:t>
      </w:r>
    </w:p>
    <w:p w:rsidR="00424856" w:rsidRPr="001C1EBB" w:rsidRDefault="009E0916">
      <w:pPr>
        <w:ind w:firstLine="720"/>
        <w:rPr>
          <w:lang w:val="es-ES"/>
        </w:rPr>
      </w:pPr>
      <w:r w:rsidRPr="001C1EBB">
        <w:rPr>
          <w:lang w:val="es-ES"/>
        </w:rPr>
        <w:t>El presente documento, desarrollado en el marco del programa de Administración Deportiva de la Universidad Distrital Francisco José de Caldas, se organiza en d</w:t>
      </w:r>
      <w:r w:rsidRPr="001C1EBB">
        <w:rPr>
          <w:lang w:val="es-ES"/>
        </w:rPr>
        <w:t>os capítulos. El primero formula el problema de investigación, delimita su alcance, plantea la pregunta que orienta el estudio, define los objetivos general y específicos, y expone la justificación teórica, social, práctica y disciplinar del trabajo. El se</w:t>
      </w:r>
      <w:r w:rsidRPr="001C1EBB">
        <w:rPr>
          <w:lang w:val="es-ES"/>
        </w:rPr>
        <w:t>gundo presenta los antecedentes y la referencia teórica y conceptual que sustentan la interpretación del fenómeno. El propósito del estudio es analizar la evolución de los ingresos por patrocinio, los presupuestos de los clubes y los salarios de las jugado</w:t>
      </w:r>
      <w:r w:rsidRPr="001C1EBB">
        <w:rPr>
          <w:lang w:val="es-ES"/>
        </w:rPr>
        <w:t>ras del baloncesto profesional femenino colombiano entre 2022 y 2025, con un alcance descriptivo y un diseño documental. No se incluyen resultados ni conclusiones, por corresponder estos a capítulos posteriores.</w:t>
      </w:r>
    </w:p>
    <w:p w:rsidR="00424856" w:rsidRPr="001C1EBB" w:rsidRDefault="009E0916">
      <w:pPr>
        <w:rPr>
          <w:lang w:val="es-ES"/>
        </w:rPr>
      </w:pPr>
      <w:r w:rsidRPr="001C1EBB">
        <w:rPr>
          <w:lang w:val="es-ES"/>
        </w:rPr>
        <w:br w:type="page"/>
      </w:r>
    </w:p>
    <w:p w:rsidR="00424856" w:rsidRPr="001C1EBB" w:rsidRDefault="009E0916">
      <w:pPr>
        <w:pStyle w:val="Ttulo1"/>
        <w:jc w:val="center"/>
        <w:rPr>
          <w:lang w:val="es-ES"/>
        </w:rPr>
      </w:pPr>
      <w:bookmarkStart w:id="8" w:name="_TocG8_007"/>
      <w:bookmarkEnd w:id="8"/>
      <w:r w:rsidRPr="001C1EBB">
        <w:rPr>
          <w:lang w:val="es-ES"/>
        </w:rPr>
        <w:lastRenderedPageBreak/>
        <w:t>Descripción del Problema</w:t>
      </w:r>
    </w:p>
    <w:p w:rsidR="00424856" w:rsidRPr="001C1EBB" w:rsidRDefault="009E0916">
      <w:pPr>
        <w:ind w:firstLine="720"/>
        <w:rPr>
          <w:lang w:val="es-ES"/>
        </w:rPr>
      </w:pPr>
      <w:r w:rsidRPr="001C1EBB">
        <w:rPr>
          <w:lang w:val="es-ES"/>
        </w:rPr>
        <w:t>El problema que a</w:t>
      </w:r>
      <w:r w:rsidRPr="001C1EBB">
        <w:rPr>
          <w:lang w:val="es-ES"/>
        </w:rPr>
        <w:t>borda esta investigación es la falta de información económica sistematizada sobre el baloncesto profesional femenino en Colombia, en un contexto de crecimiento acelerado de la industria del deporte femenino en el mundo. A continuación se presenta la eviden</w:t>
      </w:r>
      <w:r w:rsidRPr="001C1EBB">
        <w:rPr>
          <w:lang w:val="es-ES"/>
        </w:rPr>
        <w:t>cia disponible en cuatro niveles (internacional, regional latinoamericano, nacional y local), se cuantifica la magnitud del fenómeno, se identifican los actores afectados y se enuncia el vacío de conocimiento que da origen al estudio.</w:t>
      </w:r>
    </w:p>
    <w:p w:rsidR="00424856" w:rsidRPr="001C1EBB" w:rsidRDefault="009E0916">
      <w:pPr>
        <w:pStyle w:val="Ttulo2"/>
        <w:rPr>
          <w:lang w:val="es-ES"/>
        </w:rPr>
      </w:pPr>
      <w:bookmarkStart w:id="9" w:name="_TocG8_008"/>
      <w:bookmarkEnd w:id="9"/>
      <w:r w:rsidRPr="001C1EBB">
        <w:rPr>
          <w:lang w:val="es-ES"/>
        </w:rPr>
        <w:t xml:space="preserve">Contextualización en </w:t>
      </w:r>
      <w:r w:rsidRPr="001C1EBB">
        <w:rPr>
          <w:lang w:val="es-ES"/>
        </w:rPr>
        <w:t>el Nivel Internacional</w:t>
      </w:r>
    </w:p>
    <w:p w:rsidR="00424856" w:rsidRPr="001C1EBB" w:rsidRDefault="009E0916">
      <w:pPr>
        <w:ind w:firstLine="720"/>
        <w:rPr>
          <w:lang w:val="es-ES"/>
        </w:rPr>
      </w:pPr>
      <w:r w:rsidRPr="001C1EBB">
        <w:rPr>
          <w:lang w:val="es-ES"/>
        </w:rPr>
        <w:t>En el plano internacional, la economía del deporte femenino cambió de escala en el periodo analizado. Deloitte (2025) estimó que los ingresos globales del deporte femenino de élite crecieron de 692 millones de dólares en 2022 a 981 m</w:t>
      </w:r>
      <w:r w:rsidRPr="001C1EBB">
        <w:rPr>
          <w:lang w:val="es-ES"/>
        </w:rPr>
        <w:t xml:space="preserve">illones en 2023 y a 1.880 millones en 2024, con una proyección de al menos 2.350 millones para 2025, lo que representa un incremento cercano al 240 % entre 2022 y 2025. Del total proyectado para 2025, los ingresos comerciales </w:t>
      </w:r>
      <w:r w:rsidRPr="001C1EBB">
        <w:rPr>
          <w:lang w:val="es-ES"/>
        </w:rPr>
        <w:t>(</w:t>
      </w:r>
      <w:r w:rsidRPr="001C1EBB">
        <w:rPr>
          <w:lang w:val="es-ES"/>
        </w:rPr>
        <w:t>patrocinios, alianzas y merca</w:t>
      </w:r>
      <w:r w:rsidRPr="001C1EBB">
        <w:rPr>
          <w:lang w:val="es-ES"/>
        </w:rPr>
        <w:t>ncía</w:t>
      </w:r>
      <w:r w:rsidRPr="001C1EBB">
        <w:rPr>
          <w:lang w:val="es-ES"/>
        </w:rPr>
        <w:t>)</w:t>
      </w:r>
      <w:r w:rsidRPr="001C1EBB">
        <w:rPr>
          <w:lang w:val="es-ES"/>
        </w:rPr>
        <w:t xml:space="preserve"> representaban 1.260 millones de dólares, es decir, el 54 % del ingreso total, seguidos por los derechos de transmisión con 590 millones y por la taquilla con 500 millones.</w:t>
      </w:r>
    </w:p>
    <w:p w:rsidR="00424856" w:rsidRPr="001C1EBB" w:rsidRDefault="009E0916">
      <w:pPr>
        <w:ind w:firstLine="720"/>
        <w:rPr>
          <w:lang w:val="es-ES"/>
        </w:rPr>
      </w:pPr>
      <w:r w:rsidRPr="001C1EBB">
        <w:rPr>
          <w:lang w:val="es-ES"/>
        </w:rPr>
        <w:t xml:space="preserve">Dentro de ese conjunto, el baloncesto se consolidó como la disciplina femenina con mayores ingresos. Deloitte (2025) proyectó que los ingresos del baloncesto femenino pasarían de 710 millones de dólares en 2024 a 1.030 millones en 2025, equivalentes al 44 </w:t>
      </w:r>
      <w:r w:rsidRPr="001C1EBB">
        <w:rPr>
          <w:lang w:val="es-ES"/>
        </w:rPr>
        <w:t>% del total del deporte femenino, superando por primera vez al fútbol, estimado en 820 millones. Este desplazamiento se atribuye al aumento de la asistencia a los estadios, la venta de mercancía y la inversión en instalaciones de las franquicias.</w:t>
      </w:r>
    </w:p>
    <w:p w:rsidR="00424856" w:rsidRPr="001C1EBB" w:rsidRDefault="009E0916">
      <w:pPr>
        <w:ind w:firstLine="720"/>
        <w:rPr>
          <w:lang w:val="es-ES"/>
        </w:rPr>
      </w:pPr>
      <w:r w:rsidRPr="001C1EBB">
        <w:rPr>
          <w:lang w:val="es-ES"/>
        </w:rPr>
        <w:lastRenderedPageBreak/>
        <w:t>El valor</w:t>
      </w:r>
      <w:r w:rsidRPr="001C1EBB">
        <w:rPr>
          <w:lang w:val="es-ES"/>
        </w:rPr>
        <w:t xml:space="preserve"> </w:t>
      </w:r>
      <w:r w:rsidRPr="001C1EBB">
        <w:rPr>
          <w:lang w:val="es-ES"/>
        </w:rPr>
        <w:t xml:space="preserve">de los derechos de transmisión </w:t>
      </w:r>
      <w:r w:rsidRPr="001C1EBB">
        <w:rPr>
          <w:lang w:val="es-ES"/>
        </w:rPr>
        <w:t>muestra</w:t>
      </w:r>
      <w:r w:rsidRPr="001C1EBB">
        <w:rPr>
          <w:lang w:val="es-ES"/>
        </w:rPr>
        <w:t xml:space="preserve"> la magnitud del cambio. La WNBA anunció el 24 de julio de 2024 la renovación de sus acuerdos con The Walt Disney Company y Amazon Prime Video, junto con un nuevo contrato con NBCUniversal, vigentes desde la temporada </w:t>
      </w:r>
      <w:r w:rsidRPr="001C1EBB">
        <w:rPr>
          <w:lang w:val="es-ES"/>
        </w:rPr>
        <w:t xml:space="preserve">2026 y hasta la de 2036 (WNBA, 2024). Según la información reportada por ESPN (2024), </w:t>
      </w:r>
      <w:r w:rsidRPr="001C1EBB">
        <w:rPr>
          <w:lang w:val="es-ES"/>
        </w:rPr>
        <w:t>la renovación</w:t>
      </w:r>
      <w:r w:rsidRPr="001C1EBB">
        <w:rPr>
          <w:lang w:val="es-ES"/>
        </w:rPr>
        <w:t xml:space="preserve"> fue </w:t>
      </w:r>
      <w:r w:rsidRPr="001C1EBB">
        <w:rPr>
          <w:lang w:val="es-ES"/>
        </w:rPr>
        <w:t>valorada</w:t>
      </w:r>
      <w:r w:rsidRPr="001C1EBB">
        <w:rPr>
          <w:lang w:val="es-ES"/>
        </w:rPr>
        <w:t xml:space="preserve"> en cerca de 2.200 millones de dólares, equivalentes a unos 200 millones anuales, cifra que contrasta con los aproximadamente 50 a 60 millones a</w:t>
      </w:r>
      <w:r w:rsidRPr="001C1EBB">
        <w:rPr>
          <w:lang w:val="es-ES"/>
        </w:rPr>
        <w:t>nuales que generaban los acuerdos vigentes hasta 2025.</w:t>
      </w:r>
    </w:p>
    <w:p w:rsidR="00424856" w:rsidRPr="001C1EBB" w:rsidRDefault="009E0916">
      <w:pPr>
        <w:ind w:firstLine="720"/>
        <w:rPr>
          <w:lang w:val="es-ES"/>
        </w:rPr>
      </w:pPr>
      <w:r w:rsidRPr="001C1EBB">
        <w:rPr>
          <w:lang w:val="es-ES"/>
        </w:rPr>
        <w:t>Este crecimiento coexiste con una brecha persistente. Torres-Romay y García-Mirón (2020) documentaron que, aunque los éxitos deportivos femeninos han venido acompañados de un aumento de los patrocinios</w:t>
      </w:r>
      <w:r w:rsidRPr="001C1EBB">
        <w:rPr>
          <w:lang w:val="es-ES"/>
        </w:rPr>
        <w:t>, la inversión económica destinada al deporte femenino continúa siendo inferior a la masculina y las empresas gestionan ese patrocinio principalmente como un recurso de responsabilidad social corporativa antes que como una inversión comercial</w:t>
      </w:r>
      <w:r w:rsidRPr="001C1EBB">
        <w:rPr>
          <w:lang w:val="es-ES"/>
        </w:rPr>
        <w:t xml:space="preserve">. </w:t>
      </w:r>
      <w:r w:rsidRPr="001C1EBB">
        <w:rPr>
          <w:lang w:val="es-ES"/>
        </w:rPr>
        <w:t>La concentra</w:t>
      </w:r>
      <w:r w:rsidRPr="001C1EBB">
        <w:rPr>
          <w:lang w:val="es-ES"/>
        </w:rPr>
        <w:t>ción de los ingresos refuerza</w:t>
      </w:r>
      <w:r w:rsidRPr="001C1EBB">
        <w:rPr>
          <w:lang w:val="es-ES"/>
        </w:rPr>
        <w:t xml:space="preserve"> estos hechos</w:t>
      </w:r>
      <w:r w:rsidRPr="001C1EBB">
        <w:rPr>
          <w:lang w:val="es-ES"/>
        </w:rPr>
        <w:t>: el 56 % del ingreso global de 2024 se originó en Norteamérica (Deloitte, 2025), lo que deja a los mercados latinoamericanos en una posición marginal dentro del reparto.</w:t>
      </w:r>
    </w:p>
    <w:p w:rsidR="00424856" w:rsidRPr="001C1EBB" w:rsidRDefault="009E0916">
      <w:pPr>
        <w:pStyle w:val="Ttulo2"/>
        <w:rPr>
          <w:lang w:val="es-ES"/>
        </w:rPr>
      </w:pPr>
      <w:bookmarkStart w:id="10" w:name="_TocG8_009"/>
      <w:bookmarkEnd w:id="10"/>
      <w:r w:rsidRPr="001C1EBB">
        <w:rPr>
          <w:lang w:val="es-ES"/>
        </w:rPr>
        <w:t>Contextualización en el Nivel Regional Lati</w:t>
      </w:r>
      <w:r w:rsidRPr="001C1EBB">
        <w:rPr>
          <w:lang w:val="es-ES"/>
        </w:rPr>
        <w:t>noamericano</w:t>
      </w:r>
    </w:p>
    <w:p w:rsidR="00424856" w:rsidRPr="001C1EBB" w:rsidRDefault="009E0916">
      <w:pPr>
        <w:ind w:firstLine="720"/>
        <w:rPr>
          <w:lang w:val="es-ES"/>
        </w:rPr>
      </w:pPr>
      <w:r w:rsidRPr="001C1EBB">
        <w:rPr>
          <w:lang w:val="es-ES"/>
        </w:rPr>
        <w:t xml:space="preserve">En el escenario latinoamericano, el baloncesto femenino de clubes opera con estructuras de competencia intermitentes y fuertemente dependientes de los calendarios de selecciones. Las competencias continentales organizadas por la FIBA </w:t>
      </w:r>
      <w:r w:rsidRPr="001C1EBB">
        <w:rPr>
          <w:lang w:val="es-ES"/>
        </w:rPr>
        <w:t>(</w:t>
      </w:r>
      <w:r w:rsidRPr="001C1EBB">
        <w:rPr>
          <w:lang w:val="es-ES"/>
        </w:rPr>
        <w:t xml:space="preserve">la Women’s Basketball League </w:t>
      </w:r>
      <w:r w:rsidRPr="001C1EBB">
        <w:rPr>
          <w:lang w:val="es-ES"/>
        </w:rPr>
        <w:t>Américas</w:t>
      </w:r>
      <w:r w:rsidRPr="001C1EBB">
        <w:rPr>
          <w:lang w:val="es-ES"/>
        </w:rPr>
        <w:t xml:space="preserve"> y la Liga Sudamericana de Baloncesto Femenino</w:t>
      </w:r>
      <w:r w:rsidRPr="001C1EBB">
        <w:rPr>
          <w:lang w:val="es-ES"/>
        </w:rPr>
        <w:t>)</w:t>
      </w:r>
      <w:r w:rsidRPr="001C1EBB">
        <w:rPr>
          <w:lang w:val="es-ES"/>
        </w:rPr>
        <w:t xml:space="preserve"> asignan los cupos a partir de los resultados de las ligas nacionales</w:t>
      </w:r>
      <w:r w:rsidRPr="001C1EBB">
        <w:rPr>
          <w:lang w:val="es-ES"/>
        </w:rPr>
        <w:t>.</w:t>
      </w:r>
    </w:p>
    <w:p w:rsidR="00424856" w:rsidRPr="001C1EBB" w:rsidRDefault="009E0916">
      <w:pPr>
        <w:ind w:firstLine="720"/>
        <w:rPr>
          <w:lang w:val="es-ES"/>
        </w:rPr>
      </w:pPr>
      <w:r w:rsidRPr="001C1EBB">
        <w:rPr>
          <w:lang w:val="es-ES"/>
        </w:rPr>
        <w:t>Colombia participa en este circuito con un desempeño deportivo estable. La FIBA (2025) registró que l</w:t>
      </w:r>
      <w:r w:rsidRPr="001C1EBB">
        <w:rPr>
          <w:lang w:val="es-ES"/>
        </w:rPr>
        <w:t xml:space="preserve">a Selección Colombia </w:t>
      </w:r>
      <w:r w:rsidRPr="001C1EBB">
        <w:rPr>
          <w:lang w:val="es-ES"/>
        </w:rPr>
        <w:t>ocupa</w:t>
      </w:r>
      <w:r w:rsidRPr="001C1EBB">
        <w:rPr>
          <w:lang w:val="es-ES"/>
        </w:rPr>
        <w:t xml:space="preserve"> el trigésimo lugar del Ranking Mundial Femenino y el </w:t>
      </w:r>
      <w:r w:rsidRPr="001C1EBB">
        <w:rPr>
          <w:lang w:val="es-ES"/>
        </w:rPr>
        <w:lastRenderedPageBreak/>
        <w:t>quinto de América, que en 2024 obtuvo su cuarta medalla de bronce consecutiva en el Campeonato Sudamericano Femenino y que había encadenado tres quintos puestos consecutivos en</w:t>
      </w:r>
      <w:r w:rsidRPr="001C1EBB">
        <w:rPr>
          <w:lang w:val="es-ES"/>
        </w:rPr>
        <w:t xml:space="preserve"> la FIBA AmeriCup Femenina. En la edición de 2025 del certamen continental, disputada en Santiago de Chile entre el 28 de junio y el 6 de julio, Colombia clasificó al grupo de seis selecciones que aseguraron cupo a los Torneos Clasificatorios para la Copa </w:t>
      </w:r>
      <w:r w:rsidRPr="001C1EBB">
        <w:rPr>
          <w:lang w:val="es-ES"/>
        </w:rPr>
        <w:t>del Mundo de Baloncesto Femenino FIBA 2026 (FIBA, 2025).</w:t>
      </w:r>
    </w:p>
    <w:p w:rsidR="00424856" w:rsidRPr="001C1EBB" w:rsidRDefault="009E0916">
      <w:pPr>
        <w:ind w:firstLine="720"/>
        <w:rPr>
          <w:lang w:val="es-ES"/>
        </w:rPr>
      </w:pPr>
      <w:r w:rsidRPr="001C1EBB">
        <w:rPr>
          <w:lang w:val="es-ES"/>
        </w:rPr>
        <w:t xml:space="preserve">La misma fuente federativa aporta un </w:t>
      </w:r>
      <w:r w:rsidRPr="001C1EBB">
        <w:rPr>
          <w:lang w:val="es-ES"/>
        </w:rPr>
        <w:t>dato</w:t>
      </w:r>
      <w:r w:rsidRPr="001C1EBB">
        <w:rPr>
          <w:lang w:val="es-ES"/>
        </w:rPr>
        <w:t xml:space="preserve"> relevante sobre la relación entre el circuito doméstico y las trayectorias profesionales de las jugadoras: la armadora Manuela Ríos, señalada como referente </w:t>
      </w:r>
      <w:r w:rsidRPr="001C1EBB">
        <w:rPr>
          <w:lang w:val="es-ES"/>
        </w:rPr>
        <w:t>del equipo nacional, desarrollaba su carrera en la liga de Brasil con el club São José al momento de la AmeriCup 2025 (FIBA, 2025). La presencia de jugadoras titulares de la selección en ligas extranjeras sugiere que el mercado laboral interno no ofrece la</w:t>
      </w:r>
      <w:r w:rsidRPr="001C1EBB">
        <w:rPr>
          <w:lang w:val="es-ES"/>
        </w:rPr>
        <w:t>s condiciones de competencia y remuneración que requieren las deportistas de alto rendimiento, aunque establecer la magnitud y las causas de es</w:t>
      </w:r>
      <w:r w:rsidRPr="001C1EBB">
        <w:rPr>
          <w:lang w:val="es-ES"/>
        </w:rPr>
        <w:t>ta situación</w:t>
      </w:r>
      <w:r w:rsidRPr="001C1EBB">
        <w:rPr>
          <w:lang w:val="es-ES"/>
        </w:rPr>
        <w:t xml:space="preserve"> exige evidencia económica que esta investigación se propone reunir.</w:t>
      </w:r>
    </w:p>
    <w:p w:rsidR="00424856" w:rsidRPr="001C1EBB" w:rsidRDefault="009E0916">
      <w:pPr>
        <w:pStyle w:val="Ttulo2"/>
        <w:rPr>
          <w:lang w:val="es-ES"/>
        </w:rPr>
      </w:pPr>
      <w:bookmarkStart w:id="11" w:name="_TocG8_010"/>
      <w:bookmarkEnd w:id="11"/>
      <w:r w:rsidRPr="001C1EBB">
        <w:rPr>
          <w:lang w:val="es-ES"/>
        </w:rPr>
        <w:t>Contextualización en el Nivel Na</w:t>
      </w:r>
      <w:r w:rsidRPr="001C1EBB">
        <w:rPr>
          <w:lang w:val="es-ES"/>
        </w:rPr>
        <w:t>cional</w:t>
      </w:r>
    </w:p>
    <w:p w:rsidR="00424856" w:rsidRPr="001C1EBB" w:rsidRDefault="009E0916">
      <w:pPr>
        <w:ind w:firstLine="720"/>
        <w:rPr>
          <w:lang w:val="es-ES"/>
        </w:rPr>
      </w:pPr>
      <w:r w:rsidRPr="001C1EBB">
        <w:rPr>
          <w:lang w:val="es-ES"/>
        </w:rPr>
        <w:t>En Colombia, el campeonato nacional de baloncesto femenino es la Liga Superior Femenina de Baloncesto, organizada por la Federación Colombiana de Baloncesto con apoyo del Ministerio del Deporte. La base de datos estadística especializada Latinbasket</w:t>
      </w:r>
      <w:r w:rsidRPr="001C1EBB">
        <w:rPr>
          <w:lang w:val="es-ES"/>
        </w:rPr>
        <w:t xml:space="preserve"> (2025) registra ediciones del certamen en 2020, 2021, 2022 y 2023, y no registra datos correspondientes</w:t>
      </w:r>
      <w:r w:rsidRPr="001C1EBB">
        <w:rPr>
          <w:lang w:val="es-ES"/>
        </w:rPr>
        <w:t xml:space="preserve"> a </w:t>
      </w:r>
      <w:r w:rsidRPr="001C1EBB">
        <w:rPr>
          <w:lang w:val="es-ES"/>
        </w:rPr>
        <w:t>2024 ni a 2025. La edición de 2023 se disputó entre el 24 de mayo y el 24 de junio y concluyó con el título de Indeportes Antioquia, que venció a Gue</w:t>
      </w:r>
      <w:r w:rsidRPr="001C1EBB">
        <w:rPr>
          <w:lang w:val="es-ES"/>
        </w:rPr>
        <w:t>rreros de Bogotá por 71 a 53 en la final.</w:t>
      </w:r>
    </w:p>
    <w:p w:rsidR="00424856" w:rsidRPr="001C1EBB" w:rsidRDefault="009E0916">
      <w:pPr>
        <w:ind w:firstLine="720"/>
        <w:rPr>
          <w:lang w:val="es-ES"/>
        </w:rPr>
      </w:pPr>
      <w:r w:rsidRPr="001C1EBB">
        <w:rPr>
          <w:lang w:val="es-ES"/>
        </w:rPr>
        <w:t xml:space="preserve">En el acto de lanzamiento de la edición de 2023, el viceministro del Deporte, Camilo Iguarán, declaró que el apoyo estatal al certamen era superior a los 300 millones de pesos y </w:t>
      </w:r>
      <w:r w:rsidRPr="001C1EBB">
        <w:rPr>
          <w:lang w:val="es-ES"/>
        </w:rPr>
        <w:lastRenderedPageBreak/>
        <w:t>admitió de manera explícita que la c</w:t>
      </w:r>
      <w:r w:rsidRPr="001C1EBB">
        <w:rPr>
          <w:lang w:val="es-ES"/>
        </w:rPr>
        <w:t>ifra no parecía suficiente, al tiempo que expresó la intención de la cartera de servir de puente para que el sector privado apoyara a las jugadoras (El Espectador, 2023). En el mismo acto, el presidente de la Federación Colombiana de Baloncesto, Jorge Garc</w:t>
      </w:r>
      <w:r w:rsidRPr="001C1EBB">
        <w:rPr>
          <w:lang w:val="es-ES"/>
        </w:rPr>
        <w:t>ía, señaló que el proceso había iniciado un año antes con seis equipos y que para esa edición se contaba con 15. La capitana de la Selección Colombia, Jenifer Muñoz, jugadora de Indeportes Antioquia, planteó en ese escenario la necesidad de contar con club</w:t>
      </w:r>
      <w:r w:rsidRPr="001C1EBB">
        <w:rPr>
          <w:lang w:val="es-ES"/>
        </w:rPr>
        <w:t>es y jugadoras profesionales y de vincular empresas privadas que respalden la realización de los eventos (El Espectador, 2023).</w:t>
      </w:r>
    </w:p>
    <w:p w:rsidR="00424856" w:rsidRPr="001C1EBB" w:rsidRDefault="009E0916">
      <w:pPr>
        <w:ind w:firstLine="720"/>
        <w:rPr>
          <w:lang w:val="es-ES"/>
        </w:rPr>
      </w:pPr>
      <w:r w:rsidRPr="001C1EBB">
        <w:rPr>
          <w:lang w:val="es-ES"/>
        </w:rPr>
        <w:t xml:space="preserve">La misma nota de prensa que informa la participación de 15 equipos consigna, en el apartado dedicado al formato de competencia, </w:t>
      </w:r>
      <w:r w:rsidRPr="001C1EBB">
        <w:rPr>
          <w:lang w:val="es-ES"/>
        </w:rPr>
        <w:t xml:space="preserve">que </w:t>
      </w:r>
      <w:r w:rsidRPr="001C1EBB">
        <w:rPr>
          <w:lang w:val="es-ES"/>
        </w:rPr>
        <w:t>participarán 17 equipos</w:t>
      </w:r>
      <w:r w:rsidRPr="001C1EBB">
        <w:rPr>
          <w:lang w:val="es-ES"/>
        </w:rPr>
        <w:t xml:space="preserve"> (El Espectador, 2023). Esta inconsistencia en una fuente de circulación nacional, referida a un dato tan elemental como el número de participantes, anticipa la dificultad de reconstruir variables de mayor complejidad, como los p</w:t>
      </w:r>
      <w:r w:rsidRPr="001C1EBB">
        <w:rPr>
          <w:lang w:val="es-ES"/>
        </w:rPr>
        <w:t>resupuestos de los clubes o las remuneraciones de las jugadoras.</w:t>
      </w:r>
    </w:p>
    <w:p w:rsidR="00424856" w:rsidRPr="001C1EBB" w:rsidRDefault="009E0916">
      <w:pPr>
        <w:ind w:firstLine="720"/>
        <w:rPr>
          <w:lang w:val="es-ES"/>
        </w:rPr>
      </w:pPr>
      <w:r w:rsidRPr="001C1EBB">
        <w:rPr>
          <w:lang w:val="es-ES"/>
        </w:rPr>
        <w:t xml:space="preserve">La opacidad no es exclusiva de la rama femenina. En enero de 2024, cinco clubes profesionales masculinos </w:t>
      </w:r>
      <w:r w:rsidRPr="001C1EBB">
        <w:rPr>
          <w:lang w:val="es-ES"/>
        </w:rPr>
        <w:t>(</w:t>
      </w:r>
      <w:r w:rsidRPr="001C1EBB">
        <w:rPr>
          <w:lang w:val="es-ES"/>
        </w:rPr>
        <w:t>Titanes de Barranquilla, Piratas de Bogotá, Búcaros de Bucaramanga, Corsarios de Cart</w:t>
      </w:r>
      <w:r w:rsidRPr="001C1EBB">
        <w:rPr>
          <w:lang w:val="es-ES"/>
        </w:rPr>
        <w:t>agena y Cóndores de Cundinamarca</w:t>
      </w:r>
      <w:r w:rsidRPr="001C1EBB">
        <w:rPr>
          <w:lang w:val="es-ES"/>
        </w:rPr>
        <w:t>)</w:t>
      </w:r>
      <w:r w:rsidRPr="001C1EBB">
        <w:rPr>
          <w:lang w:val="es-ES"/>
        </w:rPr>
        <w:t xml:space="preserve"> dirigieron una comunicación formal a la Federación Colombiana de Baloncesto en la que exigieron claridad sobre el manejo de los recursos de la División Profesional de Baloncesto (DPB).</w:t>
      </w:r>
    </w:p>
    <w:p w:rsidR="00424856" w:rsidRPr="001C1EBB" w:rsidRDefault="009E0916">
      <w:pPr>
        <w:ind w:firstLine="720"/>
        <w:rPr>
          <w:lang w:val="es-ES"/>
        </w:rPr>
      </w:pPr>
      <w:r w:rsidRPr="001C1EBB">
        <w:rPr>
          <w:lang w:val="es-ES"/>
        </w:rPr>
        <w:t>Según la carta reproducida por Rengif</w:t>
      </w:r>
      <w:r w:rsidRPr="001C1EBB">
        <w:rPr>
          <w:lang w:val="es-ES"/>
        </w:rPr>
        <w:t>o (2024), un informe del comisionado fechado el 25 de agosto de 2023 reportaba deudas acumuladas de la DPB por 1.796.630.132 pesos, de los cuales 1.490.159.680 correspondían a obligaciones con el propio comisionado. Los clubes denunciaron además que el com</w:t>
      </w:r>
      <w:r w:rsidRPr="001C1EBB">
        <w:rPr>
          <w:lang w:val="es-ES"/>
        </w:rPr>
        <w:t xml:space="preserve">isionado se había negado reiteradamente a entregar copia de los contratos firmados con patrocinadores y proveedores, amparándose en una cláusula de </w:t>
      </w:r>
      <w:r w:rsidRPr="001C1EBB">
        <w:rPr>
          <w:lang w:val="es-ES"/>
        </w:rPr>
        <w:lastRenderedPageBreak/>
        <w:t>confidencialidad, y que varios clubes incumplían de manera sistemática el pago de salarios y prestaciones so</w:t>
      </w:r>
      <w:r w:rsidRPr="001C1EBB">
        <w:rPr>
          <w:lang w:val="es-ES"/>
        </w:rPr>
        <w:t>ciales de jugadores, entrenadores y agentes.</w:t>
      </w:r>
    </w:p>
    <w:p w:rsidR="00424856" w:rsidRPr="001C1EBB" w:rsidRDefault="009E0916">
      <w:pPr>
        <w:ind w:firstLine="720"/>
        <w:rPr>
          <w:lang w:val="es-ES"/>
        </w:rPr>
      </w:pPr>
      <w:r w:rsidRPr="001C1EBB">
        <w:rPr>
          <w:lang w:val="es-ES"/>
        </w:rPr>
        <w:t>Las consecuencias operativas de esa situación se materializaron en el mismo año. La División Profesional de Baloncesto confirmó que la Liga Profesional de Baloncesto 2024-II se disputaría con solo siete equipos,</w:t>
      </w:r>
      <w:r w:rsidRPr="001C1EBB">
        <w:rPr>
          <w:lang w:val="es-ES"/>
        </w:rPr>
        <w:t xml:space="preserve"> sin la participación de Búcaros de Bucaramanga ni de Titanes de Barranquilla; el club santandereano comunicó formalmente su no participación aduciendo una serie de factores que habían afectado su capacidad de operación (Vanguardia, 2024).</w:t>
      </w:r>
    </w:p>
    <w:p w:rsidR="00424856" w:rsidRPr="001C1EBB" w:rsidRDefault="009E0916">
      <w:pPr>
        <w:ind w:firstLine="720"/>
        <w:rPr>
          <w:lang w:val="es-ES"/>
        </w:rPr>
      </w:pPr>
      <w:r w:rsidRPr="001C1EBB">
        <w:rPr>
          <w:lang w:val="es-ES"/>
        </w:rPr>
        <w:t>El comportamient</w:t>
      </w:r>
      <w:r w:rsidRPr="001C1EBB">
        <w:rPr>
          <w:lang w:val="es-ES"/>
        </w:rPr>
        <w:t xml:space="preserve">o del patrocinio privado completa el diagnóstico. La casa de apuestas BetPlay reportó para 2024 una inversión superior a 5.600 millones de pesos en el deporte colombiano, distribuida entre la Primera C BetPlay, la Liga BetPlay de Baloncesto Profesional </w:t>
      </w:r>
      <w:r w:rsidRPr="001C1EBB">
        <w:rPr>
          <w:lang w:val="es-ES"/>
        </w:rPr>
        <w:t>(</w:t>
      </w:r>
      <w:r w:rsidRPr="001C1EBB">
        <w:rPr>
          <w:lang w:val="es-ES"/>
        </w:rPr>
        <w:t>co</w:t>
      </w:r>
      <w:r w:rsidRPr="001C1EBB">
        <w:rPr>
          <w:lang w:val="es-ES"/>
        </w:rPr>
        <w:t>n ocho quintetos beneficiados</w:t>
      </w:r>
      <w:r w:rsidRPr="001C1EBB">
        <w:rPr>
          <w:lang w:val="es-ES"/>
        </w:rPr>
        <w:t xml:space="preserve">) </w:t>
      </w:r>
      <w:r w:rsidRPr="001C1EBB">
        <w:rPr>
          <w:lang w:val="es-ES"/>
        </w:rPr>
        <w:t>y la Liga BetPlay de Futsal (Claro Sports, 2024). La comunicación de la marca no menciona competencia femenina alguna de baloncesto entre los torneos beneficiados, lo que sugiere que el principal patrocinador del baloncesto p</w:t>
      </w:r>
      <w:r w:rsidRPr="001C1EBB">
        <w:rPr>
          <w:lang w:val="es-ES"/>
        </w:rPr>
        <w:t>rofesional colombiano concentró su inversión en la rama masculina durante ese año.</w:t>
      </w:r>
    </w:p>
    <w:p w:rsidR="00424856" w:rsidRPr="001C1EBB" w:rsidRDefault="009E0916">
      <w:pPr>
        <w:ind w:firstLine="720"/>
        <w:rPr>
          <w:lang w:val="es-ES"/>
        </w:rPr>
      </w:pPr>
      <w:r w:rsidRPr="001C1EBB">
        <w:rPr>
          <w:lang w:val="es-ES"/>
        </w:rPr>
        <w:t>Un</w:t>
      </w:r>
      <w:r w:rsidRPr="001C1EBB">
        <w:rPr>
          <w:lang w:val="es-ES"/>
        </w:rPr>
        <w:t xml:space="preserve">a comparación </w:t>
      </w:r>
      <w:r w:rsidRPr="001C1EBB">
        <w:rPr>
          <w:lang w:val="es-ES"/>
        </w:rPr>
        <w:t xml:space="preserve">dentro del mismo país permite dimensionar el orden de magnitud de los recursos que exige </w:t>
      </w:r>
      <w:r w:rsidRPr="001C1EBB">
        <w:rPr>
          <w:lang w:val="es-ES"/>
        </w:rPr>
        <w:t>el deporte</w:t>
      </w:r>
      <w:r w:rsidRPr="001C1EBB">
        <w:rPr>
          <w:lang w:val="es-ES"/>
        </w:rPr>
        <w:t xml:space="preserve"> femenino profesional. La Federación Colombiana de Fútbol </w:t>
      </w:r>
      <w:r w:rsidRPr="001C1EBB">
        <w:rPr>
          <w:lang w:val="es-ES"/>
        </w:rPr>
        <w:t>informó haber invertido más de 38.000 millones de pesos en el fútbol femenino en un periodo de seis años (Semana, 2025). Aun reconociendo las diferencias de escala y de audiencia entre ambas disciplinas, la comparación entre esa cifra y los más de 300 mill</w:t>
      </w:r>
      <w:r w:rsidRPr="001C1EBB">
        <w:rPr>
          <w:lang w:val="es-ES"/>
        </w:rPr>
        <w:t>ones destinados a una edición de la liga femenina de baloncesto (El Espectador, 2023) ilustra la posición marginal que ocupa esta disciplina dentro de la asignación de recursos al deporte femenino colombiano.</w:t>
      </w:r>
    </w:p>
    <w:p w:rsidR="00424856" w:rsidRPr="001C1EBB" w:rsidRDefault="009E0916">
      <w:pPr>
        <w:ind w:firstLine="720"/>
        <w:rPr>
          <w:lang w:val="es-ES"/>
        </w:rPr>
      </w:pPr>
      <w:r w:rsidRPr="001C1EBB">
        <w:rPr>
          <w:lang w:val="es-ES"/>
        </w:rPr>
        <w:t xml:space="preserve">Finalmente, las condiciones de remuneración en </w:t>
      </w:r>
      <w:r w:rsidRPr="001C1EBB">
        <w:rPr>
          <w:lang w:val="es-ES"/>
        </w:rPr>
        <w:t xml:space="preserve">el deporte profesional femenino colombiano han sido objeto de escrutinio institucional en la disciplina con mayor desarrollo </w:t>
      </w:r>
      <w:r w:rsidRPr="001C1EBB">
        <w:rPr>
          <w:lang w:val="es-ES"/>
        </w:rPr>
        <w:lastRenderedPageBreak/>
        <w:t>comercial. Vorágine (2024) reportó que la Superintendencia de Industria y Comercio analizó en 2023 un total de 1.274 contratos de f</w:t>
      </w:r>
      <w:r w:rsidRPr="001C1EBB">
        <w:rPr>
          <w:lang w:val="es-ES"/>
        </w:rPr>
        <w:t>utbolistas profesionales y concluyó que el 46 % de ellos se ubicaba entre un millón y 1,2 millones de pesos mensuales.</w:t>
      </w:r>
    </w:p>
    <w:p w:rsidR="00424856" w:rsidRPr="001C1EBB" w:rsidRDefault="009E0916">
      <w:pPr>
        <w:ind w:firstLine="720"/>
        <w:rPr>
          <w:lang w:val="es-ES"/>
        </w:rPr>
      </w:pPr>
      <w:r w:rsidRPr="001C1EBB">
        <w:rPr>
          <w:lang w:val="es-ES"/>
        </w:rPr>
        <w:t>Considerando que el salario mínimo legal mensual vigente para 2023 fue fijado en 1.160.000 pesos (Presidencia de la República de Colombia</w:t>
      </w:r>
      <w:r w:rsidRPr="001C1EBB">
        <w:rPr>
          <w:lang w:val="es-ES"/>
        </w:rPr>
        <w:t xml:space="preserve">, 2022), ese hallazgo indica que casi la mitad de las contrataciones se situaba en el entorno del mínimo legal. Informes posteriores de la Asociación Colombiana de Futbolistas Profesionales han insistido en la persistencia de incumplimientos en el pago de </w:t>
      </w:r>
      <w:r w:rsidRPr="001C1EBB">
        <w:rPr>
          <w:lang w:val="es-ES"/>
        </w:rPr>
        <w:t>salarios y prestaciones y en la limitación reglamentaria del número de contratos por club (Infobae, 2025). No existe, hasta donde permite establecer la revisión realizada, un ejercicio equivalente para el baloncesto femenino colombiano.</w:t>
      </w:r>
    </w:p>
    <w:p w:rsidR="00424856" w:rsidRPr="001C1EBB" w:rsidRDefault="009E0916">
      <w:pPr>
        <w:pStyle w:val="Ttulo2"/>
        <w:rPr>
          <w:lang w:val="es-ES"/>
        </w:rPr>
      </w:pPr>
      <w:bookmarkStart w:id="12" w:name="_TocG8_011"/>
      <w:bookmarkEnd w:id="12"/>
      <w:r w:rsidRPr="001C1EBB">
        <w:rPr>
          <w:lang w:val="es-ES"/>
        </w:rPr>
        <w:t>Contextualización e</w:t>
      </w:r>
      <w:r w:rsidRPr="001C1EBB">
        <w:rPr>
          <w:lang w:val="es-ES"/>
        </w:rPr>
        <w:t>n el Nivel Local</w:t>
      </w:r>
    </w:p>
    <w:p w:rsidR="00424856" w:rsidRPr="001C1EBB" w:rsidRDefault="009E0916">
      <w:pPr>
        <w:ind w:firstLine="720"/>
        <w:rPr>
          <w:lang w:val="es-ES"/>
        </w:rPr>
      </w:pPr>
      <w:r w:rsidRPr="001C1EBB">
        <w:rPr>
          <w:lang w:val="es-ES"/>
        </w:rPr>
        <w:t>En el ámbito de Bogotá y de la comunidad universitaria en la que se inscribe esta investigación, el fenómeno se expresa en la coexistencia de una participación deportiva documentada y una ausencia de información económica pública.</w:t>
      </w:r>
    </w:p>
    <w:p w:rsidR="00424856" w:rsidRPr="001C1EBB" w:rsidRDefault="009E0916">
      <w:pPr>
        <w:ind w:firstLine="720"/>
        <w:rPr>
          <w:lang w:val="es-ES"/>
        </w:rPr>
      </w:pPr>
      <w:r w:rsidRPr="001C1EBB">
        <w:rPr>
          <w:lang w:val="es-ES"/>
        </w:rPr>
        <w:t>La parti</w:t>
      </w:r>
      <w:r w:rsidRPr="001C1EBB">
        <w:rPr>
          <w:lang w:val="es-ES"/>
        </w:rPr>
        <w:t xml:space="preserve">cipación bogotana en el certamen nacional está documentada. El Ministerio del Deporte (2023) consignó que en la conferencia Centro de la Liga Superior Femenina de Baloncesto 2023 compitieron la Liga de Bogotá, el Club Guerreros, el Club Valtam de Soacha y </w:t>
      </w:r>
      <w:r w:rsidRPr="001C1EBB">
        <w:rPr>
          <w:lang w:val="es-ES"/>
        </w:rPr>
        <w:t>la Liga de Cundinamarca, junto con las ligas de Huila y Caquetá. El Club Guerreros de Bogotá alcanzó la final de esa edición, donde cayó ante Indeportes Antioquia (Latinbasket, 2025). En la rama masculina, Piratas de Bogotá figura entre los clubes firmante</w:t>
      </w:r>
      <w:r w:rsidRPr="001C1EBB">
        <w:rPr>
          <w:lang w:val="es-ES"/>
        </w:rPr>
        <w:t>s de la comunicación que exigió cuentas claras a la Federación Colombiana de Baloncesto (Rengifo, 2024).</w:t>
      </w:r>
    </w:p>
    <w:p w:rsidR="00424856" w:rsidRPr="001C1EBB" w:rsidRDefault="009E0916">
      <w:pPr>
        <w:ind w:firstLine="720"/>
        <w:rPr>
          <w:lang w:val="es-ES"/>
        </w:rPr>
      </w:pPr>
      <w:r w:rsidRPr="001C1EBB">
        <w:rPr>
          <w:lang w:val="es-ES"/>
        </w:rPr>
        <w:t>Lo que no está documentado es la dimensión económica de esa participación. No se identificaron reportes públicos que informen el presupuesto de operaci</w:t>
      </w:r>
      <w:r w:rsidRPr="001C1EBB">
        <w:rPr>
          <w:lang w:val="es-ES"/>
        </w:rPr>
        <w:t xml:space="preserve">ón de los clubes bogotanos </w:t>
      </w:r>
      <w:r w:rsidRPr="001C1EBB">
        <w:rPr>
          <w:lang w:val="es-ES"/>
        </w:rPr>
        <w:lastRenderedPageBreak/>
        <w:t>de baloncesto femenino, el valor de sus contratos de patrocinio, la modalidad de vinculación de sus jugadoras ni el costo de participación en el certamen nacional. Esta carencia afecta de manera directa la formación profesional e</w:t>
      </w:r>
      <w:r w:rsidRPr="001C1EBB">
        <w:rPr>
          <w:lang w:val="es-ES"/>
        </w:rPr>
        <w:t>n administración deportiva: los estudiantes del programa carecen de casos locales documentados sobre los cuales ejercitar el análisis financiero, la estructuración de portafolios de patrocinio y la evaluación de viabilidad de proyectos deportivos, competen</w:t>
      </w:r>
      <w:r w:rsidRPr="001C1EBB">
        <w:rPr>
          <w:lang w:val="es-ES"/>
        </w:rPr>
        <w:t>cias que constituyen el núcleo del perfil profesional del administrador deportivo.</w:t>
      </w:r>
    </w:p>
    <w:p w:rsidR="00424856" w:rsidRPr="001C1EBB" w:rsidRDefault="009E0916">
      <w:pPr>
        <w:ind w:firstLine="720"/>
        <w:rPr>
          <w:lang w:val="es-ES"/>
        </w:rPr>
      </w:pPr>
      <w:r w:rsidRPr="001C1EBB">
        <w:rPr>
          <w:lang w:val="es-ES"/>
        </w:rPr>
        <w:t xml:space="preserve">Cabe precisar que este estudio no afirma que Bogotá </w:t>
      </w:r>
      <w:r w:rsidRPr="001C1EBB">
        <w:rPr>
          <w:lang w:val="es-ES"/>
        </w:rPr>
        <w:t>concentra</w:t>
      </w:r>
      <w:r w:rsidRPr="001C1EBB">
        <w:rPr>
          <w:lang w:val="es-ES"/>
        </w:rPr>
        <w:t xml:space="preserve"> el mayor número de practicantes de baloncesto femenino del país. Tal afirmación requeriría datos de censo depor</w:t>
      </w:r>
      <w:r w:rsidRPr="001C1EBB">
        <w:rPr>
          <w:lang w:val="es-ES"/>
        </w:rPr>
        <w:t>tivo desagregados por sexo, disciplina y territorio que no se encontraron disponibles en las fuentes consultadas; la verificación de ese punto queda fuera del alcance de la presente investigación.</w:t>
      </w:r>
    </w:p>
    <w:p w:rsidR="00424856" w:rsidRPr="001C1EBB" w:rsidRDefault="009E0916">
      <w:pPr>
        <w:pStyle w:val="Ttulo2"/>
        <w:rPr>
          <w:lang w:val="es-ES"/>
        </w:rPr>
      </w:pPr>
      <w:bookmarkStart w:id="13" w:name="_TocG8_012"/>
      <w:bookmarkEnd w:id="13"/>
      <w:r w:rsidRPr="001C1EBB">
        <w:rPr>
          <w:lang w:val="es-ES"/>
        </w:rPr>
        <w:t>Magnitud del Problema</w:t>
      </w:r>
    </w:p>
    <w:p w:rsidR="00424856" w:rsidRPr="001C1EBB" w:rsidRDefault="009E0916">
      <w:pPr>
        <w:ind w:firstLine="720"/>
        <w:rPr>
          <w:lang w:val="es-ES"/>
        </w:rPr>
      </w:pPr>
      <w:r w:rsidRPr="001C1EBB">
        <w:rPr>
          <w:lang w:val="es-ES"/>
        </w:rPr>
        <w:t>La magnitud del problema puede expres</w:t>
      </w:r>
      <w:r w:rsidRPr="001C1EBB">
        <w:rPr>
          <w:lang w:val="es-ES"/>
        </w:rPr>
        <w:t>arse mediante la comparación de indicadores verificables en tres dimensiones: la evolución del ingreso global del deporte femenino, la continuidad de</w:t>
      </w:r>
      <w:r w:rsidRPr="001C1EBB">
        <w:rPr>
          <w:lang w:val="es-ES"/>
        </w:rPr>
        <w:t xml:space="preserve"> las competiciones</w:t>
      </w:r>
      <w:r w:rsidRPr="001C1EBB">
        <w:rPr>
          <w:lang w:val="es-ES"/>
        </w:rPr>
        <w:t xml:space="preserve"> </w:t>
      </w:r>
      <w:r w:rsidRPr="001C1EBB">
        <w:rPr>
          <w:lang w:val="es-ES"/>
        </w:rPr>
        <w:t>nacionales</w:t>
      </w:r>
      <w:r w:rsidRPr="001C1EBB">
        <w:rPr>
          <w:lang w:val="es-ES"/>
        </w:rPr>
        <w:t xml:space="preserve"> y el marco salarial en Colombia.</w:t>
      </w:r>
    </w:p>
    <w:p w:rsidR="00424856" w:rsidRPr="001C1EBB" w:rsidRDefault="009E0916">
      <w:pPr>
        <w:ind w:firstLine="720"/>
        <w:rPr>
          <w:lang w:val="es-ES"/>
        </w:rPr>
      </w:pPr>
      <w:r w:rsidRPr="001C1EBB">
        <w:rPr>
          <w:lang w:val="es-ES"/>
        </w:rPr>
        <w:t>La Tabla 1 sintetiza la evolución de los ing</w:t>
      </w:r>
      <w:r w:rsidRPr="001C1EBB">
        <w:rPr>
          <w:lang w:val="es-ES"/>
        </w:rPr>
        <w:t>resos globales del deporte femenino de élite durante el periodo de estudio, con la participación específica del baloncesto.</w:t>
      </w:r>
    </w:p>
    <w:p w:rsidR="00424856" w:rsidRPr="001C1EBB" w:rsidRDefault="00424856">
      <w:pPr>
        <w:rPr>
          <w:lang w:val="es-ES"/>
        </w:rPr>
      </w:pPr>
    </w:p>
    <w:p w:rsidR="00424856" w:rsidRPr="001C1EBB" w:rsidRDefault="009E0916">
      <w:pPr>
        <w:rPr>
          <w:lang w:val="es-ES"/>
        </w:rPr>
      </w:pPr>
      <w:r w:rsidRPr="001C1EBB">
        <w:rPr>
          <w:b/>
          <w:bCs/>
          <w:lang w:val="es-ES"/>
        </w:rPr>
        <w:t>Tabla 1</w:t>
      </w:r>
    </w:p>
    <w:p w:rsidR="00424856" w:rsidRPr="001C1EBB" w:rsidRDefault="009E0916">
      <w:pPr>
        <w:rPr>
          <w:lang w:val="es-ES"/>
        </w:rPr>
      </w:pPr>
      <w:r w:rsidRPr="001C1EBB">
        <w:rPr>
          <w:i/>
          <w:iCs/>
          <w:lang w:val="es-ES"/>
        </w:rPr>
        <w:t>Ingresos globales del deporte femenino de élite y participación del baloncesto, 2022–2025</w:t>
      </w:r>
    </w:p>
    <w:tbl>
      <w:tblPr>
        <w:tblStyle w:val="a"/>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0"/>
        <w:gridCol w:w="2820"/>
        <w:gridCol w:w="2820"/>
        <w:gridCol w:w="2820"/>
      </w:tblGrid>
      <w:tr w:rsidR="00424856">
        <w:trPr>
          <w:tblHeader/>
        </w:trPr>
        <w:tc>
          <w:tcPr>
            <w:tcW w:w="900" w:type="dxa"/>
            <w:tcBorders>
              <w:top w:val="single" w:sz="6" w:space="0" w:color="000000"/>
              <w:left w:val="nil"/>
              <w:bottom w:val="single" w:sz="6" w:space="0" w:color="000000"/>
              <w:right w:val="nil"/>
            </w:tcBorders>
            <w:shd w:val="clear" w:color="auto" w:fill="FFFFFF"/>
          </w:tcPr>
          <w:p w:rsidR="00424856" w:rsidRDefault="009E0916">
            <w:pPr>
              <w:spacing w:before="40" w:after="40" w:line="240" w:lineRule="auto"/>
              <w:jc w:val="center"/>
            </w:pPr>
            <w:r>
              <w:rPr>
                <w:b/>
                <w:bCs/>
              </w:rPr>
              <w:t>Año</w:t>
            </w:r>
          </w:p>
        </w:tc>
        <w:tc>
          <w:tcPr>
            <w:tcW w:w="2820" w:type="dxa"/>
            <w:tcBorders>
              <w:top w:val="single" w:sz="6" w:space="0" w:color="000000"/>
              <w:left w:val="nil"/>
              <w:bottom w:val="single" w:sz="6" w:space="0" w:color="000000"/>
              <w:right w:val="nil"/>
            </w:tcBorders>
            <w:shd w:val="clear" w:color="auto" w:fill="FFFFFF"/>
          </w:tcPr>
          <w:p w:rsidR="00424856" w:rsidRPr="001C1EBB" w:rsidRDefault="009E0916">
            <w:pPr>
              <w:spacing w:before="40" w:after="40" w:line="240" w:lineRule="auto"/>
              <w:jc w:val="center"/>
              <w:rPr>
                <w:lang w:val="es-ES"/>
              </w:rPr>
            </w:pPr>
            <w:r w:rsidRPr="001C1EBB">
              <w:rPr>
                <w:b/>
                <w:bCs/>
                <w:lang w:val="es-ES"/>
              </w:rPr>
              <w:t>Ingreso global del deporte femenino (USD)</w:t>
            </w:r>
          </w:p>
        </w:tc>
        <w:tc>
          <w:tcPr>
            <w:tcW w:w="2820" w:type="dxa"/>
            <w:tcBorders>
              <w:top w:val="single" w:sz="6" w:space="0" w:color="000000"/>
              <w:left w:val="nil"/>
              <w:bottom w:val="single" w:sz="6" w:space="0" w:color="000000"/>
              <w:right w:val="nil"/>
            </w:tcBorders>
            <w:shd w:val="clear" w:color="auto" w:fill="FFFFFF"/>
          </w:tcPr>
          <w:p w:rsidR="00424856" w:rsidRPr="001C1EBB" w:rsidRDefault="009E0916">
            <w:pPr>
              <w:spacing w:before="40" w:after="40" w:line="240" w:lineRule="auto"/>
              <w:jc w:val="center"/>
              <w:rPr>
                <w:lang w:val="es-ES"/>
              </w:rPr>
            </w:pPr>
            <w:r w:rsidRPr="001C1EBB">
              <w:rPr>
                <w:b/>
                <w:bCs/>
                <w:lang w:val="es-ES"/>
              </w:rPr>
              <w:t>Ingreso del baloncesto femenino (USD)</w:t>
            </w:r>
          </w:p>
        </w:tc>
        <w:tc>
          <w:tcPr>
            <w:tcW w:w="2820" w:type="dxa"/>
            <w:tcBorders>
              <w:top w:val="single" w:sz="6" w:space="0" w:color="000000"/>
              <w:left w:val="nil"/>
              <w:bottom w:val="single" w:sz="6" w:space="0" w:color="000000"/>
              <w:right w:val="nil"/>
            </w:tcBorders>
            <w:shd w:val="clear" w:color="auto" w:fill="FFFFFF"/>
          </w:tcPr>
          <w:p w:rsidR="00424856" w:rsidRDefault="009E0916">
            <w:pPr>
              <w:spacing w:before="40" w:after="40" w:line="240" w:lineRule="auto"/>
              <w:jc w:val="center"/>
            </w:pPr>
            <w:r>
              <w:rPr>
                <w:b/>
                <w:bCs/>
              </w:rPr>
              <w:t>Observación</w:t>
            </w:r>
          </w:p>
        </w:tc>
      </w:tr>
      <w:tr w:rsidR="00424856" w:rsidRPr="001C1EBB">
        <w:tc>
          <w:tcPr>
            <w:tcW w:w="900" w:type="dxa"/>
            <w:tcBorders>
              <w:top w:val="nil"/>
              <w:left w:val="nil"/>
              <w:bottom w:val="nil"/>
              <w:right w:val="nil"/>
            </w:tcBorders>
            <w:shd w:val="clear" w:color="auto" w:fill="FFFFFF"/>
          </w:tcPr>
          <w:p w:rsidR="00424856" w:rsidRDefault="009E0916">
            <w:pPr>
              <w:spacing w:before="40" w:after="40" w:line="240" w:lineRule="auto"/>
              <w:jc w:val="center"/>
            </w:pPr>
            <w:r>
              <w:t>2022</w:t>
            </w:r>
          </w:p>
        </w:tc>
        <w:tc>
          <w:tcPr>
            <w:tcW w:w="2820" w:type="dxa"/>
            <w:tcBorders>
              <w:top w:val="nil"/>
              <w:left w:val="nil"/>
              <w:bottom w:val="nil"/>
              <w:right w:val="nil"/>
            </w:tcBorders>
            <w:shd w:val="clear" w:color="auto" w:fill="FFFFFF"/>
          </w:tcPr>
          <w:p w:rsidR="00424856" w:rsidRDefault="009E0916">
            <w:pPr>
              <w:spacing w:before="40" w:after="40" w:line="240" w:lineRule="auto"/>
            </w:pPr>
            <w:r>
              <w:t>692 millones</w:t>
            </w:r>
          </w:p>
        </w:tc>
        <w:tc>
          <w:tcPr>
            <w:tcW w:w="2820" w:type="dxa"/>
            <w:tcBorders>
              <w:top w:val="nil"/>
              <w:left w:val="nil"/>
              <w:bottom w:val="nil"/>
              <w:right w:val="nil"/>
            </w:tcBorders>
            <w:shd w:val="clear" w:color="auto" w:fill="FFFFFF"/>
          </w:tcPr>
          <w:p w:rsidR="00424856" w:rsidRPr="001C1EBB" w:rsidRDefault="009E0916">
            <w:pPr>
              <w:spacing w:before="40" w:after="40" w:line="240" w:lineRule="auto"/>
              <w:rPr>
                <w:lang w:val="es-ES"/>
              </w:rPr>
            </w:pPr>
            <w:r w:rsidRPr="001C1EBB">
              <w:rPr>
                <w:lang w:val="es-ES"/>
              </w:rPr>
              <w:t>No reportado de forma desagregada</w:t>
            </w:r>
          </w:p>
        </w:tc>
        <w:tc>
          <w:tcPr>
            <w:tcW w:w="2820" w:type="dxa"/>
            <w:tcBorders>
              <w:top w:val="nil"/>
              <w:left w:val="nil"/>
              <w:bottom w:val="nil"/>
              <w:right w:val="nil"/>
            </w:tcBorders>
            <w:shd w:val="clear" w:color="auto" w:fill="FFFFFF"/>
          </w:tcPr>
          <w:p w:rsidR="00424856" w:rsidRPr="001C1EBB" w:rsidRDefault="009E0916">
            <w:pPr>
              <w:spacing w:before="40" w:after="40" w:line="240" w:lineRule="auto"/>
              <w:rPr>
                <w:lang w:val="es-ES"/>
              </w:rPr>
            </w:pPr>
            <w:r w:rsidRPr="001C1EBB">
              <w:rPr>
                <w:lang w:val="es-ES"/>
              </w:rPr>
              <w:t>Año base de la serie</w:t>
            </w:r>
          </w:p>
        </w:tc>
      </w:tr>
      <w:tr w:rsidR="00424856">
        <w:tc>
          <w:tcPr>
            <w:tcW w:w="900" w:type="dxa"/>
            <w:tcBorders>
              <w:top w:val="nil"/>
              <w:left w:val="nil"/>
              <w:bottom w:val="nil"/>
              <w:right w:val="nil"/>
            </w:tcBorders>
            <w:shd w:val="clear" w:color="auto" w:fill="FFFFFF"/>
          </w:tcPr>
          <w:p w:rsidR="00424856" w:rsidRDefault="009E0916">
            <w:pPr>
              <w:spacing w:before="40" w:after="40" w:line="240" w:lineRule="auto"/>
              <w:jc w:val="center"/>
            </w:pPr>
            <w:r>
              <w:t>2023</w:t>
            </w:r>
          </w:p>
        </w:tc>
        <w:tc>
          <w:tcPr>
            <w:tcW w:w="2820" w:type="dxa"/>
            <w:tcBorders>
              <w:top w:val="nil"/>
              <w:left w:val="nil"/>
              <w:bottom w:val="nil"/>
              <w:right w:val="nil"/>
            </w:tcBorders>
            <w:shd w:val="clear" w:color="auto" w:fill="FFFFFF"/>
          </w:tcPr>
          <w:p w:rsidR="00424856" w:rsidRDefault="009E0916">
            <w:pPr>
              <w:spacing w:before="40" w:after="40" w:line="240" w:lineRule="auto"/>
            </w:pPr>
            <w:r>
              <w:t>981 millones</w:t>
            </w:r>
          </w:p>
        </w:tc>
        <w:tc>
          <w:tcPr>
            <w:tcW w:w="2820" w:type="dxa"/>
            <w:tcBorders>
              <w:top w:val="nil"/>
              <w:left w:val="nil"/>
              <w:bottom w:val="nil"/>
              <w:right w:val="nil"/>
            </w:tcBorders>
            <w:shd w:val="clear" w:color="auto" w:fill="FFFFFF"/>
          </w:tcPr>
          <w:p w:rsidR="00424856" w:rsidRPr="001C1EBB" w:rsidRDefault="009E0916">
            <w:pPr>
              <w:spacing w:before="40" w:after="40" w:line="240" w:lineRule="auto"/>
              <w:rPr>
                <w:lang w:val="es-ES"/>
              </w:rPr>
            </w:pPr>
            <w:r w:rsidRPr="001C1EBB">
              <w:rPr>
                <w:lang w:val="es-ES"/>
              </w:rPr>
              <w:t>No reportado de forma desagregada</w:t>
            </w:r>
          </w:p>
        </w:tc>
        <w:tc>
          <w:tcPr>
            <w:tcW w:w="2820" w:type="dxa"/>
            <w:tcBorders>
              <w:top w:val="nil"/>
              <w:left w:val="nil"/>
              <w:bottom w:val="nil"/>
              <w:right w:val="nil"/>
            </w:tcBorders>
            <w:shd w:val="clear" w:color="auto" w:fill="FFFFFF"/>
          </w:tcPr>
          <w:p w:rsidR="00424856" w:rsidRDefault="009E0916">
            <w:pPr>
              <w:spacing w:before="40" w:after="40" w:line="240" w:lineRule="auto"/>
            </w:pPr>
            <w:r>
              <w:t>Crecimiento del 42 % frente a 2022</w:t>
            </w:r>
          </w:p>
        </w:tc>
      </w:tr>
      <w:tr w:rsidR="00424856" w:rsidRPr="001C1EBB">
        <w:tc>
          <w:tcPr>
            <w:tcW w:w="900" w:type="dxa"/>
            <w:tcBorders>
              <w:top w:val="nil"/>
              <w:left w:val="nil"/>
              <w:bottom w:val="nil"/>
              <w:right w:val="nil"/>
            </w:tcBorders>
            <w:shd w:val="clear" w:color="auto" w:fill="FFFFFF"/>
          </w:tcPr>
          <w:p w:rsidR="00424856" w:rsidRDefault="009E0916">
            <w:pPr>
              <w:spacing w:before="40" w:after="40" w:line="240" w:lineRule="auto"/>
              <w:jc w:val="center"/>
            </w:pPr>
            <w:r>
              <w:lastRenderedPageBreak/>
              <w:t>2024</w:t>
            </w:r>
          </w:p>
        </w:tc>
        <w:tc>
          <w:tcPr>
            <w:tcW w:w="2820" w:type="dxa"/>
            <w:tcBorders>
              <w:top w:val="nil"/>
              <w:left w:val="nil"/>
              <w:bottom w:val="nil"/>
              <w:right w:val="nil"/>
            </w:tcBorders>
            <w:shd w:val="clear" w:color="auto" w:fill="FFFFFF"/>
          </w:tcPr>
          <w:p w:rsidR="00424856" w:rsidRDefault="009E0916">
            <w:pPr>
              <w:spacing w:before="40" w:after="40" w:line="240" w:lineRule="auto"/>
            </w:pPr>
            <w:r>
              <w:t>1.880 millones</w:t>
            </w:r>
          </w:p>
        </w:tc>
        <w:tc>
          <w:tcPr>
            <w:tcW w:w="2820" w:type="dxa"/>
            <w:tcBorders>
              <w:top w:val="nil"/>
              <w:left w:val="nil"/>
              <w:bottom w:val="nil"/>
              <w:right w:val="nil"/>
            </w:tcBorders>
            <w:shd w:val="clear" w:color="auto" w:fill="FFFFFF"/>
          </w:tcPr>
          <w:p w:rsidR="00424856" w:rsidRDefault="009E0916">
            <w:pPr>
              <w:spacing w:before="40" w:after="40" w:line="240" w:lineRule="auto"/>
            </w:pPr>
            <w:r>
              <w:t>710 millones</w:t>
            </w:r>
          </w:p>
        </w:tc>
        <w:tc>
          <w:tcPr>
            <w:tcW w:w="2820" w:type="dxa"/>
            <w:tcBorders>
              <w:top w:val="nil"/>
              <w:left w:val="nil"/>
              <w:bottom w:val="nil"/>
              <w:right w:val="nil"/>
            </w:tcBorders>
            <w:shd w:val="clear" w:color="auto" w:fill="FFFFFF"/>
          </w:tcPr>
          <w:p w:rsidR="00424856" w:rsidRPr="001C1EBB" w:rsidRDefault="009E0916">
            <w:pPr>
              <w:spacing w:before="40" w:after="40" w:line="240" w:lineRule="auto"/>
              <w:rPr>
                <w:lang w:val="es-ES"/>
              </w:rPr>
            </w:pPr>
            <w:r w:rsidRPr="001C1EBB">
              <w:rPr>
                <w:lang w:val="es-ES"/>
              </w:rPr>
              <w:t>Los ingresos comerciales superan por primera vez los 1.000 millones</w:t>
            </w:r>
          </w:p>
        </w:tc>
      </w:tr>
      <w:tr w:rsidR="00424856" w:rsidRPr="001C1EBB">
        <w:tc>
          <w:tcPr>
            <w:tcW w:w="900" w:type="dxa"/>
            <w:tcBorders>
              <w:top w:val="nil"/>
              <w:left w:val="nil"/>
              <w:bottom w:val="single" w:sz="6" w:space="0" w:color="000000"/>
              <w:right w:val="nil"/>
            </w:tcBorders>
            <w:shd w:val="clear" w:color="auto" w:fill="FFFFFF"/>
          </w:tcPr>
          <w:p w:rsidR="00424856" w:rsidRDefault="009E0916">
            <w:pPr>
              <w:spacing w:before="40" w:after="40" w:line="240" w:lineRule="auto"/>
              <w:jc w:val="center"/>
            </w:pPr>
            <w:r>
              <w:t>2025</w:t>
            </w:r>
          </w:p>
        </w:tc>
        <w:tc>
          <w:tcPr>
            <w:tcW w:w="2820" w:type="dxa"/>
            <w:tcBorders>
              <w:top w:val="nil"/>
              <w:left w:val="nil"/>
              <w:bottom w:val="single" w:sz="6" w:space="0" w:color="000000"/>
              <w:right w:val="nil"/>
            </w:tcBorders>
            <w:shd w:val="clear" w:color="auto" w:fill="FFFFFF"/>
          </w:tcPr>
          <w:p w:rsidR="00424856" w:rsidRDefault="009E0916">
            <w:pPr>
              <w:spacing w:before="40" w:after="40" w:line="240" w:lineRule="auto"/>
            </w:pPr>
            <w:r>
              <w:t>2.350 millones (proyectado)</w:t>
            </w:r>
          </w:p>
        </w:tc>
        <w:tc>
          <w:tcPr>
            <w:tcW w:w="2820" w:type="dxa"/>
            <w:tcBorders>
              <w:top w:val="nil"/>
              <w:left w:val="nil"/>
              <w:bottom w:val="single" w:sz="6" w:space="0" w:color="000000"/>
              <w:right w:val="nil"/>
            </w:tcBorders>
            <w:shd w:val="clear" w:color="auto" w:fill="FFFFFF"/>
          </w:tcPr>
          <w:p w:rsidR="00424856" w:rsidRDefault="009E0916">
            <w:pPr>
              <w:spacing w:before="40" w:after="40" w:line="240" w:lineRule="auto"/>
            </w:pPr>
            <w:r>
              <w:t>1.030 millones (proyectado)</w:t>
            </w:r>
          </w:p>
        </w:tc>
        <w:tc>
          <w:tcPr>
            <w:tcW w:w="2820" w:type="dxa"/>
            <w:tcBorders>
              <w:top w:val="nil"/>
              <w:left w:val="nil"/>
              <w:bottom w:val="single" w:sz="6" w:space="0" w:color="000000"/>
              <w:right w:val="nil"/>
            </w:tcBorders>
            <w:shd w:val="clear" w:color="auto" w:fill="FFFFFF"/>
          </w:tcPr>
          <w:p w:rsidR="00424856" w:rsidRPr="001C1EBB" w:rsidRDefault="009E0916">
            <w:pPr>
              <w:spacing w:before="40" w:after="40" w:line="240" w:lineRule="auto"/>
              <w:rPr>
                <w:lang w:val="es-ES"/>
              </w:rPr>
            </w:pPr>
            <w:r w:rsidRPr="001C1EBB">
              <w:rPr>
                <w:lang w:val="es-ES"/>
              </w:rPr>
              <w:t>El baloncesto supera al fútbol como disciplina líder</w:t>
            </w:r>
          </w:p>
        </w:tc>
      </w:tr>
    </w:tbl>
    <w:p w:rsidR="00424856" w:rsidRPr="001C1EBB" w:rsidRDefault="009E0916">
      <w:pPr>
        <w:keepLines/>
        <w:spacing w:before="120" w:line="240" w:lineRule="auto"/>
        <w:rPr>
          <w:lang w:val="es-ES"/>
        </w:rPr>
      </w:pPr>
      <w:r w:rsidRPr="001C1EBB">
        <w:rPr>
          <w:i/>
          <w:iCs/>
          <w:sz w:val="20"/>
          <w:szCs w:val="20"/>
          <w:lang w:val="es-ES"/>
        </w:rPr>
        <w:t>Nota.</w:t>
      </w:r>
      <w:r w:rsidRPr="001C1EBB">
        <w:rPr>
          <w:sz w:val="20"/>
          <w:szCs w:val="20"/>
          <w:lang w:val="es-ES"/>
        </w:rPr>
        <w:t xml:space="preserve"> Elaboración con ayuda de inteligencia artificial (IA) a partir de Deloitte (2025). Las cifras de 2025 corresponden a proyecciones publicadas en marzo de ese año. Los valores desagregados por disciplina para 2022 y 2023 no fueron reportados en la fuente co</w:t>
      </w:r>
      <w:r w:rsidRPr="001C1EBB">
        <w:rPr>
          <w:sz w:val="20"/>
          <w:szCs w:val="20"/>
          <w:lang w:val="es-ES"/>
        </w:rPr>
        <w:t>nsultada.</w:t>
      </w:r>
    </w:p>
    <w:p w:rsidR="00424856" w:rsidRPr="001C1EBB" w:rsidRDefault="00424856">
      <w:pPr>
        <w:rPr>
          <w:lang w:val="es-ES"/>
        </w:rPr>
      </w:pPr>
    </w:p>
    <w:p w:rsidR="00424856" w:rsidRPr="001C1EBB" w:rsidRDefault="009E0916">
      <w:pPr>
        <w:ind w:firstLine="720"/>
        <w:rPr>
          <w:lang w:val="es-ES"/>
        </w:rPr>
      </w:pPr>
      <w:r w:rsidRPr="001C1EBB">
        <w:rPr>
          <w:lang w:val="es-ES"/>
        </w:rPr>
        <w:t>La Tabla 2 presenta las ediciones del baloncesto femenino a nivel nacional registradas en las fuentes consultadas, con su duración aproximada y el club campeón.</w:t>
      </w:r>
    </w:p>
    <w:p w:rsidR="00424856" w:rsidRPr="001C1EBB" w:rsidRDefault="00424856">
      <w:pPr>
        <w:rPr>
          <w:lang w:val="es-ES"/>
        </w:rPr>
      </w:pPr>
    </w:p>
    <w:p w:rsidR="00424856" w:rsidRPr="001C1EBB" w:rsidRDefault="009E0916">
      <w:pPr>
        <w:rPr>
          <w:lang w:val="es-ES"/>
        </w:rPr>
      </w:pPr>
      <w:r w:rsidRPr="001C1EBB">
        <w:rPr>
          <w:b/>
          <w:bCs/>
          <w:lang w:val="es-ES"/>
        </w:rPr>
        <w:t>Tabla 2</w:t>
      </w:r>
    </w:p>
    <w:p w:rsidR="00424856" w:rsidRPr="001C1EBB" w:rsidRDefault="009E0916">
      <w:pPr>
        <w:rPr>
          <w:lang w:val="es-ES"/>
        </w:rPr>
      </w:pPr>
      <w:r w:rsidRPr="001C1EBB">
        <w:rPr>
          <w:i/>
          <w:iCs/>
          <w:lang w:val="es-ES"/>
        </w:rPr>
        <w:t>Ediciones registradas de la Liga Superior Femenina de Baloncesto, 2020–2025</w:t>
      </w:r>
    </w:p>
    <w:tbl>
      <w:tblPr>
        <w:tblStyle w:val="a0"/>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0"/>
        <w:gridCol w:w="2820"/>
        <w:gridCol w:w="2820"/>
        <w:gridCol w:w="2820"/>
      </w:tblGrid>
      <w:tr w:rsidR="00424856">
        <w:trPr>
          <w:tblHeader/>
        </w:trPr>
        <w:tc>
          <w:tcPr>
            <w:tcW w:w="900" w:type="dxa"/>
            <w:tcBorders>
              <w:top w:val="single" w:sz="6" w:space="0" w:color="000000"/>
              <w:left w:val="nil"/>
              <w:bottom w:val="single" w:sz="6" w:space="0" w:color="000000"/>
              <w:right w:val="nil"/>
            </w:tcBorders>
            <w:shd w:val="clear" w:color="auto" w:fill="FFFFFF"/>
          </w:tcPr>
          <w:p w:rsidR="00424856" w:rsidRDefault="009E0916">
            <w:pPr>
              <w:spacing w:before="40" w:after="40" w:line="240" w:lineRule="auto"/>
              <w:jc w:val="center"/>
            </w:pPr>
            <w:r>
              <w:rPr>
                <w:b/>
                <w:bCs/>
              </w:rPr>
              <w:t>Año</w:t>
            </w:r>
          </w:p>
        </w:tc>
        <w:tc>
          <w:tcPr>
            <w:tcW w:w="2820" w:type="dxa"/>
            <w:tcBorders>
              <w:top w:val="single" w:sz="6" w:space="0" w:color="000000"/>
              <w:left w:val="nil"/>
              <w:bottom w:val="single" w:sz="6" w:space="0" w:color="000000"/>
              <w:right w:val="nil"/>
            </w:tcBorders>
            <w:shd w:val="clear" w:color="auto" w:fill="FFFFFF"/>
          </w:tcPr>
          <w:p w:rsidR="00424856" w:rsidRDefault="009E0916">
            <w:pPr>
              <w:spacing w:before="40" w:after="40" w:line="240" w:lineRule="auto"/>
              <w:jc w:val="center"/>
            </w:pPr>
            <w:r>
              <w:rPr>
                <w:b/>
                <w:bCs/>
              </w:rPr>
              <w:t>Registro en fuentes consultadas</w:t>
            </w:r>
          </w:p>
        </w:tc>
        <w:tc>
          <w:tcPr>
            <w:tcW w:w="2820" w:type="dxa"/>
            <w:tcBorders>
              <w:top w:val="single" w:sz="6" w:space="0" w:color="000000"/>
              <w:left w:val="nil"/>
              <w:bottom w:val="single" w:sz="6" w:space="0" w:color="000000"/>
              <w:right w:val="nil"/>
            </w:tcBorders>
            <w:shd w:val="clear" w:color="auto" w:fill="FFFFFF"/>
          </w:tcPr>
          <w:p w:rsidR="00424856" w:rsidRDefault="009E0916">
            <w:pPr>
              <w:spacing w:before="40" w:after="40" w:line="240" w:lineRule="auto"/>
              <w:jc w:val="center"/>
            </w:pPr>
            <w:r>
              <w:rPr>
                <w:b/>
                <w:bCs/>
              </w:rPr>
              <w:t>Duración aproximada</w:t>
            </w:r>
          </w:p>
        </w:tc>
        <w:tc>
          <w:tcPr>
            <w:tcW w:w="2820" w:type="dxa"/>
            <w:tcBorders>
              <w:top w:val="single" w:sz="6" w:space="0" w:color="000000"/>
              <w:left w:val="nil"/>
              <w:bottom w:val="single" w:sz="6" w:space="0" w:color="000000"/>
              <w:right w:val="nil"/>
            </w:tcBorders>
            <w:shd w:val="clear" w:color="auto" w:fill="FFFFFF"/>
          </w:tcPr>
          <w:p w:rsidR="00424856" w:rsidRDefault="009E0916">
            <w:pPr>
              <w:spacing w:before="40" w:after="40" w:line="240" w:lineRule="auto"/>
              <w:jc w:val="center"/>
            </w:pPr>
            <w:r>
              <w:rPr>
                <w:b/>
                <w:bCs/>
              </w:rPr>
              <w:t>Campeón</w:t>
            </w:r>
          </w:p>
        </w:tc>
      </w:tr>
      <w:tr w:rsidR="00424856">
        <w:tc>
          <w:tcPr>
            <w:tcW w:w="900" w:type="dxa"/>
            <w:tcBorders>
              <w:top w:val="nil"/>
              <w:left w:val="nil"/>
              <w:bottom w:val="nil"/>
              <w:right w:val="nil"/>
            </w:tcBorders>
            <w:shd w:val="clear" w:color="auto" w:fill="FFFFFF"/>
          </w:tcPr>
          <w:p w:rsidR="00424856" w:rsidRDefault="009E0916">
            <w:pPr>
              <w:spacing w:before="40" w:after="40" w:line="240" w:lineRule="auto"/>
              <w:jc w:val="center"/>
            </w:pPr>
            <w:r>
              <w:t>2020</w:t>
            </w:r>
          </w:p>
        </w:tc>
        <w:tc>
          <w:tcPr>
            <w:tcW w:w="2820" w:type="dxa"/>
            <w:tcBorders>
              <w:top w:val="nil"/>
              <w:left w:val="nil"/>
              <w:bottom w:val="nil"/>
              <w:right w:val="nil"/>
            </w:tcBorders>
            <w:shd w:val="clear" w:color="auto" w:fill="FFFFFF"/>
          </w:tcPr>
          <w:p w:rsidR="00424856" w:rsidRDefault="009E0916">
            <w:pPr>
              <w:spacing w:before="40" w:after="40" w:line="240" w:lineRule="auto"/>
            </w:pPr>
            <w:r>
              <w:t>Sí</w:t>
            </w:r>
          </w:p>
        </w:tc>
        <w:tc>
          <w:tcPr>
            <w:tcW w:w="2820" w:type="dxa"/>
            <w:tcBorders>
              <w:top w:val="nil"/>
              <w:left w:val="nil"/>
              <w:bottom w:val="nil"/>
              <w:right w:val="nil"/>
            </w:tcBorders>
            <w:shd w:val="clear" w:color="auto" w:fill="FFFFFF"/>
          </w:tcPr>
          <w:p w:rsidR="00424856" w:rsidRDefault="009E0916">
            <w:pPr>
              <w:spacing w:before="40" w:after="40" w:line="240" w:lineRule="auto"/>
            </w:pPr>
            <w:r>
              <w:t>Menos de dos meses</w:t>
            </w:r>
          </w:p>
        </w:tc>
        <w:tc>
          <w:tcPr>
            <w:tcW w:w="2820" w:type="dxa"/>
            <w:tcBorders>
              <w:top w:val="nil"/>
              <w:left w:val="nil"/>
              <w:bottom w:val="nil"/>
              <w:right w:val="nil"/>
            </w:tcBorders>
            <w:shd w:val="clear" w:color="auto" w:fill="FFFFFF"/>
          </w:tcPr>
          <w:p w:rsidR="00424856" w:rsidRDefault="009E0916">
            <w:pPr>
              <w:spacing w:before="40" w:after="40" w:line="240" w:lineRule="auto"/>
            </w:pPr>
            <w:r>
              <w:t>Leonas Inder Medellín</w:t>
            </w:r>
          </w:p>
        </w:tc>
      </w:tr>
      <w:tr w:rsidR="00424856">
        <w:tc>
          <w:tcPr>
            <w:tcW w:w="900" w:type="dxa"/>
            <w:tcBorders>
              <w:top w:val="nil"/>
              <w:left w:val="nil"/>
              <w:bottom w:val="nil"/>
              <w:right w:val="nil"/>
            </w:tcBorders>
            <w:shd w:val="clear" w:color="auto" w:fill="FFFFFF"/>
          </w:tcPr>
          <w:p w:rsidR="00424856" w:rsidRDefault="009E0916">
            <w:pPr>
              <w:spacing w:before="40" w:after="40" w:line="240" w:lineRule="auto"/>
              <w:jc w:val="center"/>
            </w:pPr>
            <w:r>
              <w:t>2021</w:t>
            </w:r>
          </w:p>
        </w:tc>
        <w:tc>
          <w:tcPr>
            <w:tcW w:w="2820" w:type="dxa"/>
            <w:tcBorders>
              <w:top w:val="nil"/>
              <w:left w:val="nil"/>
              <w:bottom w:val="nil"/>
              <w:right w:val="nil"/>
            </w:tcBorders>
            <w:shd w:val="clear" w:color="auto" w:fill="FFFFFF"/>
          </w:tcPr>
          <w:p w:rsidR="00424856" w:rsidRDefault="009E0916">
            <w:pPr>
              <w:spacing w:before="40" w:after="40" w:line="240" w:lineRule="auto"/>
            </w:pPr>
            <w:r>
              <w:t>Sí</w:t>
            </w:r>
          </w:p>
        </w:tc>
        <w:tc>
          <w:tcPr>
            <w:tcW w:w="2820" w:type="dxa"/>
            <w:tcBorders>
              <w:top w:val="nil"/>
              <w:left w:val="nil"/>
              <w:bottom w:val="nil"/>
              <w:right w:val="nil"/>
            </w:tcBorders>
            <w:shd w:val="clear" w:color="auto" w:fill="FFFFFF"/>
          </w:tcPr>
          <w:p w:rsidR="00424856" w:rsidRDefault="009E0916">
            <w:pPr>
              <w:spacing w:before="40" w:after="40" w:line="240" w:lineRule="auto"/>
            </w:pPr>
            <w:r>
              <w:t>Alrededor de un mes</w:t>
            </w:r>
          </w:p>
        </w:tc>
        <w:tc>
          <w:tcPr>
            <w:tcW w:w="2820" w:type="dxa"/>
            <w:tcBorders>
              <w:top w:val="nil"/>
              <w:left w:val="nil"/>
              <w:bottom w:val="nil"/>
              <w:right w:val="nil"/>
            </w:tcBorders>
            <w:shd w:val="clear" w:color="auto" w:fill="FFFFFF"/>
          </w:tcPr>
          <w:p w:rsidR="00424856" w:rsidRDefault="009E0916">
            <w:pPr>
              <w:spacing w:before="40" w:after="40" w:line="240" w:lineRule="auto"/>
            </w:pPr>
            <w:r>
              <w:t>Atlantas de Barranquilla</w:t>
            </w:r>
          </w:p>
        </w:tc>
      </w:tr>
      <w:tr w:rsidR="00424856">
        <w:tc>
          <w:tcPr>
            <w:tcW w:w="900" w:type="dxa"/>
            <w:tcBorders>
              <w:top w:val="nil"/>
              <w:left w:val="nil"/>
              <w:bottom w:val="nil"/>
              <w:right w:val="nil"/>
            </w:tcBorders>
            <w:shd w:val="clear" w:color="auto" w:fill="FFFFFF"/>
          </w:tcPr>
          <w:p w:rsidR="00424856" w:rsidRDefault="009E0916">
            <w:pPr>
              <w:spacing w:before="40" w:after="40" w:line="240" w:lineRule="auto"/>
              <w:jc w:val="center"/>
            </w:pPr>
            <w:r>
              <w:t>2022</w:t>
            </w:r>
          </w:p>
        </w:tc>
        <w:tc>
          <w:tcPr>
            <w:tcW w:w="2820" w:type="dxa"/>
            <w:tcBorders>
              <w:top w:val="nil"/>
              <w:left w:val="nil"/>
              <w:bottom w:val="nil"/>
              <w:right w:val="nil"/>
            </w:tcBorders>
            <w:shd w:val="clear" w:color="auto" w:fill="FFFFFF"/>
          </w:tcPr>
          <w:p w:rsidR="00424856" w:rsidRDefault="009E0916">
            <w:pPr>
              <w:spacing w:before="40" w:after="40" w:line="240" w:lineRule="auto"/>
            </w:pPr>
            <w:r>
              <w:t>Sí</w:t>
            </w:r>
          </w:p>
        </w:tc>
        <w:tc>
          <w:tcPr>
            <w:tcW w:w="2820" w:type="dxa"/>
            <w:tcBorders>
              <w:top w:val="nil"/>
              <w:left w:val="nil"/>
              <w:bottom w:val="nil"/>
              <w:right w:val="nil"/>
            </w:tcBorders>
            <w:shd w:val="clear" w:color="auto" w:fill="FFFFFF"/>
          </w:tcPr>
          <w:p w:rsidR="00424856" w:rsidRDefault="009E0916">
            <w:pPr>
              <w:spacing w:before="40" w:after="40" w:line="240" w:lineRule="auto"/>
            </w:pPr>
            <w:r>
              <w:t>Alrededor de seis semanas</w:t>
            </w:r>
          </w:p>
        </w:tc>
        <w:tc>
          <w:tcPr>
            <w:tcW w:w="2820" w:type="dxa"/>
            <w:tcBorders>
              <w:top w:val="nil"/>
              <w:left w:val="nil"/>
              <w:bottom w:val="nil"/>
              <w:right w:val="nil"/>
            </w:tcBorders>
            <w:shd w:val="clear" w:color="auto" w:fill="FFFFFF"/>
          </w:tcPr>
          <w:p w:rsidR="00424856" w:rsidRDefault="009E0916">
            <w:pPr>
              <w:spacing w:before="40" w:after="40" w:line="240" w:lineRule="auto"/>
            </w:pPr>
            <w:r>
              <w:t>Hormigas Indersantander</w:t>
            </w:r>
          </w:p>
        </w:tc>
      </w:tr>
      <w:tr w:rsidR="00424856">
        <w:tc>
          <w:tcPr>
            <w:tcW w:w="900" w:type="dxa"/>
            <w:tcBorders>
              <w:top w:val="nil"/>
              <w:left w:val="nil"/>
              <w:bottom w:val="nil"/>
              <w:right w:val="nil"/>
            </w:tcBorders>
            <w:shd w:val="clear" w:color="auto" w:fill="FFFFFF"/>
          </w:tcPr>
          <w:p w:rsidR="00424856" w:rsidRDefault="009E0916">
            <w:pPr>
              <w:spacing w:before="40" w:after="40" w:line="240" w:lineRule="auto"/>
              <w:jc w:val="center"/>
            </w:pPr>
            <w:r>
              <w:t>2023</w:t>
            </w:r>
          </w:p>
        </w:tc>
        <w:tc>
          <w:tcPr>
            <w:tcW w:w="2820" w:type="dxa"/>
            <w:tcBorders>
              <w:top w:val="nil"/>
              <w:left w:val="nil"/>
              <w:bottom w:val="nil"/>
              <w:right w:val="nil"/>
            </w:tcBorders>
            <w:shd w:val="clear" w:color="auto" w:fill="FFFFFF"/>
          </w:tcPr>
          <w:p w:rsidR="00424856" w:rsidRDefault="009E0916">
            <w:pPr>
              <w:spacing w:before="40" w:after="40" w:line="240" w:lineRule="auto"/>
            </w:pPr>
            <w:r>
              <w:t>Sí</w:t>
            </w:r>
          </w:p>
        </w:tc>
        <w:tc>
          <w:tcPr>
            <w:tcW w:w="2820" w:type="dxa"/>
            <w:tcBorders>
              <w:top w:val="nil"/>
              <w:left w:val="nil"/>
              <w:bottom w:val="nil"/>
              <w:right w:val="nil"/>
            </w:tcBorders>
            <w:shd w:val="clear" w:color="auto" w:fill="FFFFFF"/>
          </w:tcPr>
          <w:p w:rsidR="00424856" w:rsidRPr="001C1EBB" w:rsidRDefault="009E0916">
            <w:pPr>
              <w:spacing w:before="40" w:after="40" w:line="240" w:lineRule="auto"/>
              <w:rPr>
                <w:lang w:val="es-ES"/>
              </w:rPr>
            </w:pPr>
            <w:r w:rsidRPr="001C1EBB">
              <w:rPr>
                <w:lang w:val="es-ES"/>
              </w:rPr>
              <w:t>Alrededor de un mes (24 de mayo a 24 de junio)</w:t>
            </w:r>
          </w:p>
        </w:tc>
        <w:tc>
          <w:tcPr>
            <w:tcW w:w="2820" w:type="dxa"/>
            <w:tcBorders>
              <w:top w:val="nil"/>
              <w:left w:val="nil"/>
              <w:bottom w:val="nil"/>
              <w:right w:val="nil"/>
            </w:tcBorders>
            <w:shd w:val="clear" w:color="auto" w:fill="FFFFFF"/>
          </w:tcPr>
          <w:p w:rsidR="00424856" w:rsidRDefault="009E0916">
            <w:pPr>
              <w:spacing w:before="40" w:after="40" w:line="240" w:lineRule="auto"/>
            </w:pPr>
            <w:r>
              <w:t>Indeportes Antioquia</w:t>
            </w:r>
          </w:p>
        </w:tc>
      </w:tr>
      <w:tr w:rsidR="00424856">
        <w:tc>
          <w:tcPr>
            <w:tcW w:w="900" w:type="dxa"/>
            <w:tcBorders>
              <w:top w:val="nil"/>
              <w:left w:val="nil"/>
              <w:bottom w:val="nil"/>
              <w:right w:val="nil"/>
            </w:tcBorders>
            <w:shd w:val="clear" w:color="auto" w:fill="FFFFFF"/>
          </w:tcPr>
          <w:p w:rsidR="00424856" w:rsidRDefault="009E0916">
            <w:pPr>
              <w:spacing w:before="40" w:after="40" w:line="240" w:lineRule="auto"/>
              <w:jc w:val="center"/>
            </w:pPr>
            <w:r>
              <w:t>2024</w:t>
            </w:r>
          </w:p>
        </w:tc>
        <w:tc>
          <w:tcPr>
            <w:tcW w:w="2820" w:type="dxa"/>
            <w:tcBorders>
              <w:top w:val="nil"/>
              <w:left w:val="nil"/>
              <w:bottom w:val="nil"/>
              <w:right w:val="nil"/>
            </w:tcBorders>
            <w:shd w:val="clear" w:color="auto" w:fill="FFFFFF"/>
          </w:tcPr>
          <w:p w:rsidR="00424856" w:rsidRDefault="009E0916">
            <w:pPr>
              <w:spacing w:before="40" w:after="40" w:line="240" w:lineRule="auto"/>
            </w:pPr>
            <w:r>
              <w:t>No registrada</w:t>
            </w:r>
          </w:p>
        </w:tc>
        <w:tc>
          <w:tcPr>
            <w:tcW w:w="2820" w:type="dxa"/>
            <w:tcBorders>
              <w:top w:val="nil"/>
              <w:left w:val="nil"/>
              <w:bottom w:val="nil"/>
              <w:right w:val="nil"/>
            </w:tcBorders>
            <w:shd w:val="clear" w:color="auto" w:fill="FFFFFF"/>
          </w:tcPr>
          <w:p w:rsidR="00424856" w:rsidRDefault="009E0916">
            <w:pPr>
              <w:spacing w:before="40" w:after="40" w:line="240" w:lineRule="auto"/>
            </w:pPr>
            <w:r>
              <w:t>No aplica</w:t>
            </w:r>
          </w:p>
        </w:tc>
        <w:tc>
          <w:tcPr>
            <w:tcW w:w="2820" w:type="dxa"/>
            <w:tcBorders>
              <w:top w:val="nil"/>
              <w:left w:val="nil"/>
              <w:bottom w:val="nil"/>
              <w:right w:val="nil"/>
            </w:tcBorders>
            <w:shd w:val="clear" w:color="auto" w:fill="FFFFFF"/>
          </w:tcPr>
          <w:p w:rsidR="00424856" w:rsidRDefault="009E0916">
            <w:pPr>
              <w:spacing w:before="40" w:after="40" w:line="240" w:lineRule="auto"/>
            </w:pPr>
            <w:r>
              <w:t>No aplica</w:t>
            </w:r>
          </w:p>
        </w:tc>
      </w:tr>
      <w:tr w:rsidR="00424856">
        <w:tc>
          <w:tcPr>
            <w:tcW w:w="900" w:type="dxa"/>
            <w:tcBorders>
              <w:top w:val="nil"/>
              <w:left w:val="nil"/>
              <w:bottom w:val="single" w:sz="6" w:space="0" w:color="000000"/>
              <w:right w:val="nil"/>
            </w:tcBorders>
            <w:shd w:val="clear" w:color="auto" w:fill="FFFFFF"/>
          </w:tcPr>
          <w:p w:rsidR="00424856" w:rsidRDefault="009E0916">
            <w:pPr>
              <w:spacing w:before="40" w:after="40" w:line="240" w:lineRule="auto"/>
              <w:jc w:val="center"/>
            </w:pPr>
            <w:r>
              <w:t>2025</w:t>
            </w:r>
          </w:p>
        </w:tc>
        <w:tc>
          <w:tcPr>
            <w:tcW w:w="2820" w:type="dxa"/>
            <w:tcBorders>
              <w:top w:val="nil"/>
              <w:left w:val="nil"/>
              <w:bottom w:val="single" w:sz="6" w:space="0" w:color="000000"/>
              <w:right w:val="nil"/>
            </w:tcBorders>
            <w:shd w:val="clear" w:color="auto" w:fill="FFFFFF"/>
          </w:tcPr>
          <w:p w:rsidR="00424856" w:rsidRDefault="009E0916">
            <w:pPr>
              <w:spacing w:before="40" w:after="40" w:line="240" w:lineRule="auto"/>
            </w:pPr>
            <w:r>
              <w:t>No registrada</w:t>
            </w:r>
          </w:p>
        </w:tc>
        <w:tc>
          <w:tcPr>
            <w:tcW w:w="2820" w:type="dxa"/>
            <w:tcBorders>
              <w:top w:val="nil"/>
              <w:left w:val="nil"/>
              <w:bottom w:val="single" w:sz="6" w:space="0" w:color="000000"/>
              <w:right w:val="nil"/>
            </w:tcBorders>
            <w:shd w:val="clear" w:color="auto" w:fill="FFFFFF"/>
          </w:tcPr>
          <w:p w:rsidR="00424856" w:rsidRDefault="009E0916">
            <w:pPr>
              <w:spacing w:before="40" w:after="40" w:line="240" w:lineRule="auto"/>
            </w:pPr>
            <w:r>
              <w:t>No aplica</w:t>
            </w:r>
          </w:p>
        </w:tc>
        <w:tc>
          <w:tcPr>
            <w:tcW w:w="2820" w:type="dxa"/>
            <w:tcBorders>
              <w:top w:val="nil"/>
              <w:left w:val="nil"/>
              <w:bottom w:val="single" w:sz="6" w:space="0" w:color="000000"/>
              <w:right w:val="nil"/>
            </w:tcBorders>
            <w:shd w:val="clear" w:color="auto" w:fill="FFFFFF"/>
          </w:tcPr>
          <w:p w:rsidR="00424856" w:rsidRDefault="009E0916">
            <w:pPr>
              <w:spacing w:before="40" w:after="40" w:line="240" w:lineRule="auto"/>
            </w:pPr>
            <w:r>
              <w:t>No aplica</w:t>
            </w:r>
          </w:p>
        </w:tc>
      </w:tr>
    </w:tbl>
    <w:p w:rsidR="00424856" w:rsidRPr="001C1EBB" w:rsidRDefault="009E0916">
      <w:pPr>
        <w:keepLines/>
        <w:spacing w:before="120" w:line="240" w:lineRule="auto"/>
        <w:rPr>
          <w:lang w:val="es-ES"/>
        </w:rPr>
      </w:pPr>
      <w:r w:rsidRPr="001C1EBB">
        <w:rPr>
          <w:i/>
          <w:iCs/>
          <w:sz w:val="20"/>
          <w:szCs w:val="20"/>
          <w:lang w:val="es-ES"/>
        </w:rPr>
        <w:t>Nota.</w:t>
      </w:r>
      <w:r w:rsidRPr="001C1EBB">
        <w:rPr>
          <w:sz w:val="20"/>
          <w:szCs w:val="20"/>
          <w:lang w:val="es-ES"/>
        </w:rPr>
        <w:t xml:space="preserve"> Elaboración con ayuda de IA a partir de Latinbasket (2025) y Ministerio del Deporte (2023). La ausencia de registro para 2024 y 2025 en las bases de datos especializadas consultadas no equivale a una confirmación oficial de que el certamen no se haya disp</w:t>
      </w:r>
      <w:r w:rsidRPr="001C1EBB">
        <w:rPr>
          <w:sz w:val="20"/>
          <w:szCs w:val="20"/>
          <w:lang w:val="es-ES"/>
        </w:rPr>
        <w:t>utado; su verificación ante la Federación Colombiana de Baloncesto constituye la primera tarea del objetivo específico 1.</w:t>
      </w:r>
    </w:p>
    <w:p w:rsidR="00424856" w:rsidRPr="001C1EBB" w:rsidRDefault="00424856">
      <w:pPr>
        <w:rPr>
          <w:lang w:val="es-ES"/>
        </w:rPr>
      </w:pPr>
    </w:p>
    <w:p w:rsidR="00424856" w:rsidRPr="001C1EBB" w:rsidRDefault="009E0916">
      <w:pPr>
        <w:ind w:firstLine="720"/>
        <w:rPr>
          <w:lang w:val="es-ES"/>
        </w:rPr>
      </w:pPr>
      <w:r w:rsidRPr="001C1EBB">
        <w:rPr>
          <w:lang w:val="es-ES"/>
        </w:rPr>
        <w:t>Finalmente, la Tabla 3 presenta el salario mínimo legal mensual vigente durante el periodo de estudio, que se empleará como unidad de</w:t>
      </w:r>
      <w:r w:rsidRPr="001C1EBB">
        <w:rPr>
          <w:lang w:val="es-ES"/>
        </w:rPr>
        <w:t xml:space="preserve"> referencia para interpretar las remuneraciones que se logre documentar.</w:t>
      </w:r>
    </w:p>
    <w:p w:rsidR="00424856" w:rsidRPr="001C1EBB" w:rsidRDefault="00424856">
      <w:pPr>
        <w:rPr>
          <w:lang w:val="es-ES"/>
        </w:rPr>
      </w:pPr>
    </w:p>
    <w:p w:rsidR="00424856" w:rsidRPr="001C1EBB" w:rsidRDefault="009E0916">
      <w:pPr>
        <w:rPr>
          <w:lang w:val="es-ES"/>
        </w:rPr>
      </w:pPr>
      <w:r w:rsidRPr="001C1EBB">
        <w:rPr>
          <w:b/>
          <w:bCs/>
          <w:lang w:val="es-ES"/>
        </w:rPr>
        <w:t>Tabla 3</w:t>
      </w:r>
    </w:p>
    <w:p w:rsidR="00424856" w:rsidRPr="001C1EBB" w:rsidRDefault="009E0916">
      <w:pPr>
        <w:rPr>
          <w:lang w:val="es-ES"/>
        </w:rPr>
      </w:pPr>
      <w:r w:rsidRPr="001C1EBB">
        <w:rPr>
          <w:i/>
          <w:iCs/>
          <w:lang w:val="es-ES"/>
        </w:rPr>
        <w:t>Salario mínimo legal mensual vigente en Colombia, 2022–2025</w:t>
      </w:r>
    </w:p>
    <w:tbl>
      <w:tblPr>
        <w:tblStyle w:val="a1"/>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200"/>
        <w:gridCol w:w="4080"/>
        <w:gridCol w:w="4080"/>
      </w:tblGrid>
      <w:tr w:rsidR="00424856">
        <w:trPr>
          <w:tblHeader/>
        </w:trPr>
        <w:tc>
          <w:tcPr>
            <w:tcW w:w="1200" w:type="dxa"/>
            <w:tcBorders>
              <w:top w:val="single" w:sz="6" w:space="0" w:color="000000"/>
              <w:left w:val="nil"/>
              <w:bottom w:val="single" w:sz="6" w:space="0" w:color="000000"/>
              <w:right w:val="nil"/>
            </w:tcBorders>
            <w:shd w:val="clear" w:color="auto" w:fill="FFFFFF"/>
          </w:tcPr>
          <w:p w:rsidR="00424856" w:rsidRDefault="009E0916">
            <w:pPr>
              <w:spacing w:before="40" w:after="40" w:line="240" w:lineRule="auto"/>
              <w:jc w:val="center"/>
            </w:pPr>
            <w:r>
              <w:rPr>
                <w:b/>
                <w:bCs/>
              </w:rPr>
              <w:t>Año</w:t>
            </w:r>
          </w:p>
        </w:tc>
        <w:tc>
          <w:tcPr>
            <w:tcW w:w="4080" w:type="dxa"/>
            <w:tcBorders>
              <w:top w:val="single" w:sz="6" w:space="0" w:color="000000"/>
              <w:left w:val="nil"/>
              <w:bottom w:val="single" w:sz="6" w:space="0" w:color="000000"/>
              <w:right w:val="nil"/>
            </w:tcBorders>
            <w:shd w:val="clear" w:color="auto" w:fill="FFFFFF"/>
          </w:tcPr>
          <w:p w:rsidR="00424856" w:rsidRDefault="009E0916">
            <w:pPr>
              <w:spacing w:before="40" w:after="40" w:line="240" w:lineRule="auto"/>
              <w:jc w:val="center"/>
            </w:pPr>
            <w:r>
              <w:rPr>
                <w:b/>
                <w:bCs/>
              </w:rPr>
              <w:t>SMLMV (pesos colombianos)</w:t>
            </w:r>
          </w:p>
        </w:tc>
        <w:tc>
          <w:tcPr>
            <w:tcW w:w="4080" w:type="dxa"/>
            <w:tcBorders>
              <w:top w:val="single" w:sz="6" w:space="0" w:color="000000"/>
              <w:left w:val="nil"/>
              <w:bottom w:val="single" w:sz="6" w:space="0" w:color="000000"/>
              <w:right w:val="nil"/>
            </w:tcBorders>
            <w:shd w:val="clear" w:color="auto" w:fill="FFFFFF"/>
          </w:tcPr>
          <w:p w:rsidR="00424856" w:rsidRDefault="009E0916">
            <w:pPr>
              <w:spacing w:before="40" w:after="40" w:line="240" w:lineRule="auto"/>
              <w:jc w:val="center"/>
            </w:pPr>
            <w:r>
              <w:rPr>
                <w:b/>
                <w:bCs/>
              </w:rPr>
              <w:t>Norma que lo fija</w:t>
            </w:r>
          </w:p>
        </w:tc>
      </w:tr>
      <w:tr w:rsidR="00424856">
        <w:tc>
          <w:tcPr>
            <w:tcW w:w="1200" w:type="dxa"/>
            <w:tcBorders>
              <w:top w:val="nil"/>
              <w:left w:val="nil"/>
              <w:bottom w:val="nil"/>
              <w:right w:val="nil"/>
            </w:tcBorders>
            <w:shd w:val="clear" w:color="auto" w:fill="FFFFFF"/>
          </w:tcPr>
          <w:p w:rsidR="00424856" w:rsidRDefault="009E0916">
            <w:pPr>
              <w:spacing w:before="40" w:after="40" w:line="240" w:lineRule="auto"/>
              <w:jc w:val="center"/>
            </w:pPr>
            <w:r>
              <w:t>2022</w:t>
            </w:r>
          </w:p>
        </w:tc>
        <w:tc>
          <w:tcPr>
            <w:tcW w:w="4080" w:type="dxa"/>
            <w:tcBorders>
              <w:top w:val="nil"/>
              <w:left w:val="nil"/>
              <w:bottom w:val="nil"/>
              <w:right w:val="nil"/>
            </w:tcBorders>
            <w:shd w:val="clear" w:color="auto" w:fill="FFFFFF"/>
          </w:tcPr>
          <w:p w:rsidR="00424856" w:rsidRDefault="009E0916">
            <w:pPr>
              <w:spacing w:before="40" w:after="40" w:line="240" w:lineRule="auto"/>
            </w:pPr>
            <w:r>
              <w:t>1.000.000</w:t>
            </w:r>
          </w:p>
        </w:tc>
        <w:tc>
          <w:tcPr>
            <w:tcW w:w="4080" w:type="dxa"/>
            <w:tcBorders>
              <w:top w:val="nil"/>
              <w:left w:val="nil"/>
              <w:bottom w:val="nil"/>
              <w:right w:val="nil"/>
            </w:tcBorders>
            <w:shd w:val="clear" w:color="auto" w:fill="FFFFFF"/>
          </w:tcPr>
          <w:p w:rsidR="00424856" w:rsidRDefault="009E0916">
            <w:pPr>
              <w:spacing w:before="40" w:after="40" w:line="240" w:lineRule="auto"/>
            </w:pPr>
            <w:r>
              <w:t>Decreto 1724 de 2021</w:t>
            </w:r>
          </w:p>
        </w:tc>
      </w:tr>
      <w:tr w:rsidR="00424856">
        <w:tc>
          <w:tcPr>
            <w:tcW w:w="1200" w:type="dxa"/>
            <w:tcBorders>
              <w:top w:val="nil"/>
              <w:left w:val="nil"/>
              <w:bottom w:val="nil"/>
              <w:right w:val="nil"/>
            </w:tcBorders>
            <w:shd w:val="clear" w:color="auto" w:fill="FFFFFF"/>
          </w:tcPr>
          <w:p w:rsidR="00424856" w:rsidRDefault="009E0916">
            <w:pPr>
              <w:spacing w:before="40" w:after="40" w:line="240" w:lineRule="auto"/>
              <w:jc w:val="center"/>
            </w:pPr>
            <w:r>
              <w:t>2023</w:t>
            </w:r>
          </w:p>
        </w:tc>
        <w:tc>
          <w:tcPr>
            <w:tcW w:w="4080" w:type="dxa"/>
            <w:tcBorders>
              <w:top w:val="nil"/>
              <w:left w:val="nil"/>
              <w:bottom w:val="nil"/>
              <w:right w:val="nil"/>
            </w:tcBorders>
            <w:shd w:val="clear" w:color="auto" w:fill="FFFFFF"/>
          </w:tcPr>
          <w:p w:rsidR="00424856" w:rsidRDefault="009E0916">
            <w:pPr>
              <w:spacing w:before="40" w:after="40" w:line="240" w:lineRule="auto"/>
            </w:pPr>
            <w:r>
              <w:t>1.160.000</w:t>
            </w:r>
          </w:p>
        </w:tc>
        <w:tc>
          <w:tcPr>
            <w:tcW w:w="4080" w:type="dxa"/>
            <w:tcBorders>
              <w:top w:val="nil"/>
              <w:left w:val="nil"/>
              <w:bottom w:val="nil"/>
              <w:right w:val="nil"/>
            </w:tcBorders>
            <w:shd w:val="clear" w:color="auto" w:fill="FFFFFF"/>
          </w:tcPr>
          <w:p w:rsidR="00424856" w:rsidRDefault="009E0916">
            <w:pPr>
              <w:spacing w:before="40" w:after="40" w:line="240" w:lineRule="auto"/>
            </w:pPr>
            <w:r>
              <w:t>Decreto 2613 de 2022</w:t>
            </w:r>
          </w:p>
        </w:tc>
      </w:tr>
      <w:tr w:rsidR="00424856">
        <w:tc>
          <w:tcPr>
            <w:tcW w:w="1200" w:type="dxa"/>
            <w:tcBorders>
              <w:top w:val="nil"/>
              <w:left w:val="nil"/>
              <w:bottom w:val="nil"/>
              <w:right w:val="nil"/>
            </w:tcBorders>
            <w:shd w:val="clear" w:color="auto" w:fill="FFFFFF"/>
          </w:tcPr>
          <w:p w:rsidR="00424856" w:rsidRDefault="009E0916">
            <w:pPr>
              <w:spacing w:before="40" w:after="40" w:line="240" w:lineRule="auto"/>
              <w:jc w:val="center"/>
            </w:pPr>
            <w:r>
              <w:t>2024</w:t>
            </w:r>
          </w:p>
        </w:tc>
        <w:tc>
          <w:tcPr>
            <w:tcW w:w="4080" w:type="dxa"/>
            <w:tcBorders>
              <w:top w:val="nil"/>
              <w:left w:val="nil"/>
              <w:bottom w:val="nil"/>
              <w:right w:val="nil"/>
            </w:tcBorders>
            <w:shd w:val="clear" w:color="auto" w:fill="FFFFFF"/>
          </w:tcPr>
          <w:p w:rsidR="00424856" w:rsidRDefault="009E0916">
            <w:pPr>
              <w:spacing w:before="40" w:after="40" w:line="240" w:lineRule="auto"/>
            </w:pPr>
            <w:r>
              <w:t>1.300.000</w:t>
            </w:r>
          </w:p>
        </w:tc>
        <w:tc>
          <w:tcPr>
            <w:tcW w:w="4080" w:type="dxa"/>
            <w:tcBorders>
              <w:top w:val="nil"/>
              <w:left w:val="nil"/>
              <w:bottom w:val="nil"/>
              <w:right w:val="nil"/>
            </w:tcBorders>
            <w:shd w:val="clear" w:color="auto" w:fill="FFFFFF"/>
          </w:tcPr>
          <w:p w:rsidR="00424856" w:rsidRDefault="009E0916">
            <w:pPr>
              <w:spacing w:before="40" w:after="40" w:line="240" w:lineRule="auto"/>
            </w:pPr>
            <w:r>
              <w:t>Decreto 2292 de 2023</w:t>
            </w:r>
          </w:p>
        </w:tc>
      </w:tr>
      <w:tr w:rsidR="00424856">
        <w:tc>
          <w:tcPr>
            <w:tcW w:w="1200" w:type="dxa"/>
            <w:tcBorders>
              <w:top w:val="nil"/>
              <w:left w:val="nil"/>
              <w:bottom w:val="single" w:sz="6" w:space="0" w:color="000000"/>
              <w:right w:val="nil"/>
            </w:tcBorders>
            <w:shd w:val="clear" w:color="auto" w:fill="FFFFFF"/>
          </w:tcPr>
          <w:p w:rsidR="00424856" w:rsidRDefault="009E0916">
            <w:pPr>
              <w:spacing w:before="40" w:after="40" w:line="240" w:lineRule="auto"/>
              <w:jc w:val="center"/>
            </w:pPr>
            <w:r>
              <w:t>2025</w:t>
            </w:r>
          </w:p>
        </w:tc>
        <w:tc>
          <w:tcPr>
            <w:tcW w:w="4080" w:type="dxa"/>
            <w:tcBorders>
              <w:top w:val="nil"/>
              <w:left w:val="nil"/>
              <w:bottom w:val="single" w:sz="6" w:space="0" w:color="000000"/>
              <w:right w:val="nil"/>
            </w:tcBorders>
            <w:shd w:val="clear" w:color="auto" w:fill="FFFFFF"/>
          </w:tcPr>
          <w:p w:rsidR="00424856" w:rsidRDefault="009E0916">
            <w:pPr>
              <w:spacing w:before="40" w:after="40" w:line="240" w:lineRule="auto"/>
            </w:pPr>
            <w:r>
              <w:t>1.423.500</w:t>
            </w:r>
          </w:p>
        </w:tc>
        <w:tc>
          <w:tcPr>
            <w:tcW w:w="4080" w:type="dxa"/>
            <w:tcBorders>
              <w:top w:val="nil"/>
              <w:left w:val="nil"/>
              <w:bottom w:val="single" w:sz="6" w:space="0" w:color="000000"/>
              <w:right w:val="nil"/>
            </w:tcBorders>
            <w:shd w:val="clear" w:color="auto" w:fill="FFFFFF"/>
          </w:tcPr>
          <w:p w:rsidR="00424856" w:rsidRDefault="009E0916">
            <w:pPr>
              <w:spacing w:before="40" w:after="40" w:line="240" w:lineRule="auto"/>
            </w:pPr>
            <w:r>
              <w:t>Decreto 1572 de 2024</w:t>
            </w:r>
          </w:p>
        </w:tc>
      </w:tr>
    </w:tbl>
    <w:p w:rsidR="00424856" w:rsidRPr="001C1EBB" w:rsidRDefault="009E0916">
      <w:pPr>
        <w:keepLines/>
        <w:spacing w:before="120" w:line="240" w:lineRule="auto"/>
        <w:rPr>
          <w:lang w:val="es-ES"/>
        </w:rPr>
      </w:pPr>
      <w:r w:rsidRPr="001C1EBB">
        <w:rPr>
          <w:i/>
          <w:iCs/>
          <w:sz w:val="20"/>
          <w:szCs w:val="20"/>
          <w:lang w:val="es-ES"/>
        </w:rPr>
        <w:t>Nota.</w:t>
      </w:r>
      <w:r w:rsidRPr="001C1EBB">
        <w:rPr>
          <w:sz w:val="20"/>
          <w:szCs w:val="20"/>
          <w:lang w:val="es-ES"/>
        </w:rPr>
        <w:t xml:space="preserve"> Elaboración con ayuda de IA a partir de Presidencia de la República de Colombia (2021, 2022, 2023, 2024). No se incluye el auxilio de transporte.</w:t>
      </w:r>
    </w:p>
    <w:p w:rsidR="00424856" w:rsidRPr="001C1EBB" w:rsidRDefault="00424856">
      <w:pPr>
        <w:rPr>
          <w:lang w:val="es-ES"/>
        </w:rPr>
      </w:pPr>
    </w:p>
    <w:p w:rsidR="00424856" w:rsidRPr="001C1EBB" w:rsidRDefault="009E0916">
      <w:pPr>
        <w:pStyle w:val="Ttulo2"/>
        <w:rPr>
          <w:lang w:val="es-ES"/>
        </w:rPr>
      </w:pPr>
      <w:bookmarkStart w:id="14" w:name="_TocG8_013"/>
      <w:bookmarkEnd w:id="14"/>
      <w:r w:rsidRPr="001C1EBB">
        <w:rPr>
          <w:lang w:val="es-ES"/>
        </w:rPr>
        <w:t>Actores Afectados y Consecuencias</w:t>
      </w:r>
    </w:p>
    <w:p w:rsidR="00424856" w:rsidRPr="001C1EBB" w:rsidRDefault="009E0916">
      <w:pPr>
        <w:ind w:firstLine="720"/>
        <w:rPr>
          <w:lang w:val="es-ES"/>
        </w:rPr>
      </w:pPr>
      <w:r w:rsidRPr="001C1EBB">
        <w:rPr>
          <w:lang w:val="es-ES"/>
        </w:rPr>
        <w:t xml:space="preserve">El problema afecta de manera </w:t>
      </w:r>
      <w:r w:rsidRPr="001C1EBB">
        <w:rPr>
          <w:lang w:val="es-ES"/>
        </w:rPr>
        <w:t xml:space="preserve">diferente </w:t>
      </w:r>
      <w:r w:rsidRPr="001C1EBB">
        <w:rPr>
          <w:lang w:val="es-ES"/>
        </w:rPr>
        <w:t>a por lo menos cuatro tipos de actores.</w:t>
      </w:r>
    </w:p>
    <w:p w:rsidR="00424856" w:rsidRPr="001C1EBB" w:rsidRDefault="009E0916">
      <w:pPr>
        <w:ind w:firstLine="720"/>
        <w:rPr>
          <w:lang w:val="es-ES"/>
        </w:rPr>
      </w:pPr>
      <w:r w:rsidRPr="001C1EBB">
        <w:rPr>
          <w:lang w:val="es-ES"/>
        </w:rPr>
        <w:t>Las jugadoras constituyen el grupo más perjudicado. La discontinuidad del calendario competitivo y la ausencia de información sobre remuneracio</w:t>
      </w:r>
      <w:r w:rsidRPr="001C1EBB">
        <w:rPr>
          <w:lang w:val="es-ES"/>
        </w:rPr>
        <w:t>nes dificultan la negociación individual y colectiva de sus condiciones laborales. En disciplinas comparables del país se han documentado incumplimientos reiterados en el pago de salarios y prestaciones sociales (Infobae, 2025</w:t>
      </w:r>
      <w:r w:rsidRPr="001C1EBB">
        <w:rPr>
          <w:lang w:val="es-ES"/>
        </w:rPr>
        <w:t>).</w:t>
      </w:r>
    </w:p>
    <w:p w:rsidR="00424856" w:rsidRPr="001C1EBB" w:rsidRDefault="009E0916">
      <w:pPr>
        <w:ind w:firstLine="720"/>
        <w:rPr>
          <w:lang w:val="es-ES"/>
        </w:rPr>
      </w:pPr>
      <w:r w:rsidRPr="001C1EBB">
        <w:rPr>
          <w:lang w:val="es-ES"/>
        </w:rPr>
        <w:t>Los clubes y sus directivos</w:t>
      </w:r>
      <w:r w:rsidRPr="001C1EBB">
        <w:rPr>
          <w:lang w:val="es-ES"/>
        </w:rPr>
        <w:t xml:space="preserve"> enfrentan la </w:t>
      </w:r>
      <w:r w:rsidRPr="001C1EBB">
        <w:rPr>
          <w:lang w:val="es-ES"/>
        </w:rPr>
        <w:t>dificultad</w:t>
      </w:r>
      <w:r w:rsidRPr="001C1EBB">
        <w:rPr>
          <w:lang w:val="es-ES"/>
        </w:rPr>
        <w:t xml:space="preserve"> de comparar su estructura de costos con la de organizaciones semejantes y de proyectar escenarios financieros. La falta de acceso a los contratos suscritos por la división profesional con patrocinadores y proveedores, denunciada fo</w:t>
      </w:r>
      <w:r w:rsidRPr="001C1EBB">
        <w:rPr>
          <w:lang w:val="es-ES"/>
        </w:rPr>
        <w:t>rmalmente por cinco clubes masculinos (Rengifo, 2024), ilustra hasta qué punto la información económica del sector permanece fuera del alcance de quienes deben tomar decisiones sobre la viabilidad de sus equipos.</w:t>
      </w:r>
    </w:p>
    <w:p w:rsidR="00424856" w:rsidRPr="001C1EBB" w:rsidRDefault="009E0916">
      <w:pPr>
        <w:ind w:firstLine="720"/>
        <w:rPr>
          <w:lang w:val="es-ES"/>
        </w:rPr>
      </w:pPr>
      <w:r w:rsidRPr="001C1EBB">
        <w:rPr>
          <w:lang w:val="es-ES"/>
        </w:rPr>
        <w:t xml:space="preserve">Las entidades públicas y </w:t>
      </w:r>
      <w:r w:rsidRPr="001C1EBB">
        <w:rPr>
          <w:lang w:val="es-ES"/>
        </w:rPr>
        <w:t xml:space="preserve">federaciones </w:t>
      </w:r>
      <w:r w:rsidRPr="001C1EBB">
        <w:rPr>
          <w:lang w:val="es-ES"/>
        </w:rPr>
        <w:t>carec</w:t>
      </w:r>
      <w:r w:rsidRPr="001C1EBB">
        <w:rPr>
          <w:lang w:val="es-ES"/>
        </w:rPr>
        <w:t xml:space="preserve">en de una línea de base para evaluar el impacto de sus transferencias. El reconocimiento del Viceministerio del Deporte sobre la </w:t>
      </w:r>
      <w:r w:rsidRPr="001C1EBB">
        <w:rPr>
          <w:lang w:val="es-ES"/>
        </w:rPr>
        <w:lastRenderedPageBreak/>
        <w:t>insuficiencia del aporte de 2023 (El Espectador, 2023) se formuló sin que existiera un estudio que estableciera cuánto cuesta e</w:t>
      </w:r>
      <w:r w:rsidRPr="001C1EBB">
        <w:rPr>
          <w:lang w:val="es-ES"/>
        </w:rPr>
        <w:t>fectivamente sostener el certamen, lo que impide sustentar técnicamente cualquier incremento presupuestal.</w:t>
      </w:r>
    </w:p>
    <w:p w:rsidR="00424856" w:rsidRPr="001C1EBB" w:rsidRDefault="009E0916">
      <w:pPr>
        <w:ind w:firstLine="720"/>
        <w:rPr>
          <w:lang w:val="es-ES"/>
        </w:rPr>
      </w:pPr>
      <w:r w:rsidRPr="001C1EBB">
        <w:rPr>
          <w:lang w:val="es-ES"/>
        </w:rPr>
        <w:t>Las empresas patrocinadoras, por último, no disponen de métricas verificables de audiencia, alcance ni retorno que les permitan valorar la oportunida</w:t>
      </w:r>
      <w:r w:rsidRPr="001C1EBB">
        <w:rPr>
          <w:lang w:val="es-ES"/>
        </w:rPr>
        <w:t>d comercial. Torres-Romay y García-Mirón (2020) advirtieron que, en ausencia de esas métricas, el patrocinio al deporte femenino tiende a gestionarse como acción de responsabilidad social y no como inversión comercial sostenida, lo que lo vuelve vulnerable</w:t>
      </w:r>
      <w:r w:rsidRPr="001C1EBB">
        <w:rPr>
          <w:lang w:val="es-ES"/>
        </w:rPr>
        <w:t xml:space="preserve"> a los recortes presupuestales de las empresas.</w:t>
      </w:r>
    </w:p>
    <w:p w:rsidR="00424856" w:rsidRPr="001C1EBB" w:rsidRDefault="009E0916">
      <w:pPr>
        <w:pStyle w:val="Ttulo2"/>
        <w:rPr>
          <w:lang w:val="es-ES"/>
        </w:rPr>
      </w:pPr>
      <w:bookmarkStart w:id="15" w:name="_TocG8_014"/>
      <w:bookmarkEnd w:id="15"/>
      <w:r w:rsidRPr="001C1EBB">
        <w:rPr>
          <w:lang w:val="es-ES"/>
        </w:rPr>
        <w:t>Vacío de Conocimiento</w:t>
      </w:r>
    </w:p>
    <w:p w:rsidR="00424856" w:rsidRPr="001C1EBB" w:rsidRDefault="009E0916">
      <w:pPr>
        <w:ind w:firstLine="720"/>
        <w:rPr>
          <w:lang w:val="es-ES"/>
        </w:rPr>
      </w:pPr>
      <w:r w:rsidRPr="001C1EBB">
        <w:rPr>
          <w:lang w:val="es-ES"/>
        </w:rPr>
        <w:t>La literatura internacional documenta con detalle la expansión de los ingresos del deporte femenino, la valorización de sus derechos de transmisión y las características del patrocinio d</w:t>
      </w:r>
      <w:r w:rsidRPr="001C1EBB">
        <w:rPr>
          <w:lang w:val="es-ES"/>
        </w:rPr>
        <w:t xml:space="preserve">irigido a esta rama (Deloitte, 2025; WNBA, 2024). La prensa económica colombiana ha señalado que ese </w:t>
      </w:r>
      <w:r w:rsidRPr="001C1EBB">
        <w:rPr>
          <w:lang w:val="es-ES"/>
        </w:rPr>
        <w:t xml:space="preserve">impacto </w:t>
      </w:r>
      <w:r w:rsidRPr="001C1EBB">
        <w:rPr>
          <w:lang w:val="es-ES"/>
        </w:rPr>
        <w:t>global no se refleja en el mercado nacional (Semana, 2025), y existen diagnósticos parciales sobre las condiciones contractuales de las futbolistas</w:t>
      </w:r>
      <w:r w:rsidRPr="001C1EBB">
        <w:rPr>
          <w:lang w:val="es-ES"/>
        </w:rPr>
        <w:t xml:space="preserve"> profesionales del país (Vorágine, 2024). Sin embargo, la evidencia sobre los ingresos por patrocinio, los presupuestos de los clubes y los salarios de las jugadoras del baloncesto profesional femenino colombiano es limitada</w:t>
      </w:r>
      <w:r w:rsidRPr="001C1EBB">
        <w:rPr>
          <w:lang w:val="es-ES"/>
        </w:rPr>
        <w:t xml:space="preserve"> y </w:t>
      </w:r>
      <w:r w:rsidRPr="001C1EBB">
        <w:rPr>
          <w:lang w:val="es-ES"/>
        </w:rPr>
        <w:t xml:space="preserve">no se identificaron estudios </w:t>
      </w:r>
      <w:r w:rsidRPr="001C1EBB">
        <w:rPr>
          <w:lang w:val="es-ES"/>
        </w:rPr>
        <w:t>académicos ni reportes institucionales públicos que consoliden esas tres variables para el periodo 2022–2025.</w:t>
      </w:r>
    </w:p>
    <w:p w:rsidR="00424856" w:rsidRPr="001C1EBB" w:rsidRDefault="009E0916">
      <w:pPr>
        <w:ind w:firstLine="720"/>
        <w:rPr>
          <w:lang w:val="es-ES"/>
        </w:rPr>
      </w:pPr>
      <w:r w:rsidRPr="001C1EBB">
        <w:rPr>
          <w:lang w:val="es-ES"/>
        </w:rPr>
        <w:t xml:space="preserve">Este estudio es necesario porque, sin esa línea de base, cualquier  política de </w:t>
      </w:r>
      <w:r w:rsidRPr="001C1EBB">
        <w:rPr>
          <w:lang w:val="es-ES"/>
        </w:rPr>
        <w:t>desarrollo</w:t>
      </w:r>
      <w:r w:rsidRPr="001C1EBB">
        <w:rPr>
          <w:lang w:val="es-ES"/>
        </w:rPr>
        <w:t xml:space="preserve">, propuesta de patrocinio o decisión de inversión sobre </w:t>
      </w:r>
      <w:r w:rsidRPr="001C1EBB">
        <w:rPr>
          <w:lang w:val="es-ES"/>
        </w:rPr>
        <w:t>el baloncesto femenino colombiano se adopta sin sustento empírico. Construir el dato es, en este caso, la condición previa a cualquier propuesta de intervención.</w:t>
      </w:r>
    </w:p>
    <w:p w:rsidR="00424856" w:rsidRPr="001C1EBB" w:rsidRDefault="009E0916">
      <w:pPr>
        <w:pStyle w:val="Ttulo2"/>
        <w:rPr>
          <w:lang w:val="es-ES"/>
        </w:rPr>
      </w:pPr>
      <w:bookmarkStart w:id="16" w:name="_TocG8_015"/>
      <w:bookmarkEnd w:id="16"/>
      <w:r w:rsidRPr="001C1EBB">
        <w:rPr>
          <w:lang w:val="es-ES"/>
        </w:rPr>
        <w:t>Delimitación del Problema</w:t>
      </w:r>
    </w:p>
    <w:p w:rsidR="00424856" w:rsidRPr="001C1EBB" w:rsidRDefault="009E0916">
      <w:pPr>
        <w:ind w:firstLine="720"/>
        <w:rPr>
          <w:lang w:val="es-ES"/>
        </w:rPr>
      </w:pPr>
      <w:r w:rsidRPr="001C1EBB">
        <w:rPr>
          <w:lang w:val="es-ES"/>
        </w:rPr>
        <w:lastRenderedPageBreak/>
        <w:t>El estudio se delimita en los siguientes términos. Qué: la evolución</w:t>
      </w:r>
      <w:r w:rsidRPr="001C1EBB">
        <w:rPr>
          <w:lang w:val="es-ES"/>
        </w:rPr>
        <w:t xml:space="preserve"> de tres variables económicas </w:t>
      </w:r>
      <w:r w:rsidRPr="001C1EBB">
        <w:rPr>
          <w:lang w:val="es-ES"/>
        </w:rPr>
        <w:t>(</w:t>
      </w:r>
      <w:r w:rsidRPr="001C1EBB">
        <w:rPr>
          <w:lang w:val="es-ES"/>
        </w:rPr>
        <w:t>ingresos por patrocinio, presupuestos de los clubes y salarios de las jugadoras</w:t>
      </w:r>
      <w:r w:rsidRPr="001C1EBB">
        <w:rPr>
          <w:lang w:val="es-ES"/>
        </w:rPr>
        <w:t>)</w:t>
      </w:r>
      <w:r w:rsidRPr="001C1EBB">
        <w:rPr>
          <w:lang w:val="es-ES"/>
        </w:rPr>
        <w:t>. En quiénes: los clubes y las jugadoras vinculados a los certámenes nacionales de baloncesto profesional femenino, así como las entidades que lo</w:t>
      </w:r>
      <w:r w:rsidRPr="001C1EBB">
        <w:rPr>
          <w:lang w:val="es-ES"/>
        </w:rPr>
        <w:t xml:space="preserve">s financian, a saber, la Federación Colombiana de Baloncesto, el Ministerio del Deporte, </w:t>
      </w:r>
      <w:r w:rsidRPr="001C1EBB">
        <w:rPr>
          <w:lang w:val="es-ES"/>
        </w:rPr>
        <w:t xml:space="preserve">las organizaciones </w:t>
      </w:r>
      <w:r w:rsidRPr="001C1EBB">
        <w:rPr>
          <w:lang w:val="es-ES"/>
        </w:rPr>
        <w:t>deportiv</w:t>
      </w:r>
      <w:r w:rsidRPr="001C1EBB">
        <w:rPr>
          <w:lang w:val="es-ES"/>
        </w:rPr>
        <w:t>a</w:t>
      </w:r>
      <w:r w:rsidRPr="001C1EBB">
        <w:rPr>
          <w:lang w:val="es-ES"/>
        </w:rPr>
        <w:t>s departamentales y municipales, y las empresas patrocinadoras. Dónde: en el territorio colombiano, con atención particular a los clubes co</w:t>
      </w:r>
      <w:r w:rsidRPr="001C1EBB">
        <w:rPr>
          <w:lang w:val="es-ES"/>
        </w:rPr>
        <w:t>n sede en Bogotá y Cundinamarca. En qué periodo: entre el 1 de enero de 2022 y el 31 de diciembre de 2025.</w:t>
      </w:r>
    </w:p>
    <w:p w:rsidR="00424856" w:rsidRPr="001C1EBB" w:rsidRDefault="009E0916">
      <w:pPr>
        <w:ind w:firstLine="720"/>
        <w:rPr>
          <w:lang w:val="es-ES"/>
        </w:rPr>
      </w:pPr>
      <w:r w:rsidRPr="001C1EBB">
        <w:rPr>
          <w:lang w:val="es-ES"/>
        </w:rPr>
        <w:t>Quedan fuera del alcance de esta investigación el análisis de la visibilidad mediática y de las audiencias, el baloncesto femenino formativo y univer</w:t>
      </w:r>
      <w:r w:rsidRPr="001C1EBB">
        <w:rPr>
          <w:lang w:val="es-ES"/>
        </w:rPr>
        <w:t xml:space="preserve">sitario, el baloncesto 3x3, la rama masculina considerada en sí misma </w:t>
      </w:r>
      <w:r w:rsidRPr="001C1EBB">
        <w:rPr>
          <w:lang w:val="es-ES"/>
        </w:rPr>
        <w:t>(</w:t>
      </w:r>
      <w:r w:rsidRPr="001C1EBB">
        <w:rPr>
          <w:lang w:val="es-ES"/>
        </w:rPr>
        <w:t xml:space="preserve">que se emplea únicamente como </w:t>
      </w:r>
      <w:r w:rsidRPr="001C1EBB">
        <w:rPr>
          <w:lang w:val="es-ES"/>
        </w:rPr>
        <w:t xml:space="preserve">referencia </w:t>
      </w:r>
      <w:r w:rsidRPr="001C1EBB">
        <w:rPr>
          <w:lang w:val="es-ES"/>
        </w:rPr>
        <w:t>comparativ</w:t>
      </w:r>
      <w:r w:rsidRPr="001C1EBB">
        <w:rPr>
          <w:lang w:val="es-ES"/>
        </w:rPr>
        <w:t>a)</w:t>
      </w:r>
      <w:r w:rsidRPr="001C1EBB">
        <w:rPr>
          <w:lang w:val="es-ES"/>
        </w:rPr>
        <w:t xml:space="preserve"> y la formulación de propuestas de intervención, que </w:t>
      </w:r>
      <w:r w:rsidRPr="001C1EBB">
        <w:rPr>
          <w:lang w:val="es-ES"/>
        </w:rPr>
        <w:t>corresponden</w:t>
      </w:r>
      <w:r w:rsidRPr="001C1EBB">
        <w:rPr>
          <w:lang w:val="es-ES"/>
        </w:rPr>
        <w:t xml:space="preserve"> a una fase posterior de alcance </w:t>
      </w:r>
      <w:r w:rsidRPr="001C1EBB">
        <w:rPr>
          <w:lang w:val="es-ES"/>
        </w:rPr>
        <w:t>proyectado</w:t>
      </w:r>
      <w:r w:rsidRPr="001C1EBB">
        <w:rPr>
          <w:lang w:val="es-ES"/>
        </w:rPr>
        <w:t>.</w:t>
      </w:r>
    </w:p>
    <w:p w:rsidR="00424856" w:rsidRPr="001C1EBB" w:rsidRDefault="009E0916">
      <w:pPr>
        <w:rPr>
          <w:lang w:val="es-ES"/>
        </w:rPr>
      </w:pPr>
      <w:r w:rsidRPr="001C1EBB">
        <w:rPr>
          <w:lang w:val="es-ES"/>
        </w:rPr>
        <w:br w:type="page"/>
      </w:r>
    </w:p>
    <w:p w:rsidR="00424856" w:rsidRPr="001C1EBB" w:rsidRDefault="009E0916">
      <w:pPr>
        <w:pStyle w:val="Ttulo1"/>
        <w:jc w:val="center"/>
        <w:rPr>
          <w:lang w:val="es-ES"/>
        </w:rPr>
      </w:pPr>
      <w:bookmarkStart w:id="17" w:name="_TocG8_016"/>
      <w:bookmarkEnd w:id="17"/>
      <w:r w:rsidRPr="001C1EBB">
        <w:rPr>
          <w:lang w:val="es-ES"/>
        </w:rPr>
        <w:lastRenderedPageBreak/>
        <w:t>Pregunta de Investig</w:t>
      </w:r>
      <w:r w:rsidRPr="001C1EBB">
        <w:rPr>
          <w:lang w:val="es-ES"/>
        </w:rPr>
        <w:t>ación</w:t>
      </w:r>
    </w:p>
    <w:p w:rsidR="00424856" w:rsidRPr="001C1EBB" w:rsidRDefault="009E0916">
      <w:pPr>
        <w:ind w:left="720" w:right="720"/>
        <w:rPr>
          <w:lang w:val="es-ES"/>
        </w:rPr>
      </w:pPr>
      <w:r w:rsidRPr="001C1EBB">
        <w:rPr>
          <w:lang w:val="es-ES"/>
        </w:rPr>
        <w:t>¿Cómo evolucionaron los ingresos por patrocinio, los presupuestos de clubes y los salarios de las jugadoras del baloncesto profesional femenino colombiano durante el periodo 2022–2025?</w:t>
      </w:r>
    </w:p>
    <w:p w:rsidR="00424856" w:rsidRPr="001C1EBB" w:rsidRDefault="009E0916">
      <w:pPr>
        <w:pStyle w:val="Ttulo1"/>
        <w:jc w:val="center"/>
        <w:rPr>
          <w:lang w:val="es-ES"/>
        </w:rPr>
      </w:pPr>
      <w:bookmarkStart w:id="18" w:name="_TocG8_017"/>
      <w:bookmarkEnd w:id="18"/>
      <w:r w:rsidRPr="001C1EBB">
        <w:rPr>
          <w:lang w:val="es-ES"/>
        </w:rPr>
        <w:t>Objetivos</w:t>
      </w:r>
    </w:p>
    <w:p w:rsidR="00424856" w:rsidRPr="001C1EBB" w:rsidRDefault="009E0916">
      <w:pPr>
        <w:pStyle w:val="Ttulo2"/>
        <w:rPr>
          <w:lang w:val="es-ES"/>
        </w:rPr>
      </w:pPr>
      <w:bookmarkStart w:id="19" w:name="_TocG8_018"/>
      <w:bookmarkEnd w:id="19"/>
      <w:r w:rsidRPr="001C1EBB">
        <w:rPr>
          <w:lang w:val="es-ES"/>
        </w:rPr>
        <w:t>Objetivo General</w:t>
      </w:r>
    </w:p>
    <w:p w:rsidR="00424856" w:rsidRPr="001C1EBB" w:rsidRDefault="009E0916">
      <w:pPr>
        <w:ind w:firstLine="720"/>
        <w:rPr>
          <w:lang w:val="es-ES"/>
        </w:rPr>
      </w:pPr>
      <w:r w:rsidRPr="001C1EBB">
        <w:rPr>
          <w:lang w:val="es-ES"/>
        </w:rPr>
        <w:t>Analizar la evolución de los ingresos por patrocinio, los presupuestos de los clubes y los salarios de las jugadoras del baloncesto profesional femenino en Colombia entre 2022 y 2025, mediante la revisión documental de fuentes federativas, estatales, norma</w:t>
      </w:r>
      <w:r w:rsidRPr="001C1EBB">
        <w:rPr>
          <w:lang w:val="es-ES"/>
        </w:rPr>
        <w:t>tivas y de prensa especializada.</w:t>
      </w:r>
    </w:p>
    <w:p w:rsidR="00424856" w:rsidRPr="001C1EBB" w:rsidRDefault="009E0916">
      <w:pPr>
        <w:pStyle w:val="Ttulo2"/>
        <w:rPr>
          <w:lang w:val="es-ES"/>
        </w:rPr>
      </w:pPr>
      <w:bookmarkStart w:id="20" w:name="_TocG8_019"/>
      <w:bookmarkEnd w:id="20"/>
      <w:r w:rsidRPr="001C1EBB">
        <w:rPr>
          <w:lang w:val="es-ES"/>
        </w:rPr>
        <w:t>Objetivos Específicos</w:t>
      </w:r>
    </w:p>
    <w:p w:rsidR="00424856" w:rsidRPr="001C1EBB" w:rsidRDefault="009E0916">
      <w:pPr>
        <w:ind w:left="720" w:hanging="360"/>
        <w:rPr>
          <w:lang w:val="es-ES"/>
        </w:rPr>
      </w:pPr>
      <w:r w:rsidRPr="001C1EBB">
        <w:rPr>
          <w:lang w:val="es-ES"/>
        </w:rPr>
        <w:t>1. Identificar los certámenes de baloncesto profesional femenino organizados en Colombia entre 2022 y 2025, los clubes participantes y las fuentes de financiación declaradas por la Federación Colombian</w:t>
      </w:r>
      <w:r w:rsidRPr="001C1EBB">
        <w:rPr>
          <w:lang w:val="es-ES"/>
        </w:rPr>
        <w:t>a de Baloncesto y el Ministerio del Deporte.</w:t>
      </w:r>
    </w:p>
    <w:p w:rsidR="00424856" w:rsidRPr="001C1EBB" w:rsidRDefault="009E0916">
      <w:pPr>
        <w:ind w:left="720" w:hanging="360"/>
        <w:rPr>
          <w:lang w:val="es-ES"/>
        </w:rPr>
      </w:pPr>
      <w:r w:rsidRPr="001C1EBB">
        <w:rPr>
          <w:lang w:val="es-ES"/>
        </w:rPr>
        <w:t>2. Caracterizar los ingresos por patrocinio y la estructura presupuestal reportada por los clubes de baloncesto profesional femenino colombiano durante el periodo 2022–2025.</w:t>
      </w:r>
    </w:p>
    <w:p w:rsidR="00424856" w:rsidRPr="001C1EBB" w:rsidRDefault="009E0916">
      <w:pPr>
        <w:ind w:left="720" w:hanging="360"/>
        <w:rPr>
          <w:lang w:val="es-ES"/>
        </w:rPr>
      </w:pPr>
      <w:r w:rsidRPr="001C1EBB">
        <w:rPr>
          <w:lang w:val="es-ES"/>
        </w:rPr>
        <w:t>3. Describir las condiciones de remun</w:t>
      </w:r>
      <w:r w:rsidRPr="001C1EBB">
        <w:rPr>
          <w:lang w:val="es-ES"/>
        </w:rPr>
        <w:t>eración y las modalidades de vinculación contractual de las jugadoras de baloncesto profesional femenino en Colombia durante el mismo periodo, tomando como unidad de referencia el salario mínimo legal mensual vigente.</w:t>
      </w:r>
    </w:p>
    <w:p w:rsidR="00424856" w:rsidRPr="001C1EBB" w:rsidRDefault="009E0916">
      <w:pPr>
        <w:ind w:left="720" w:hanging="360"/>
        <w:rPr>
          <w:lang w:val="es-ES"/>
        </w:rPr>
      </w:pPr>
      <w:r w:rsidRPr="001C1EBB">
        <w:rPr>
          <w:lang w:val="es-ES"/>
        </w:rPr>
        <w:t>4. Comparar la evolución de las tres v</w:t>
      </w:r>
      <w:r w:rsidRPr="001C1EBB">
        <w:rPr>
          <w:lang w:val="es-ES"/>
        </w:rPr>
        <w:t>ariables económicas estudiadas con los referentes del baloncesto profesional masculino colombiano y con las tendencias internacionales del</w:t>
      </w:r>
      <w:r w:rsidRPr="001C1EBB">
        <w:rPr>
          <w:lang w:val="es-ES"/>
        </w:rPr>
        <w:t xml:space="preserve"> </w:t>
      </w:r>
      <w:r w:rsidRPr="001C1EBB">
        <w:rPr>
          <w:lang w:val="es-ES"/>
        </w:rPr>
        <w:t>deporte femenino documentadas para 2022–2025.</w:t>
      </w:r>
    </w:p>
    <w:p w:rsidR="00424856" w:rsidRPr="001C1EBB" w:rsidRDefault="009E0916">
      <w:pPr>
        <w:pStyle w:val="Ttulo1"/>
        <w:jc w:val="center"/>
        <w:rPr>
          <w:lang w:val="es-ES"/>
        </w:rPr>
      </w:pPr>
      <w:bookmarkStart w:id="21" w:name="_TocG8_020"/>
      <w:bookmarkStart w:id="22" w:name="_x3l2uns2y94n" w:colFirst="0" w:colLast="0"/>
      <w:bookmarkEnd w:id="21"/>
      <w:bookmarkEnd w:id="22"/>
      <w:r w:rsidRPr="001C1EBB">
        <w:rPr>
          <w:lang w:val="es-ES"/>
        </w:rPr>
        <w:t>Justificación</w:t>
      </w:r>
    </w:p>
    <w:p w:rsidR="00424856" w:rsidRPr="001C1EBB" w:rsidRDefault="009E0916">
      <w:pPr>
        <w:ind w:firstLine="720"/>
        <w:rPr>
          <w:lang w:val="es-ES"/>
        </w:rPr>
      </w:pPr>
      <w:r w:rsidRPr="001C1EBB">
        <w:rPr>
          <w:lang w:val="es-ES"/>
        </w:rPr>
        <w:lastRenderedPageBreak/>
        <w:t xml:space="preserve">La realización de esta investigación se justifica por su </w:t>
      </w:r>
      <w:r w:rsidRPr="001C1EBB">
        <w:rPr>
          <w:lang w:val="es-ES"/>
        </w:rPr>
        <w:t>aporte teórico, social, práctico y disciplinar, y por su viabilidad en las condiciones de tiempo y recursos disponibles.</w:t>
      </w:r>
    </w:p>
    <w:p w:rsidR="00424856" w:rsidRPr="001C1EBB" w:rsidRDefault="009E0916">
      <w:pPr>
        <w:pStyle w:val="Ttulo2"/>
        <w:rPr>
          <w:lang w:val="es-ES"/>
        </w:rPr>
      </w:pPr>
      <w:bookmarkStart w:id="23" w:name="_TocG8_021"/>
      <w:bookmarkEnd w:id="23"/>
      <w:r w:rsidRPr="001C1EBB">
        <w:rPr>
          <w:lang w:val="es-ES"/>
        </w:rPr>
        <w:t>Pertinencia Teórica</w:t>
      </w:r>
    </w:p>
    <w:p w:rsidR="00424856" w:rsidRPr="001C1EBB" w:rsidRDefault="009E0916">
      <w:pPr>
        <w:ind w:firstLine="720"/>
        <w:rPr>
          <w:lang w:val="es-ES"/>
        </w:rPr>
      </w:pPr>
      <w:r w:rsidRPr="001C1EBB">
        <w:rPr>
          <w:lang w:val="es-ES"/>
        </w:rPr>
        <w:t>Desde el punto de vista teórico, el estudio aporta evidencia empírica a un campo en el que la literatura disponible</w:t>
      </w:r>
      <w:r w:rsidRPr="001C1EBB">
        <w:rPr>
          <w:lang w:val="es-ES"/>
        </w:rPr>
        <w:t xml:space="preserve"> se concentra en mercados de alto ingreso. Deloitte (2025) documentó que el 56 % de los ingresos globales del deporte femenino generados en 2024 provino de Norteamérica, lo que sugiere que la producción de conocimiento y de datos sobre esta industria se co</w:t>
      </w:r>
      <w:r w:rsidRPr="001C1EBB">
        <w:rPr>
          <w:lang w:val="es-ES"/>
        </w:rPr>
        <w:t xml:space="preserve">ncentra en un número reducido de mercados. Torres-Romay y García-Mirón (2020) analizaron el patrocinio deportivo femenino en el contexto europeo y concluyeron que la inversión destinada a esta rama continúa siendo inferior a la del deporte masculino y que </w:t>
      </w:r>
      <w:r w:rsidRPr="001C1EBB">
        <w:rPr>
          <w:lang w:val="es-ES"/>
        </w:rPr>
        <w:t>se gestiona predominantemente desde la lógica de la responsabilidad social corporativa.</w:t>
      </w:r>
    </w:p>
    <w:p w:rsidR="00424856" w:rsidRPr="001C1EBB" w:rsidRDefault="009E0916">
      <w:pPr>
        <w:ind w:firstLine="720"/>
        <w:rPr>
          <w:lang w:val="es-ES"/>
        </w:rPr>
      </w:pPr>
      <w:r w:rsidRPr="001C1EBB">
        <w:rPr>
          <w:lang w:val="es-ES"/>
        </w:rPr>
        <w:t xml:space="preserve">Este trabajo se propone verificar si ese patrón se reproduce, se atenúa o se agudiza en un mercado emergente como el colombiano, y en una disciplina </w:t>
      </w:r>
      <w:r w:rsidRPr="001C1EBB">
        <w:rPr>
          <w:lang w:val="es-ES"/>
        </w:rPr>
        <w:t>(</w:t>
      </w:r>
      <w:r w:rsidRPr="001C1EBB">
        <w:rPr>
          <w:lang w:val="es-ES"/>
        </w:rPr>
        <w:t>el baloncesto</w:t>
      </w:r>
      <w:r w:rsidRPr="001C1EBB">
        <w:rPr>
          <w:lang w:val="es-ES"/>
        </w:rPr>
        <w:t>)</w:t>
      </w:r>
      <w:r w:rsidRPr="001C1EBB">
        <w:rPr>
          <w:lang w:val="es-ES"/>
        </w:rPr>
        <w:t xml:space="preserve"> que</w:t>
      </w:r>
      <w:r w:rsidRPr="001C1EBB">
        <w:rPr>
          <w:lang w:val="es-ES"/>
        </w:rPr>
        <w:t xml:space="preserve"> a escala global encabeza el crecimiento del sector pero que a escala nacional ocupa una posición subordinada frente al fútbol. Al documentar tres variables que hasta ahora no han sido consolidadas para el caso colombiano, el estudio atiende directamente e</w:t>
      </w:r>
      <w:r w:rsidRPr="001C1EBB">
        <w:rPr>
          <w:lang w:val="es-ES"/>
        </w:rPr>
        <w:t>l vacío de conocimiento enunciado en la descripción del problema.</w:t>
      </w:r>
    </w:p>
    <w:p w:rsidR="00424856" w:rsidRPr="001C1EBB" w:rsidRDefault="009E0916">
      <w:pPr>
        <w:pStyle w:val="Ttulo2"/>
        <w:rPr>
          <w:lang w:val="es-ES"/>
        </w:rPr>
      </w:pPr>
      <w:bookmarkStart w:id="24" w:name="_TocG8_022"/>
      <w:bookmarkEnd w:id="24"/>
      <w:r w:rsidRPr="001C1EBB">
        <w:rPr>
          <w:lang w:val="es-ES"/>
        </w:rPr>
        <w:t>Pertinencia Social</w:t>
      </w:r>
    </w:p>
    <w:p w:rsidR="00424856" w:rsidRPr="001C1EBB" w:rsidRDefault="009E0916">
      <w:pPr>
        <w:ind w:firstLine="720"/>
        <w:rPr>
          <w:lang w:val="es-ES"/>
        </w:rPr>
      </w:pPr>
      <w:r w:rsidRPr="001C1EBB">
        <w:rPr>
          <w:lang w:val="es-ES"/>
        </w:rPr>
        <w:t>Desde el punto de vista social, la investigación contribuye al debate sobre la equidad de género en el deporte colombiano al hacer visible una dimensión que suele permanec</w:t>
      </w:r>
      <w:r w:rsidRPr="001C1EBB">
        <w:rPr>
          <w:lang w:val="es-ES"/>
        </w:rPr>
        <w:t>er fuera de la discusión pública: la económica. Los beneficiarios directos son las jugadoras de baloncesto profesional, para quienes la existencia de información verificable sobre remuneraciones y modalidades de contratación constituye un insumo de negocia</w:t>
      </w:r>
      <w:r w:rsidRPr="001C1EBB">
        <w:rPr>
          <w:lang w:val="es-ES"/>
        </w:rPr>
        <w:t>ción.</w:t>
      </w:r>
    </w:p>
    <w:p w:rsidR="00424856" w:rsidRPr="001C1EBB" w:rsidRDefault="009E0916">
      <w:pPr>
        <w:ind w:firstLine="720"/>
        <w:rPr>
          <w:lang w:val="es-ES"/>
        </w:rPr>
      </w:pPr>
      <w:r w:rsidRPr="001C1EBB">
        <w:rPr>
          <w:lang w:val="es-ES"/>
        </w:rPr>
        <w:lastRenderedPageBreak/>
        <w:t>La experiencia del fútbol femenino colombiano ilustra el valor de ese tipo de evidencia: el análisis de 1.274 contratos realizado por la Superintendencia de Industria y Comercio permitió establecer que el 46 % de las futbolistas contratadas en 2023 p</w:t>
      </w:r>
      <w:r w:rsidRPr="001C1EBB">
        <w:rPr>
          <w:lang w:val="es-ES"/>
        </w:rPr>
        <w:t>ercibía entre un millón y 1,2 millones de pesos mensuales (Vorágine, 2024), dato que ha sostenido buena parte del debate posterior sobre las condiciones laborales en esa disciplina y que ha sido retomado por los informes gremiales del sector (Infobae, 2025</w:t>
      </w:r>
      <w:r w:rsidRPr="001C1EBB">
        <w:rPr>
          <w:lang w:val="es-ES"/>
        </w:rPr>
        <w:t>). Los beneficiarios indirectos son las niñas y jóvenes que practican la disciplina, para quienes la existencia de un horizonte laboral documentado incide en la decisión de sostener un proceso deportivo de largo plazo, y las entidades públicas responsables</w:t>
      </w:r>
      <w:r w:rsidRPr="001C1EBB">
        <w:rPr>
          <w:lang w:val="es-ES"/>
        </w:rPr>
        <w:t xml:space="preserve"> de las políticas de fomento del deporte femenino.</w:t>
      </w:r>
    </w:p>
    <w:p w:rsidR="00424856" w:rsidRPr="001C1EBB" w:rsidRDefault="009E0916">
      <w:pPr>
        <w:pStyle w:val="Ttulo2"/>
        <w:rPr>
          <w:lang w:val="es-ES"/>
        </w:rPr>
      </w:pPr>
      <w:bookmarkStart w:id="25" w:name="_TocG8_023"/>
      <w:bookmarkEnd w:id="25"/>
      <w:r w:rsidRPr="001C1EBB">
        <w:rPr>
          <w:lang w:val="es-ES"/>
        </w:rPr>
        <w:t>Pertinencia Práctica</w:t>
      </w:r>
    </w:p>
    <w:p w:rsidR="00424856" w:rsidRPr="001C1EBB" w:rsidRDefault="009E0916">
      <w:pPr>
        <w:ind w:firstLine="720"/>
        <w:rPr>
          <w:lang w:val="es-ES"/>
        </w:rPr>
      </w:pPr>
      <w:r w:rsidRPr="001C1EBB">
        <w:rPr>
          <w:lang w:val="es-ES"/>
        </w:rPr>
        <w:t>Desde el punto de vista práctico, el estudio produce entregables concretos para la gestión. El primero es un inventario documentado de los certámenes nacionales femeninos y de sus fuen</w:t>
      </w:r>
      <w:r w:rsidRPr="001C1EBB">
        <w:rPr>
          <w:lang w:val="es-ES"/>
        </w:rPr>
        <w:t>tes de financiación entre 2022 y 2025. El segundo es una caracterización de la estructura presupuestal de los clubes, que permitirá estimar órdenes de magnitud del costo de operación de un equipo. El tercero es una matriz comparativa entre las variables ec</w:t>
      </w:r>
      <w:r w:rsidRPr="001C1EBB">
        <w:rPr>
          <w:lang w:val="es-ES"/>
        </w:rPr>
        <w:t>onómicas del baloncesto femenino colombiano, las del baloncesto masculino nacional y las tendencias internacionales.</w:t>
      </w:r>
    </w:p>
    <w:p w:rsidR="00424856" w:rsidRPr="001C1EBB" w:rsidRDefault="009E0916">
      <w:pPr>
        <w:ind w:firstLine="720"/>
        <w:rPr>
          <w:lang w:val="es-ES"/>
        </w:rPr>
      </w:pPr>
      <w:r w:rsidRPr="001C1EBB">
        <w:rPr>
          <w:lang w:val="es-ES"/>
        </w:rPr>
        <w:t>Estos productos responden a una necesidad expresada por los propios actores del sector: el Viceministerio del Deporte manifestó su intenció</w:t>
      </w:r>
      <w:r w:rsidRPr="001C1EBB">
        <w:rPr>
          <w:lang w:val="es-ES"/>
        </w:rPr>
        <w:t>n de servir de puente hacia el sector privado (El Espectador, 2023), propósito que difícilmente puede materializarse sin información que permita valorar comercialmente el producto deportivo. De igual forma, la denuncia de cinco clubes profesionales sobre l</w:t>
      </w:r>
      <w:r w:rsidRPr="001C1EBB">
        <w:rPr>
          <w:lang w:val="es-ES"/>
        </w:rPr>
        <w:t>a imposibilidad de acceder a los contratos de patrocinio suscritos por la división profesional (Rengifo, 2024) muestra que la trazabilidad de la información económica constituye una demanda concreta del sector y no un ejercicio meramente académico. El estu</w:t>
      </w:r>
      <w:r w:rsidRPr="001C1EBB">
        <w:rPr>
          <w:lang w:val="es-ES"/>
        </w:rPr>
        <w:t xml:space="preserve">dio </w:t>
      </w:r>
      <w:r w:rsidRPr="001C1EBB">
        <w:rPr>
          <w:lang w:val="es-ES"/>
        </w:rPr>
        <w:lastRenderedPageBreak/>
        <w:t>no promete transformar la realidad del baloncesto femenino colombiano; su aporte es más acotado y verificable: construir la línea de base sin la cual ninguna intervención posterior puede evaluarse.</w:t>
      </w:r>
    </w:p>
    <w:p w:rsidR="00424856" w:rsidRPr="001C1EBB" w:rsidRDefault="009E0916">
      <w:pPr>
        <w:pStyle w:val="Ttulo2"/>
        <w:rPr>
          <w:lang w:val="es-ES"/>
        </w:rPr>
      </w:pPr>
      <w:bookmarkStart w:id="26" w:name="_TocG8_024"/>
      <w:bookmarkEnd w:id="26"/>
      <w:r w:rsidRPr="001C1EBB">
        <w:rPr>
          <w:lang w:val="es-ES"/>
        </w:rPr>
        <w:t>Pertinencia Disciplinar</w:t>
      </w:r>
    </w:p>
    <w:p w:rsidR="00424856" w:rsidRPr="001C1EBB" w:rsidRDefault="009E0916">
      <w:pPr>
        <w:ind w:firstLine="720"/>
        <w:rPr>
          <w:lang w:val="es-ES"/>
        </w:rPr>
      </w:pPr>
      <w:r w:rsidRPr="001C1EBB">
        <w:rPr>
          <w:lang w:val="es-ES"/>
        </w:rPr>
        <w:t>Desde el punto de vista discip</w:t>
      </w:r>
      <w:r w:rsidRPr="001C1EBB">
        <w:rPr>
          <w:lang w:val="es-ES"/>
        </w:rPr>
        <w:t xml:space="preserve">linar, el trabajo se inscribe con precisión en el perfil profesional del programa de Administración Deportiva de la Universidad Distrital Francisco José de Caldas. El objeto de estudio </w:t>
      </w:r>
      <w:r w:rsidRPr="001C1EBB">
        <w:rPr>
          <w:lang w:val="es-ES"/>
        </w:rPr>
        <w:t>(</w:t>
      </w:r>
      <w:r w:rsidRPr="001C1EBB">
        <w:rPr>
          <w:lang w:val="es-ES"/>
        </w:rPr>
        <w:t>ingresos por patrocinio, presupuestos y estructuras salariales de orga</w:t>
      </w:r>
      <w:r w:rsidRPr="001C1EBB">
        <w:rPr>
          <w:lang w:val="es-ES"/>
        </w:rPr>
        <w:t>nizaciones deportivas</w:t>
      </w:r>
      <w:r w:rsidRPr="001C1EBB">
        <w:rPr>
          <w:lang w:val="es-ES"/>
        </w:rPr>
        <w:t>)</w:t>
      </w:r>
      <w:r w:rsidRPr="001C1EBB">
        <w:rPr>
          <w:lang w:val="es-ES"/>
        </w:rPr>
        <w:t xml:space="preserve"> corresponde al núcleo de competencias del administrador deportivo: la gestión financiera, el mercadeo deportivo y la evaluación de viabilidad de proyectos.</w:t>
      </w:r>
    </w:p>
    <w:p w:rsidR="00424856" w:rsidRPr="001C1EBB" w:rsidRDefault="009E0916">
      <w:pPr>
        <w:ind w:firstLine="720"/>
        <w:rPr>
          <w:lang w:val="es-ES"/>
        </w:rPr>
      </w:pPr>
      <w:r w:rsidRPr="001C1EBB">
        <w:rPr>
          <w:lang w:val="es-ES"/>
        </w:rPr>
        <w:t>El marco normativo que rige a las organizaciones analizadas es igualmente dis</w:t>
      </w:r>
      <w:r w:rsidRPr="001C1EBB">
        <w:rPr>
          <w:lang w:val="es-ES"/>
        </w:rPr>
        <w:t>ciplinar: la Ley 1445 de 2011, que modificó la Ley 181 de 1995, establece que los clubes con deportistas profesionales deben organizarse como corporaciones o asociaciones deportivas o como sociedades anónimas, y fija para las disciplinas distintas del fútb</w:t>
      </w:r>
      <w:r w:rsidRPr="001C1EBB">
        <w:rPr>
          <w:lang w:val="es-ES"/>
        </w:rPr>
        <w:t>ol organizadas bajo esta última figura un capital suscrito y pagado no inferior a 100 salarios mínimos legales mensuales vigentes (Congreso de la República de Colombia, 2011). Analizar el cumplimiento y las implicaciones económicas de ese marco es una tare</w:t>
      </w:r>
      <w:r w:rsidRPr="001C1EBB">
        <w:rPr>
          <w:lang w:val="es-ES"/>
        </w:rPr>
        <w:t>a propia de la administración deportiva.</w:t>
      </w:r>
    </w:p>
    <w:p w:rsidR="00424856" w:rsidRPr="001C1EBB" w:rsidRDefault="009E0916">
      <w:pPr>
        <w:pStyle w:val="Ttulo2"/>
        <w:rPr>
          <w:lang w:val="es-ES"/>
        </w:rPr>
      </w:pPr>
      <w:bookmarkStart w:id="27" w:name="_TocG8_025"/>
      <w:bookmarkEnd w:id="27"/>
      <w:r w:rsidRPr="001C1EBB">
        <w:rPr>
          <w:lang w:val="es-ES"/>
        </w:rPr>
        <w:t>Viabilidad</w:t>
      </w:r>
    </w:p>
    <w:p w:rsidR="00424856" w:rsidRPr="001C1EBB" w:rsidRDefault="009E0916">
      <w:pPr>
        <w:ind w:firstLine="720"/>
        <w:rPr>
          <w:lang w:val="es-ES"/>
        </w:rPr>
      </w:pPr>
      <w:r w:rsidRPr="001C1EBB">
        <w:rPr>
          <w:lang w:val="es-ES"/>
        </w:rPr>
        <w:t>En cuanto a la viabilidad, el estudio es realizable en el tiempo y con los recursos disponibles. El diseño es documental y se apoya en fuentes de acceso público ya identificadas: normativa nacional consul</w:t>
      </w:r>
      <w:r w:rsidRPr="001C1EBB">
        <w:rPr>
          <w:lang w:val="es-ES"/>
        </w:rPr>
        <w:t xml:space="preserve">table en los gestores normativos oficiales, </w:t>
      </w:r>
      <w:r w:rsidRPr="001C1EBB">
        <w:rPr>
          <w:lang w:val="es-ES"/>
        </w:rPr>
        <w:t>publicaciones</w:t>
      </w:r>
      <w:r w:rsidRPr="001C1EBB">
        <w:rPr>
          <w:lang w:val="es-ES"/>
        </w:rPr>
        <w:t xml:space="preserve"> del Ministerio del Deporte y de la Federación Colombiana de Baloncesto, bases de datos estadísticas y archivos de prensa nacional e internacional. Se reconoce, no obstante, una limitación de partida</w:t>
      </w:r>
      <w:r w:rsidRPr="001C1EBB">
        <w:rPr>
          <w:lang w:val="es-ES"/>
        </w:rPr>
        <w:t xml:space="preserve">: la información financiera de los clubes no es de publicación obligatoria, por lo que es previsible </w:t>
      </w:r>
      <w:r w:rsidRPr="001C1EBB">
        <w:rPr>
          <w:lang w:val="es-ES"/>
        </w:rPr>
        <w:lastRenderedPageBreak/>
        <w:t>que la reconstrucción presupuestal resulte parcial. Esa limitación no invalida el estudio; por el contrario, su documentación rigurosa constituye en sí mis</w:t>
      </w:r>
      <w:r w:rsidRPr="001C1EBB">
        <w:rPr>
          <w:lang w:val="es-ES"/>
        </w:rPr>
        <w:t>ma un resultado relevante, en la medida en que permite establecer con precisión qué información existe, cuál es inaccesible y cuál sencillamente no se produce.</w:t>
      </w:r>
    </w:p>
    <w:p w:rsidR="00424856" w:rsidRPr="001C1EBB" w:rsidRDefault="009E0916">
      <w:pPr>
        <w:pStyle w:val="Ttulo1"/>
        <w:pageBreakBefore/>
        <w:jc w:val="center"/>
        <w:rPr>
          <w:lang w:val="es-ES"/>
        </w:rPr>
      </w:pPr>
      <w:bookmarkStart w:id="28" w:name="_TocG8_026"/>
      <w:bookmarkStart w:id="29" w:name="_uf8dk7xb60sa" w:colFirst="0" w:colLast="0"/>
      <w:bookmarkEnd w:id="28"/>
      <w:bookmarkEnd w:id="29"/>
      <w:r w:rsidRPr="001C1EBB">
        <w:rPr>
          <w:lang w:val="es-ES"/>
        </w:rPr>
        <w:lastRenderedPageBreak/>
        <w:t>Antecedentes</w:t>
      </w:r>
    </w:p>
    <w:p w:rsidR="00424856" w:rsidRPr="001C1EBB" w:rsidRDefault="009E0916">
      <w:pPr>
        <w:ind w:firstLine="720"/>
        <w:rPr>
          <w:lang w:val="es-ES"/>
        </w:rPr>
      </w:pPr>
      <w:r w:rsidRPr="001C1EBB">
        <w:rPr>
          <w:lang w:val="es-ES"/>
        </w:rPr>
        <w:t>Esta revisión se organizó en dos escalas: primero la internacional, donde los datos sobre la economía del deporte femenino y el patrocinio deportivo son más abundantes, y después la nacional, donde los estudios existentes se concentran casi por completo en</w:t>
      </w:r>
      <w:r w:rsidRPr="001C1EBB">
        <w:rPr>
          <w:lang w:val="es-ES"/>
        </w:rPr>
        <w:t xml:space="preserve"> el fútbol y prácticamente no abordan el baloncesto. En ambas escalas se presta especial atención a la brecha salarial entre el deporte masculino y el femenino.</w:t>
      </w:r>
    </w:p>
    <w:p w:rsidR="00424856" w:rsidRPr="001C1EBB" w:rsidRDefault="009E0916">
      <w:pPr>
        <w:pStyle w:val="Ttulo2"/>
        <w:rPr>
          <w:lang w:val="es-ES"/>
        </w:rPr>
      </w:pPr>
      <w:bookmarkStart w:id="30" w:name="_TocG8_027"/>
      <w:bookmarkStart w:id="31" w:name="_f1gd0tbug5ei" w:colFirst="0" w:colLast="0"/>
      <w:bookmarkEnd w:id="30"/>
      <w:bookmarkEnd w:id="31"/>
      <w:r w:rsidRPr="001C1EBB">
        <w:rPr>
          <w:lang w:val="es-ES"/>
        </w:rPr>
        <w:t>Antecedentes Internacionales: Economía del Deporte Femenino y Brecha Salarial</w:t>
      </w:r>
    </w:p>
    <w:p w:rsidR="00424856" w:rsidRPr="001C1EBB" w:rsidRDefault="009E0916">
      <w:pPr>
        <w:ind w:firstLine="720"/>
        <w:rPr>
          <w:lang w:val="es-ES"/>
        </w:rPr>
      </w:pPr>
      <w:r w:rsidRPr="001C1EBB">
        <w:rPr>
          <w:lang w:val="es-ES"/>
        </w:rPr>
        <w:t>La literatura int</w:t>
      </w:r>
      <w:r w:rsidRPr="001C1EBB">
        <w:rPr>
          <w:lang w:val="es-ES"/>
        </w:rPr>
        <w:t>ernacional coincide en un punto de partida: las deportistas profesionales ganan sistemáticamente menos que sus pares masculinos, incluso descontando las diferencias de audiencia e ingresos entre disciplinas. Pérez Gázquez y Barquero-Ruiz (2024) revisaron l</w:t>
      </w:r>
      <w:r w:rsidRPr="001C1EBB">
        <w:rPr>
          <w:lang w:val="es-ES"/>
        </w:rPr>
        <w:t>os avances y los retos pendientes en materia de igualdad de género en el deporte profesional femenino y encontraron que la brecha retributiva no aparece sola, sino junto con otros problemas estructurales, como la infrarrepresentación de mujeres en los carg</w:t>
      </w:r>
      <w:r w:rsidRPr="001C1EBB">
        <w:rPr>
          <w:lang w:val="es-ES"/>
        </w:rPr>
        <w:t>os directivos de las federaciones deportivas y la escasa cobertura mediática del deporte femenino. Es decir, la brecha salarial no es un fenómeno aislado, sino parte de un conjunto de desventajas que se refuerzan entre sí.</w:t>
      </w:r>
    </w:p>
    <w:p w:rsidR="00424856" w:rsidRPr="001C1EBB" w:rsidRDefault="009E0916">
      <w:pPr>
        <w:ind w:firstLine="720"/>
        <w:rPr>
          <w:lang w:val="es-ES"/>
        </w:rPr>
      </w:pPr>
      <w:r w:rsidRPr="001C1EBB">
        <w:rPr>
          <w:lang w:val="es-ES"/>
        </w:rPr>
        <w:t>Desde el derecho laboral, Marín M</w:t>
      </w:r>
      <w:r w:rsidRPr="001C1EBB">
        <w:rPr>
          <w:lang w:val="es-ES"/>
        </w:rPr>
        <w:t>alo (2024) llegó a una conclusión parecida: la desigualdad salarial en el deporte profesional tiene un origen multicausal que combina factores publicitarios, de cobertura mediática y de estructura contractual, y su eventual justificación legal exige analiz</w:t>
      </w:r>
      <w:r w:rsidRPr="001C1EBB">
        <w:rPr>
          <w:lang w:val="es-ES"/>
        </w:rPr>
        <w:t xml:space="preserve">ar caso por caso si existe o no lo que la autora llama “trabajo de igual valor” entre la rama masculina y la femenina de una misma disciplina. Este tipo de estudios es útil para el presente trabajo porque muestra que documentar la brecha salarial, como se </w:t>
      </w:r>
      <w:r w:rsidRPr="001C1EBB">
        <w:rPr>
          <w:lang w:val="es-ES"/>
        </w:rPr>
        <w:t xml:space="preserve">propone hacer en el objetivo específico 3 planteado en el capítulo anterior, no es suficiente por sí solo: hace falta </w:t>
      </w:r>
      <w:r w:rsidRPr="001C1EBB">
        <w:rPr>
          <w:lang w:val="es-ES"/>
        </w:rPr>
        <w:lastRenderedPageBreak/>
        <w:t>explicar de dónde viene esa diferencia, y ahí es donde entra el patrocinio deportivo como variable explicativa.</w:t>
      </w:r>
    </w:p>
    <w:p w:rsidR="00424856" w:rsidRPr="001C1EBB" w:rsidRDefault="009E0916">
      <w:pPr>
        <w:ind w:firstLine="720"/>
        <w:rPr>
          <w:lang w:val="es-ES"/>
        </w:rPr>
      </w:pPr>
      <w:r w:rsidRPr="001C1EBB">
        <w:rPr>
          <w:lang w:val="es-ES"/>
        </w:rPr>
        <w:t>Sobre el patrocinio como m</w:t>
      </w:r>
      <w:r w:rsidRPr="001C1EBB">
        <w:rPr>
          <w:lang w:val="es-ES"/>
        </w:rPr>
        <w:t>otor de esa brecha, Torres-Romay y García-Mirón (2020) analizaron la situación del patrocinio deportivo femenino y encontraron que la inversión dirigida a esta rama sigue siendo menor que la del deporte masculino, y que las empresas tienden a gestionarla c</w:t>
      </w:r>
      <w:r w:rsidRPr="001C1EBB">
        <w:rPr>
          <w:lang w:val="es-ES"/>
        </w:rPr>
        <w:t>omo una acción de responsabilidad social corporativa antes que como una inversión comercial propiamente dicha. Esta idea ya se mencionó en el capítulo 1 para explicar por qué el patrocinio del deporte femenino resulta vulnerable a los recortes presupuestal</w:t>
      </w:r>
      <w:r w:rsidRPr="001C1EBB">
        <w:rPr>
          <w:lang w:val="es-ES"/>
        </w:rPr>
        <w:t>es de las empresas; aquí conviene retomarla porque, junto con la economía del deporte, es uno de los dos pilares del marco teórico que se desarrolla más adelante en este capítulo.</w:t>
      </w:r>
    </w:p>
    <w:p w:rsidR="00424856" w:rsidRPr="001C1EBB" w:rsidRDefault="009E0916">
      <w:pPr>
        <w:pStyle w:val="Ttulo2"/>
        <w:rPr>
          <w:lang w:val="es-ES"/>
        </w:rPr>
      </w:pPr>
      <w:bookmarkStart w:id="32" w:name="_TocG8_028"/>
      <w:bookmarkStart w:id="33" w:name="_mnn86z99pzne" w:colFirst="0" w:colLast="0"/>
      <w:bookmarkEnd w:id="32"/>
      <w:bookmarkEnd w:id="33"/>
      <w:r w:rsidRPr="001C1EBB">
        <w:rPr>
          <w:lang w:val="es-ES"/>
        </w:rPr>
        <w:t>Antecedentes Nacionales y Regionales: El Caso Colombiano</w:t>
      </w:r>
    </w:p>
    <w:p w:rsidR="00424856" w:rsidRPr="001C1EBB" w:rsidRDefault="009E0916">
      <w:pPr>
        <w:ind w:firstLine="720"/>
        <w:rPr>
          <w:lang w:val="es-ES"/>
        </w:rPr>
      </w:pPr>
      <w:r w:rsidRPr="001C1EBB">
        <w:rPr>
          <w:lang w:val="es-ES"/>
        </w:rPr>
        <w:t>En Colombia, casi t</w:t>
      </w:r>
      <w:r w:rsidRPr="001C1EBB">
        <w:rPr>
          <w:lang w:val="es-ES"/>
        </w:rPr>
        <w:t>oda la investigación disponible sobre economía del deporte se ha hecho sobre el fútbol y no sobre el baloncesto, lo cual confirma, desde otro ángulo, el vacío de conocimiento señalado en el capítulo anterior. Marín y Rodríguez (2019), en su trabajo de grad</w:t>
      </w:r>
      <w:r w:rsidRPr="001C1EBB">
        <w:rPr>
          <w:lang w:val="es-ES"/>
        </w:rPr>
        <w:t>o para la Universidad Icesi, estudiaron la relación entre la salud financiera de los clubes y sus resultados deportivos en la Liga de Fútbol Profesional Colombiano entre 2014 y 2018, usando datos de la Superintendencia de Sociedades y modelos econométricos</w:t>
      </w:r>
      <w:r w:rsidRPr="001C1EBB">
        <w:rPr>
          <w:lang w:val="es-ES"/>
        </w:rPr>
        <w:t xml:space="preserve">. Aunque ese trabajo se hizo sobre fútbol masculino, su valor para esta investigación está en que confirma que sí existe, en el país, una tradición de análisis financiero de clubes profesionales que hasta el momento no se ha aplicado ni al baloncesto ni a </w:t>
      </w:r>
      <w:r w:rsidRPr="001C1EBB">
        <w:rPr>
          <w:lang w:val="es-ES"/>
        </w:rPr>
        <w:t>las ramas femeninas de ningún deporte de manera sistemática.</w:t>
      </w:r>
    </w:p>
    <w:p w:rsidR="00424856" w:rsidRPr="001C1EBB" w:rsidRDefault="009E0916">
      <w:pPr>
        <w:ind w:firstLine="720"/>
        <w:rPr>
          <w:lang w:val="es-ES"/>
        </w:rPr>
      </w:pPr>
      <w:r w:rsidRPr="001C1EBB">
        <w:rPr>
          <w:lang w:val="es-ES"/>
        </w:rPr>
        <w:t xml:space="preserve">Sobre el fútbol femenino colombiano específicamente, Martínez Mina et al. (2019) realizaron un estudio cualitativo, exploratorio y de carácter narrativo con 10 jugadoras </w:t>
      </w:r>
      <w:r w:rsidRPr="001C1EBB">
        <w:rPr>
          <w:lang w:val="es-ES"/>
        </w:rPr>
        <w:lastRenderedPageBreak/>
        <w:t>profesionales de distinto</w:t>
      </w:r>
      <w:r w:rsidRPr="001C1EBB">
        <w:rPr>
          <w:lang w:val="es-ES"/>
        </w:rPr>
        <w:t>s clubes de la Liga Águila Femenina, y encontraron que el salario, el tipo de contratación y la escasa visibilidad mediática eran las principales preocupaciones que las jugadoras expresaban sobre su ejercicio profesional. Este antecedente resulta especialm</w:t>
      </w:r>
      <w:r w:rsidRPr="001C1EBB">
        <w:rPr>
          <w:lang w:val="es-ES"/>
        </w:rPr>
        <w:t>ente valioso para el presente trabajo porque, aunque se refiere a otra disciplina, documenta con jugadoras profesionales el tipo de información —salarios, modalidades de contratación— que en el baloncesto femenino colombiano no existe de forma sistematizad</w:t>
      </w:r>
      <w:r w:rsidRPr="001C1EBB">
        <w:rPr>
          <w:lang w:val="es-ES"/>
        </w:rPr>
        <w:t>a, tal como se estableció en la descripción del problema del capítulo 1.</w:t>
      </w:r>
    </w:p>
    <w:p w:rsidR="00424856" w:rsidRPr="001C1EBB" w:rsidRDefault="009E0916">
      <w:pPr>
        <w:ind w:firstLine="720"/>
        <w:rPr>
          <w:lang w:val="es-ES"/>
        </w:rPr>
      </w:pPr>
      <w:r w:rsidRPr="001C1EBB">
        <w:rPr>
          <w:lang w:val="es-ES"/>
        </w:rPr>
        <w:t>El antecedente más cercano al objeto de estudio de esta investigación, sin embargo, no es un artículo académico sino un informe institucional. El Ministerio del Deporte (2023) publicó</w:t>
      </w:r>
      <w:r w:rsidRPr="001C1EBB">
        <w:rPr>
          <w:lang w:val="es-ES"/>
        </w:rPr>
        <w:t xml:space="preserve"> el </w:t>
      </w:r>
      <w:r w:rsidRPr="001C1EBB">
        <w:rPr>
          <w:i/>
          <w:iCs/>
          <w:lang w:val="es-ES"/>
        </w:rPr>
        <w:t>Panorama financiero y laboral de clubes deportivos profesionales</w:t>
      </w:r>
      <w:r w:rsidRPr="001C1EBB">
        <w:rPr>
          <w:lang w:val="es-ES"/>
        </w:rPr>
        <w:t>, con corte al 31 de diciembre de 2022, que sí incluye cifras agregadas de los estados financieros de los clubes profesionales de baloncesto colombiano. Según ese informe, los 12 clubes de</w:t>
      </w:r>
      <w:r w:rsidRPr="001C1EBB">
        <w:rPr>
          <w:lang w:val="es-ES"/>
        </w:rPr>
        <w:t xml:space="preserve"> baloncesto profesional registrados en el Sistema Nacional del Deporte reportaron en conjunto activos por 3.403 millones de pesos, ingresos por 6.206 millones y una pérdida neta del ejercicio de 190 millones de pesos, aunque solo siete de los 12 clubes cum</w:t>
      </w:r>
      <w:r w:rsidRPr="001C1EBB">
        <w:rPr>
          <w:lang w:val="es-ES"/>
        </w:rPr>
        <w:t>plieron con la obligación de remitir sus estados financieros al Ministerio.</w:t>
      </w:r>
    </w:p>
    <w:p w:rsidR="00424856" w:rsidRPr="001C1EBB" w:rsidRDefault="009E0916">
      <w:pPr>
        <w:ind w:firstLine="720"/>
        <w:rPr>
          <w:lang w:val="es-ES"/>
        </w:rPr>
      </w:pPr>
      <w:r w:rsidRPr="001C1EBB">
        <w:rPr>
          <w:lang w:val="es-ES"/>
        </w:rPr>
        <w:t>El mismo documento confirma, además, un dato central para esta investigación: para el corte de 2022, el baloncesto y el béisbol profesionales colombianos registraban únicamente pla</w:t>
      </w:r>
      <w:r w:rsidRPr="001C1EBB">
        <w:rPr>
          <w:lang w:val="es-ES"/>
        </w:rPr>
        <w:t>ntilla masculina, mientras que el fútbol sí reportaba jugadoras contratadas, aunque apenas en el 7,3 % del total de contratos del país (Ministerio del Deporte, 2023). En otras palabras, un documento oficial del propio Ministerio no registra baloncesto feme</w:t>
      </w:r>
      <w:r w:rsidRPr="001C1EBB">
        <w:rPr>
          <w:lang w:val="es-ES"/>
        </w:rPr>
        <w:t>nino profesional bajo contrato formal, lo cual respalda de manera directa el problema planteado en el capítulo anterior y muestra que no se trata de un vacío exclusivamente académico.</w:t>
      </w:r>
    </w:p>
    <w:p w:rsidR="00424856" w:rsidRPr="001C1EBB" w:rsidRDefault="009E0916">
      <w:pPr>
        <w:pStyle w:val="Ttulo2"/>
        <w:rPr>
          <w:lang w:val="es-ES"/>
        </w:rPr>
      </w:pPr>
      <w:bookmarkStart w:id="34" w:name="_TocG8_029"/>
      <w:bookmarkStart w:id="35" w:name="_5bzf5ydi11ct" w:colFirst="0" w:colLast="0"/>
      <w:bookmarkEnd w:id="34"/>
      <w:bookmarkEnd w:id="35"/>
      <w:r w:rsidRPr="001C1EBB">
        <w:rPr>
          <w:lang w:val="es-ES"/>
        </w:rPr>
        <w:lastRenderedPageBreak/>
        <w:t>Síntesis del Vacío de Conocimiento</w:t>
      </w:r>
    </w:p>
    <w:p w:rsidR="00424856" w:rsidRPr="001C1EBB" w:rsidRDefault="009E0916">
      <w:pPr>
        <w:ind w:firstLine="720"/>
        <w:rPr>
          <w:lang w:val="es-ES"/>
        </w:rPr>
      </w:pPr>
      <w:r w:rsidRPr="001C1EBB">
        <w:rPr>
          <w:lang w:val="es-ES"/>
        </w:rPr>
        <w:t>Puestos en conjunto, estos antecedent</w:t>
      </w:r>
      <w:r w:rsidRPr="001C1EBB">
        <w:rPr>
          <w:lang w:val="es-ES"/>
        </w:rPr>
        <w:t xml:space="preserve">es muestran tres cosas. Primero, que la literatura internacional sí explica por qué existe una brecha económica de género en el deporte —menor cobertura mediática, menor inversión de patrocinio y gestión del patrocinio femenino como responsabilidad social </w:t>
      </w:r>
      <w:r w:rsidRPr="001C1EBB">
        <w:rPr>
          <w:lang w:val="es-ES"/>
        </w:rPr>
        <w:t>antes que como negocio—, pero lo hace sobre todo con datos de mercados de altos ingresos, tal como ya se señaló en la justificación teórica del capítulo 1. Segundo, que en Colombia existe una base metodológica sólida para analizar la salud financiera de cl</w:t>
      </w:r>
      <w:r w:rsidRPr="001C1EBB">
        <w:rPr>
          <w:lang w:val="es-ES"/>
        </w:rPr>
        <w:t>ubes deportivos, pero aplicada casi exclusivamente al fútbol masculino y, en menor medida, al femenino.</w:t>
      </w:r>
    </w:p>
    <w:p w:rsidR="00424856" w:rsidRPr="001C1EBB" w:rsidRDefault="009E0916">
      <w:pPr>
        <w:ind w:firstLine="720"/>
        <w:rPr>
          <w:lang w:val="es-ES"/>
        </w:rPr>
      </w:pPr>
      <w:r w:rsidRPr="001C1EBB">
        <w:rPr>
          <w:lang w:val="es-ES"/>
        </w:rPr>
        <w:t>Tercero, y esto es lo más importante para el presente trabajo, que el propio Estado colombiano no registra en sus documentos oficiales baloncesto femenino profesional bajo contrato formal, lo cual convierte el vacío de conocimiento en un vacío también admi</w:t>
      </w:r>
      <w:r w:rsidRPr="001C1EBB">
        <w:rPr>
          <w:lang w:val="es-ES"/>
        </w:rPr>
        <w:t>nistrativo. Ningún antecedente revisado, ni internacional ni nacional, consolida ingresos por patrocinio, presupuestos y salarios para el baloncesto profesional femenino colombiano en el periodo 2022–2025, lo que confirma la pertinencia de la pregunta de i</w:t>
      </w:r>
      <w:r w:rsidRPr="001C1EBB">
        <w:rPr>
          <w:lang w:val="es-ES"/>
        </w:rPr>
        <w:t>nvestigación planteada en el capítulo anterior.</w:t>
      </w:r>
    </w:p>
    <w:p w:rsidR="00424856" w:rsidRPr="001C1EBB" w:rsidRDefault="009E0916">
      <w:pPr>
        <w:pStyle w:val="Ttulo1"/>
        <w:pageBreakBefore/>
        <w:jc w:val="center"/>
        <w:rPr>
          <w:lang w:val="es-ES"/>
        </w:rPr>
      </w:pPr>
      <w:bookmarkStart w:id="36" w:name="_TocG8_030"/>
      <w:bookmarkStart w:id="37" w:name="_cm9u4qmoutmf" w:colFirst="0" w:colLast="0"/>
      <w:bookmarkEnd w:id="36"/>
      <w:bookmarkEnd w:id="37"/>
      <w:r w:rsidRPr="001C1EBB">
        <w:rPr>
          <w:lang w:val="es-ES"/>
        </w:rPr>
        <w:lastRenderedPageBreak/>
        <w:t>Referencia Teórica y Conceptual</w:t>
      </w:r>
    </w:p>
    <w:p w:rsidR="00424856" w:rsidRPr="001C1EBB" w:rsidRDefault="009E0916">
      <w:pPr>
        <w:ind w:firstLine="720"/>
        <w:rPr>
          <w:lang w:val="es-ES"/>
        </w:rPr>
      </w:pPr>
      <w:r w:rsidRPr="001C1EBB">
        <w:rPr>
          <w:lang w:val="es-ES"/>
        </w:rPr>
        <w:t>Para interpretar la información que se recoja sobre el baloncesto profesional femenino colombiano, este trabajo se apoya en dos cuerpos teóricos que se complementan entre sí: l</w:t>
      </w:r>
      <w:r w:rsidRPr="001C1EBB">
        <w:rPr>
          <w:lang w:val="es-ES"/>
        </w:rPr>
        <w:t xml:space="preserve">a economía del deporte, que explica la lógica financiera particular de los clubes deportivos, y la teoría del patrocinio deportivo, que explica cómo y por qué las empresas invierten (o no invierten) en el deporte femenino. A esas dos teorías se suman tres </w:t>
      </w:r>
      <w:r w:rsidRPr="001C1EBB">
        <w:rPr>
          <w:lang w:val="es-ES"/>
        </w:rPr>
        <w:t>conceptos operativos (presupuesto de club, brecha económica de género y salario mínimo legal mensual vigente) que ya se habían presentado en el glosario del capítulo 1 y que aquí se desarrollan con mayor detalle.</w:t>
      </w:r>
    </w:p>
    <w:p w:rsidR="00424856" w:rsidRPr="001C1EBB" w:rsidRDefault="009E0916">
      <w:pPr>
        <w:pStyle w:val="Ttulo2"/>
        <w:rPr>
          <w:lang w:val="es-ES"/>
        </w:rPr>
      </w:pPr>
      <w:bookmarkStart w:id="38" w:name="_TocG8_031"/>
      <w:bookmarkStart w:id="39" w:name="_no1uj7fzeesh" w:colFirst="0" w:colLast="0"/>
      <w:bookmarkEnd w:id="38"/>
      <w:bookmarkEnd w:id="39"/>
      <w:r w:rsidRPr="001C1EBB">
        <w:rPr>
          <w:lang w:val="es-ES"/>
        </w:rPr>
        <w:t>La Economía del Deporte como Marco Interpre</w:t>
      </w:r>
      <w:r w:rsidRPr="001C1EBB">
        <w:rPr>
          <w:lang w:val="es-ES"/>
        </w:rPr>
        <w:t>tativo General</w:t>
      </w:r>
    </w:p>
    <w:p w:rsidR="00424856" w:rsidRPr="001C1EBB" w:rsidRDefault="009E0916">
      <w:pPr>
        <w:ind w:firstLine="720"/>
        <w:rPr>
          <w:lang w:val="es-ES"/>
        </w:rPr>
      </w:pPr>
      <w:r w:rsidRPr="001C1EBB">
        <w:rPr>
          <w:lang w:val="es-ES"/>
        </w:rPr>
        <w:t>Para entender las decisiones financieras de un club de baloncesto femenino colombiano, o las razones por las que no logra sostenerse en el tiempo, este trabajo recurre a la economía del deporte, campo que Rodríguez Guerrero (2012) describe c</w:t>
      </w:r>
      <w:r w:rsidRPr="001C1EBB">
        <w:rPr>
          <w:lang w:val="es-ES"/>
        </w:rPr>
        <w:t xml:space="preserve">omo el estudio de las particularidades económicas que distinguen a la industria deportiva de otras industrias, entre ellas la necesidad de que existan varios competidores viables para que el producto (la competencia deportiva) tenga algún valor comercial. </w:t>
      </w:r>
      <w:r w:rsidRPr="001C1EBB">
        <w:rPr>
          <w:lang w:val="es-ES"/>
        </w:rPr>
        <w:t xml:space="preserve">Esa particularidad resulta clave para este estudio: un club de baloncesto femenino no compite solo por ganar partidos, sino por seguir existiendo dentro de una liga que, según se documentó en el capítulo 1, ha operado con certámenes cortos y sin ediciones </w:t>
      </w:r>
      <w:r w:rsidRPr="001C1EBB">
        <w:rPr>
          <w:lang w:val="es-ES"/>
        </w:rPr>
        <w:t>registradas en 2024 ni 2025 en las fuentes consultadas.</w:t>
      </w:r>
    </w:p>
    <w:p w:rsidR="00424856" w:rsidRPr="001C1EBB" w:rsidRDefault="009E0916">
      <w:pPr>
        <w:ind w:firstLine="720"/>
        <w:rPr>
          <w:lang w:val="es-ES"/>
        </w:rPr>
      </w:pPr>
      <w:r w:rsidRPr="001C1EBB">
        <w:rPr>
          <w:lang w:val="es-ES"/>
        </w:rPr>
        <w:t>Dentro de esta disciplina, Szymanski (2003) sostiene que los clubes deportivos no necesariamente buscan maximizar sus utilidades como lo haría cualquier empresa, sino que muchas veces persiguen objeti</w:t>
      </w:r>
      <w:r w:rsidRPr="001C1EBB">
        <w:rPr>
          <w:lang w:val="es-ES"/>
        </w:rPr>
        <w:t xml:space="preserve">vos deportivos (ganar campeonatos, mantener la categoría) incluso a costa de su estabilidad financiera, lo que el autor describe como una maximización de utilidad sujeta a una restricción de equilibrio financiero. Esta idea ofrece una lente útil para leer </w:t>
      </w:r>
      <w:r w:rsidRPr="001C1EBB">
        <w:rPr>
          <w:lang w:val="es-ES"/>
        </w:rPr>
        <w:t xml:space="preserve">los datos </w:t>
      </w:r>
      <w:r w:rsidRPr="001C1EBB">
        <w:rPr>
          <w:lang w:val="es-ES"/>
        </w:rPr>
        <w:lastRenderedPageBreak/>
        <w:t>que ya se conocen del baloncesto colombiano: el informe del Ministerio del Deporte (2023) mostró que, en 2022, los clubes profesionales de baloncesto tuvieron en conjunto una pérdida en el ejercicio, y que varios de ellos ni siquiera entregaron s</w:t>
      </w:r>
      <w:r w:rsidRPr="001C1EBB">
        <w:rPr>
          <w:lang w:val="es-ES"/>
        </w:rPr>
        <w:t>us estados financieros a la autoridad competente. Desde la lógica de Szymanski (2003), esto no sería necesariamente un fracaso empresarial, sino un indicio de que el objetivo de estos clubes puede no ser la rentabilidad sino la permanencia deportiva, hipót</w:t>
      </w:r>
      <w:r w:rsidRPr="001C1EBB">
        <w:rPr>
          <w:lang w:val="es-ES"/>
        </w:rPr>
        <w:t>esis de trabajo que esta investigación buscará explorar cuando analice, en su fase siguiente, los presupuestos de los clubes femeninos.</w:t>
      </w:r>
    </w:p>
    <w:p w:rsidR="00424856" w:rsidRPr="001C1EBB" w:rsidRDefault="009E0916">
      <w:pPr>
        <w:pStyle w:val="Ttulo2"/>
        <w:rPr>
          <w:lang w:val="es-ES"/>
        </w:rPr>
      </w:pPr>
      <w:bookmarkStart w:id="40" w:name="_TocG8_032"/>
      <w:bookmarkStart w:id="41" w:name="_h4rmtbrdv46q" w:colFirst="0" w:colLast="0"/>
      <w:bookmarkEnd w:id="40"/>
      <w:bookmarkEnd w:id="41"/>
      <w:r w:rsidRPr="001C1EBB">
        <w:rPr>
          <w:lang w:val="es-ES"/>
        </w:rPr>
        <w:t>Teoría del Patrocinio Deportivo</w:t>
      </w:r>
    </w:p>
    <w:p w:rsidR="00424856" w:rsidRPr="001C1EBB" w:rsidRDefault="009E0916">
      <w:pPr>
        <w:ind w:firstLine="720"/>
        <w:rPr>
          <w:lang w:val="es-ES"/>
        </w:rPr>
      </w:pPr>
      <w:r w:rsidRPr="001C1EBB">
        <w:rPr>
          <w:lang w:val="es-ES"/>
        </w:rPr>
        <w:t>El segundo pilar teórico de este trabajo es la teoría del patrocinio deportivo, que expl</w:t>
      </w:r>
      <w:r w:rsidRPr="001C1EBB">
        <w:rPr>
          <w:lang w:val="es-ES"/>
        </w:rPr>
        <w:t xml:space="preserve">ica la principal fuente de ingresos que, según la literatura revisada, sostiene al deporte femenino de élite en otros países. Meenaghan (1991) definió el patrocinio como una inversión, en dinero o en especie, que una empresa realiza a cambio de acceder al </w:t>
      </w:r>
      <w:r w:rsidRPr="001C1EBB">
        <w:rPr>
          <w:lang w:val="es-ES"/>
        </w:rPr>
        <w:t xml:space="preserve">potencial comercial de la actividad patrocinada, y lo distinguió de la simple filantropía: para el patrocinador se trata de un instrumento de comunicación de mercadeo, no de una donación. Cornwell (1995) amplió esa definición con el concepto de </w:t>
      </w:r>
      <w:r w:rsidRPr="001C1EBB">
        <w:rPr>
          <w:i/>
          <w:iCs/>
          <w:lang w:val="es-ES"/>
        </w:rPr>
        <w:t>sponsorship</w:t>
      </w:r>
      <w:r w:rsidRPr="001C1EBB">
        <w:rPr>
          <w:i/>
          <w:iCs/>
          <w:lang w:val="es-ES"/>
        </w:rPr>
        <w:t>-linked marketing</w:t>
      </w:r>
      <w:r w:rsidRPr="001C1EBB">
        <w:rPr>
          <w:lang w:val="es-ES"/>
        </w:rPr>
        <w:t>, según el cual el valor de un patrocinio no está solo en asociar una marca a un evento deportivo, sino en todo lo que la empresa hace después para explotar comercialmente esa asociación, como publicidad conjunta, activaciones o promocione</w:t>
      </w:r>
      <w:r w:rsidRPr="001C1EBB">
        <w:rPr>
          <w:lang w:val="es-ES"/>
        </w:rPr>
        <w:t>s dirigidas al público del evento.</w:t>
      </w:r>
    </w:p>
    <w:p w:rsidR="00424856" w:rsidRPr="001C1EBB" w:rsidRDefault="009E0916">
      <w:pPr>
        <w:ind w:firstLine="720"/>
        <w:rPr>
          <w:lang w:val="es-ES"/>
        </w:rPr>
      </w:pPr>
      <w:r w:rsidRPr="001C1EBB">
        <w:rPr>
          <w:lang w:val="es-ES"/>
        </w:rPr>
        <w:t>Esta distinción importa para el presente trabajo porque, de acuerdo con Torres-Romay y García-Mirón (2020), el patrocinio del deporte femenino tiende a quedarse en la primera etapa (la simple asociación de marca) sin lleg</w:t>
      </w:r>
      <w:r w:rsidRPr="001C1EBB">
        <w:rPr>
          <w:lang w:val="es-ES"/>
        </w:rPr>
        <w:t xml:space="preserve">ar a la segunda (la explotación comercial activa), lo que lo acerca más a la responsabilidad social empresarial que al patrocinio estratégico descrito en la revisión de literatura de Cornwell (1995). Aplicada al caso colombiano, esta teoría permite </w:t>
      </w:r>
      <w:r w:rsidRPr="001C1EBB">
        <w:rPr>
          <w:lang w:val="es-ES"/>
        </w:rPr>
        <w:lastRenderedPageBreak/>
        <w:t>plantea</w:t>
      </w:r>
      <w:r w:rsidRPr="001C1EBB">
        <w:rPr>
          <w:lang w:val="es-ES"/>
        </w:rPr>
        <w:t>r una hipótesis de trabajo, no un resultado: si el patrocinio al baloncesto femenino colombiano existe, es probable que se presente bajo esa lógica de responsabilidad social antes que como una inversión comercial sostenida, en línea con lo que ya se observ</w:t>
      </w:r>
      <w:r w:rsidRPr="001C1EBB">
        <w:rPr>
          <w:lang w:val="es-ES"/>
        </w:rPr>
        <w:t>ó en el capítulo 1 sobre la inversión de BetPlay en el deporte colombiano, que en 2024 no mencionó ninguna disciplina femenina de baloncesto entre los torneos que patrocinó (Claro Sports, 2024).</w:t>
      </w:r>
    </w:p>
    <w:p w:rsidR="00424856" w:rsidRPr="001C1EBB" w:rsidRDefault="009E0916">
      <w:pPr>
        <w:pStyle w:val="Ttulo2"/>
        <w:rPr>
          <w:lang w:val="es-ES"/>
        </w:rPr>
      </w:pPr>
      <w:bookmarkStart w:id="42" w:name="_TocG8_033"/>
      <w:bookmarkStart w:id="43" w:name="_indqyyb0ufzt" w:colFirst="0" w:colLast="0"/>
      <w:bookmarkEnd w:id="42"/>
      <w:bookmarkEnd w:id="43"/>
      <w:r w:rsidRPr="001C1EBB">
        <w:rPr>
          <w:lang w:val="es-ES"/>
        </w:rPr>
        <w:t>Marco Conceptual: Presupuesto de Club, Brecha Económica de Gé</w:t>
      </w:r>
      <w:r w:rsidRPr="001C1EBB">
        <w:rPr>
          <w:lang w:val="es-ES"/>
        </w:rPr>
        <w:t>nero y Salario Mínimo Legal Mensual Vigente</w:t>
      </w:r>
    </w:p>
    <w:p w:rsidR="00424856" w:rsidRPr="001C1EBB" w:rsidRDefault="009E0916">
      <w:pPr>
        <w:ind w:firstLine="720"/>
        <w:rPr>
          <w:lang w:val="es-ES"/>
        </w:rPr>
      </w:pPr>
      <w:r w:rsidRPr="001C1EBB">
        <w:rPr>
          <w:lang w:val="es-ES"/>
        </w:rPr>
        <w:t>Además de estas dos teorías, el estudio requiere precisar tres conceptos operativos que ya se habían introducido en el glosario del capítulo 1, pero que conviene desarrollar aquí con mayor sustento teórico.</w:t>
      </w:r>
    </w:p>
    <w:p w:rsidR="00424856" w:rsidRPr="001C1EBB" w:rsidRDefault="009E0916">
      <w:pPr>
        <w:ind w:firstLine="720"/>
        <w:rPr>
          <w:lang w:val="es-ES"/>
        </w:rPr>
      </w:pPr>
      <w:r w:rsidRPr="001C1EBB">
        <w:rPr>
          <w:lang w:val="es-ES"/>
        </w:rPr>
        <w:t>El pr</w:t>
      </w:r>
      <w:r w:rsidRPr="001C1EBB">
        <w:rPr>
          <w:lang w:val="es-ES"/>
        </w:rPr>
        <w:t>esupuesto de un club deportivo, siguiendo la lógica contable que usa el propio Ministerio del Deporte (2023) para vigilar a estos organismos, se entiende en este trabajo como la relación entre activos, pasivos, patrimonio, ingresos, costos y gastos de la o</w:t>
      </w:r>
      <w:r w:rsidRPr="001C1EBB">
        <w:rPr>
          <w:lang w:val="es-ES"/>
        </w:rPr>
        <w:t>rganización durante un periodo determinado. Esa misma fuente aporta dos indicadores que se retomarán más adelante para comparar la situación del baloncesto femenino con la del masculino: el nivel de patrimonio líquido y el nivel de endeudamiento, que miden</w:t>
      </w:r>
      <w:r w:rsidRPr="001C1EBB">
        <w:rPr>
          <w:lang w:val="es-ES"/>
        </w:rPr>
        <w:t xml:space="preserve"> qué tan comprometida está la organización frente a sus obligaciones financieras. Se trata de una definición operacional y contable, no de una construcción teórica compleja, pero es la que permitirá comparar clubes entre sí y con el paso del tiempo en las </w:t>
      </w:r>
      <w:r w:rsidRPr="001C1EBB">
        <w:rPr>
          <w:lang w:val="es-ES"/>
        </w:rPr>
        <w:t>fases siguientes de la investigación.</w:t>
      </w:r>
    </w:p>
    <w:p w:rsidR="00424856" w:rsidRPr="001C1EBB" w:rsidRDefault="009E0916">
      <w:pPr>
        <w:ind w:firstLine="720"/>
        <w:rPr>
          <w:lang w:val="es-ES"/>
        </w:rPr>
      </w:pPr>
      <w:r w:rsidRPr="001C1EBB">
        <w:rPr>
          <w:lang w:val="es-ES"/>
        </w:rPr>
        <w:t>La brecha económica de género en el deporte, por su parte, se entiende en este trabajo como la diferencia sistemática en inversión, remuneración y condiciones contractuales entre las ramas masculina y femenina de una m</w:t>
      </w:r>
      <w:r w:rsidRPr="001C1EBB">
        <w:rPr>
          <w:lang w:val="es-ES"/>
        </w:rPr>
        <w:t xml:space="preserve">isma disciplina, documentada de manera recurrente en la literatura sobre patrocinio deportivo (Torres-Romay y García-Mirón, 2020) y confirmada en el </w:t>
      </w:r>
      <w:r w:rsidRPr="001C1EBB">
        <w:rPr>
          <w:lang w:val="es-ES"/>
        </w:rPr>
        <w:lastRenderedPageBreak/>
        <w:t>contexto colombiano por el hallazgo de Martínez Mina et al. (2019) sobre las condiciones laborales de las f</w:t>
      </w:r>
      <w:r w:rsidRPr="001C1EBB">
        <w:rPr>
          <w:lang w:val="es-ES"/>
        </w:rPr>
        <w:t>utbolistas profesionales. Vista desde la economía del deporte, esa brecha no es un fenómeno exclusivamente cultural, sino también una consecuencia de que las ligas femeninas suelen operar con menos competidores, calendarios más cortos y menor cobertura med</w:t>
      </w:r>
      <w:r w:rsidRPr="001C1EBB">
        <w:rPr>
          <w:lang w:val="es-ES"/>
        </w:rPr>
        <w:t>iática, condiciones que, siguiendo a Rodríguez Guerrero (2012), reducen el valor comercial del producto deportivo y, con él, el interés de los patrocinadores.</w:t>
      </w:r>
    </w:p>
    <w:p w:rsidR="00424856" w:rsidRPr="001C1EBB" w:rsidRDefault="009E0916">
      <w:pPr>
        <w:ind w:firstLine="720"/>
        <w:rPr>
          <w:lang w:val="es-ES"/>
        </w:rPr>
      </w:pPr>
      <w:r w:rsidRPr="001C1EBB">
        <w:rPr>
          <w:lang w:val="es-ES"/>
        </w:rPr>
        <w:t>Finalmente, el salario mínimo legal mensual vigente se retoma del capítulo 1 como unidad de refer</w:t>
      </w:r>
      <w:r w:rsidRPr="001C1EBB">
        <w:rPr>
          <w:lang w:val="es-ES"/>
        </w:rPr>
        <w:t>encia (Presidencia de la República de Colombia, 2024), no porque exista una teoría económica específica detrás de esta cifra, sino porque es el único punto de comparación disponible para interpretar cualquier remuneración que se logre documentar en las fas</w:t>
      </w:r>
      <w:r w:rsidRPr="001C1EBB">
        <w:rPr>
          <w:lang w:val="es-ES"/>
        </w:rPr>
        <w:t>es siguientes de la investigación, dado que, como ya se estableció, no existe información pública sobre los salarios de las jugadoras de baloncesto profesional colombiano.</w:t>
      </w:r>
    </w:p>
    <w:p w:rsidR="00424856" w:rsidRPr="001C1EBB" w:rsidRDefault="009E0916">
      <w:pPr>
        <w:pStyle w:val="Ttulo2"/>
        <w:rPr>
          <w:lang w:val="es-ES"/>
        </w:rPr>
      </w:pPr>
      <w:bookmarkStart w:id="44" w:name="_TocG8_034"/>
      <w:bookmarkEnd w:id="44"/>
      <w:r w:rsidRPr="001C1EBB">
        <w:rPr>
          <w:lang w:val="es-ES"/>
        </w:rPr>
        <w:t>Síntesis de la Referencia Teórica y su Relación con la Pregunta de Investigación</w:t>
      </w:r>
    </w:p>
    <w:p w:rsidR="00424856" w:rsidRPr="001C1EBB" w:rsidRDefault="009E0916">
      <w:pPr>
        <w:ind w:firstLine="720"/>
        <w:rPr>
          <w:lang w:val="es-ES"/>
        </w:rPr>
      </w:pPr>
      <w:r w:rsidRPr="001C1EBB">
        <w:rPr>
          <w:lang w:val="es-ES"/>
        </w:rPr>
        <w:t>Juntas, la economía del deporte y la teoría del patrocinio deportivo ofrecen dos explicaciones complementarias, no contradictorias, para la pregunta de investigación planteada en el capítulo 1: ¿cómo evolucionaron los ingresos por patrocinio, los presupues</w:t>
      </w:r>
      <w:r w:rsidRPr="001C1EBB">
        <w:rPr>
          <w:lang w:val="es-ES"/>
        </w:rPr>
        <w:t xml:space="preserve">tos de los clubes y los salarios de las jugadoras del baloncesto profesional femenino colombiano durante el periodo 2022–2025? Desde la economía del deporte, la respuesta probable pasa por entender que estos clubes pueden estar operando bajo una lógica de </w:t>
      </w:r>
      <w:r w:rsidRPr="001C1EBB">
        <w:rPr>
          <w:lang w:val="es-ES"/>
        </w:rPr>
        <w:t>permanencia deportiva antes que de rentabilidad financiera (Szymanski, 2003).</w:t>
      </w:r>
    </w:p>
    <w:p w:rsidR="00424856" w:rsidRPr="001C1EBB" w:rsidRDefault="009E0916">
      <w:pPr>
        <w:ind w:firstLine="720"/>
        <w:rPr>
          <w:lang w:val="es-ES"/>
        </w:rPr>
      </w:pPr>
      <w:r w:rsidRPr="001C1EBB">
        <w:rPr>
          <w:lang w:val="es-ES"/>
        </w:rPr>
        <w:t>Desde la teoría del patrocinio, la respuesta probable pasa por entender que la inversión privada, si existe, se mueve más por responsabilidad social que por cálculo comercial (Co</w:t>
      </w:r>
      <w:r w:rsidRPr="001C1EBB">
        <w:rPr>
          <w:lang w:val="es-ES"/>
        </w:rPr>
        <w:t xml:space="preserve">rnwell, 1995; Torres-Romay y García-Mirón, 2020). Ninguna de las dos teorías permite anticipar cifras </w:t>
      </w:r>
      <w:r w:rsidRPr="001C1EBB">
        <w:rPr>
          <w:lang w:val="es-ES"/>
        </w:rPr>
        <w:lastRenderedPageBreak/>
        <w:t xml:space="preserve">ni resultados concretos, pues esa tarea corresponde a los capítulos posteriores de este trabajo, pero ambas ofrecen un lenguaje conceptual coherente para </w:t>
      </w:r>
      <w:r w:rsidRPr="001C1EBB">
        <w:rPr>
          <w:lang w:val="es-ES"/>
        </w:rPr>
        <w:t>interpretar la información que se recoja sobre certámenes, presupuestos y salarios, sin que dicha interpretación dependa de impresiones personales de quienes desarrollan la investigación.</w:t>
      </w:r>
    </w:p>
    <w:p w:rsidR="00424856" w:rsidRPr="001C1EBB" w:rsidRDefault="00424856">
      <w:pPr>
        <w:ind w:firstLine="720"/>
        <w:rPr>
          <w:lang w:val="es-ES"/>
        </w:rPr>
      </w:pPr>
    </w:p>
    <w:p w:rsidR="00424856" w:rsidRPr="001C1EBB" w:rsidRDefault="00424856">
      <w:pPr>
        <w:rPr>
          <w:lang w:val="es-ES"/>
        </w:rPr>
      </w:pPr>
    </w:p>
    <w:p w:rsidR="00424856" w:rsidRPr="001C1EBB" w:rsidRDefault="009E0916">
      <w:pPr>
        <w:pStyle w:val="Ttulo1"/>
        <w:jc w:val="center"/>
        <w:rPr>
          <w:lang w:val="es-ES"/>
        </w:rPr>
      </w:pPr>
      <w:bookmarkStart w:id="45" w:name="_TocG8_035"/>
      <w:bookmarkEnd w:id="45"/>
      <w:r w:rsidRPr="001C1EBB">
        <w:rPr>
          <w:lang w:val="es-ES"/>
        </w:rPr>
        <w:t>Referencias</w:t>
      </w:r>
    </w:p>
    <w:p w:rsidR="00424856" w:rsidRDefault="009E0916">
      <w:pPr>
        <w:ind w:left="720" w:hanging="720"/>
      </w:pPr>
      <w:r w:rsidRPr="001C1EBB">
        <w:rPr>
          <w:lang w:val="es-ES"/>
        </w:rPr>
        <w:t>Claro Sports. (2024). BetPlay y su relación con el dep</w:t>
      </w:r>
      <w:r w:rsidRPr="001C1EBB">
        <w:rPr>
          <w:lang w:val="es-ES"/>
        </w:rPr>
        <w:t xml:space="preserve">orte colombiano. </w:t>
      </w:r>
      <w:hyperlink r:id="rId6">
        <w:r>
          <w:rPr>
            <w:color w:val="1155CC"/>
            <w:u w:val="single"/>
          </w:rPr>
          <w:t>https://www.clarosports.com/colombia/actualidad-co/betplay-y-su-relacion-con-el-deporte-colombiano/</w:t>
        </w:r>
      </w:hyperlink>
      <w:r>
        <w:t xml:space="preserve"> </w:t>
      </w:r>
    </w:p>
    <w:p w:rsidR="00424856" w:rsidRPr="001C1EBB" w:rsidRDefault="009E0916">
      <w:pPr>
        <w:ind w:left="720" w:hanging="720"/>
        <w:rPr>
          <w:lang w:val="es-ES"/>
        </w:rPr>
      </w:pPr>
      <w:r w:rsidRPr="001C1EBB">
        <w:rPr>
          <w:lang w:val="es-ES"/>
        </w:rPr>
        <w:t>Congreso de la Repú</w:t>
      </w:r>
      <w:r w:rsidRPr="001C1EBB">
        <w:rPr>
          <w:lang w:val="es-ES"/>
        </w:rPr>
        <w:t>blica de Colombia. (1995, 18 de enero). Ley 181 de 1995. Por la cual se dictan disposiciones para el fomento del deporte, la recreación, el aprovechamiento del tiempo libre y la educación física y se crea el Sistema Nacional del Deporte.</w:t>
      </w:r>
    </w:p>
    <w:p w:rsidR="00424856" w:rsidRPr="001C1EBB" w:rsidRDefault="009E0916">
      <w:pPr>
        <w:ind w:left="720" w:hanging="720"/>
        <w:rPr>
          <w:lang w:val="es-ES"/>
        </w:rPr>
      </w:pPr>
      <w:r w:rsidRPr="001C1EBB">
        <w:rPr>
          <w:lang w:val="es-ES"/>
        </w:rPr>
        <w:t>Congreso de la Rep</w:t>
      </w:r>
      <w:r w:rsidRPr="001C1EBB">
        <w:rPr>
          <w:lang w:val="es-ES"/>
        </w:rPr>
        <w:t xml:space="preserve">ública de Colombia. (2011, 12 de mayo). Ley 1445 de 2011. Por medio de la cual se modifica la Ley 181 de 1995, las disposiciones que resulten contrarias y se dictan otras disposiciones en relación con el deporte profesional. Diario Oficial No. 48.067. </w:t>
      </w:r>
      <w:hyperlink r:id="rId7">
        <w:r w:rsidRPr="001C1EBB">
          <w:rPr>
            <w:color w:val="1155CC"/>
            <w:u w:val="single"/>
            <w:lang w:val="es-ES"/>
          </w:rPr>
          <w:t>https://www.funcionpublica.gov.co/eva/gestornormativo/norma.php?i=42807</w:t>
        </w:r>
      </w:hyperlink>
      <w:r w:rsidRPr="001C1EBB">
        <w:rPr>
          <w:lang w:val="es-ES"/>
        </w:rPr>
        <w:t xml:space="preserve"> </w:t>
      </w:r>
    </w:p>
    <w:p w:rsidR="00424856" w:rsidRDefault="009E0916">
      <w:pPr>
        <w:ind w:left="720" w:hanging="720"/>
      </w:pPr>
      <w:r>
        <w:t xml:space="preserve">Cornwell, T. B. (1995). Sponsorship-linked marketing development. </w:t>
      </w:r>
      <w:r>
        <w:rPr>
          <w:i/>
          <w:iCs/>
        </w:rPr>
        <w:t>Sport Marketing Quarterly, 4</w:t>
      </w:r>
      <w:r>
        <w:t>(4</w:t>
      </w:r>
      <w:r>
        <w:t xml:space="preserve">), 13–24. </w:t>
      </w:r>
      <w:hyperlink r:id="rId8">
        <w:r>
          <w:rPr>
            <w:color w:val="1155CC"/>
            <w:u w:val="single"/>
          </w:rPr>
          <w:t>https://www.researchgate.net/publication/284025049_Sponsorship-Linked_Marketing_Development</w:t>
        </w:r>
      </w:hyperlink>
      <w:r>
        <w:t xml:space="preserve"> </w:t>
      </w:r>
    </w:p>
    <w:p w:rsidR="00424856" w:rsidRDefault="009E0916">
      <w:pPr>
        <w:ind w:left="720" w:hanging="720"/>
      </w:pPr>
      <w:r>
        <w:t>Deloitte. (2025, 18 de marzo). Women’s eli</w:t>
      </w:r>
      <w:r>
        <w:t xml:space="preserve">te sports exceed expectations as revenues forecasted to surpass $2.3 billion globally in 2025. </w:t>
      </w:r>
      <w:hyperlink r:id="rId9">
        <w:r>
          <w:rPr>
            <w:color w:val="1155CC"/>
            <w:u w:val="single"/>
          </w:rPr>
          <w:t>https://www.deloitte.com/us/en/about/press-room/w</w:t>
        </w:r>
        <w:r>
          <w:rPr>
            <w:color w:val="1155CC"/>
            <w:u w:val="single"/>
          </w:rPr>
          <w:t>omens-elite-sports-exceed-expectations.html</w:t>
        </w:r>
      </w:hyperlink>
      <w:r>
        <w:t xml:space="preserve"> </w:t>
      </w:r>
    </w:p>
    <w:p w:rsidR="00424856" w:rsidRDefault="009E0916">
      <w:pPr>
        <w:ind w:left="720" w:hanging="720"/>
      </w:pPr>
      <w:r w:rsidRPr="001C1EBB">
        <w:rPr>
          <w:lang w:val="es-ES"/>
        </w:rPr>
        <w:lastRenderedPageBreak/>
        <w:t xml:space="preserve">El Espectador. (2023, 23 de mayo). Así se jugará la Liga Superior Femenina de Baloncesto. </w:t>
      </w:r>
      <w:hyperlink r:id="rId10">
        <w:r>
          <w:rPr>
            <w:color w:val="1155CC"/>
            <w:u w:val="single"/>
          </w:rPr>
          <w:t>https://www.elespectador.com/deportes/mas-deportes/asi-se-jugara-la-liga-superior-femenina-de-baloncesto/</w:t>
        </w:r>
      </w:hyperlink>
      <w:r>
        <w:t xml:space="preserve"> </w:t>
      </w:r>
    </w:p>
    <w:p w:rsidR="00424856" w:rsidRDefault="009E0916">
      <w:pPr>
        <w:ind w:left="720" w:hanging="720"/>
      </w:pPr>
      <w:r>
        <w:t>ESPN. (2024, 24 de julio).</w:t>
      </w:r>
      <w:r>
        <w:t xml:space="preserve"> WNBA secures ‘monumental’ media deal with Disney, Amazon, NBCU. </w:t>
      </w:r>
      <w:hyperlink r:id="rId11">
        <w:r>
          <w:rPr>
            <w:color w:val="1155CC"/>
            <w:u w:val="single"/>
          </w:rPr>
          <w:t>https://www.espn.com/wnba/story/_/id/40634341/wnba-secures-monumental-me</w:t>
        </w:r>
        <w:r>
          <w:rPr>
            <w:color w:val="1155CC"/>
            <w:u w:val="single"/>
          </w:rPr>
          <w:t>dia-deal-disney-amazon-nbcu</w:t>
        </w:r>
      </w:hyperlink>
      <w:r>
        <w:t xml:space="preserve"> </w:t>
      </w:r>
    </w:p>
    <w:p w:rsidR="00424856" w:rsidRDefault="009E0916">
      <w:pPr>
        <w:ind w:left="720" w:hanging="720"/>
      </w:pPr>
      <w:r w:rsidRPr="001C1EBB">
        <w:rPr>
          <w:lang w:val="es-ES"/>
        </w:rPr>
        <w:t xml:space="preserve">FIBA. (2025a). FIBA AmeriCup Femenino 2025 – Perfil de equipo: Colombia. </w:t>
      </w:r>
      <w:hyperlink r:id="rId12">
        <w:r>
          <w:rPr>
            <w:color w:val="1155CC"/>
            <w:u w:val="single"/>
          </w:rPr>
          <w:t>https://www.fiba.b</w:t>
        </w:r>
        <w:r>
          <w:rPr>
            <w:color w:val="1155CC"/>
            <w:u w:val="single"/>
          </w:rPr>
          <w:t>asketball/es/events/fiba-womens-americup-2025/news/fiba-womens-americup-2025-team-profile-colombia</w:t>
        </w:r>
      </w:hyperlink>
      <w:r>
        <w:t xml:space="preserve"> </w:t>
      </w:r>
    </w:p>
    <w:p w:rsidR="00424856" w:rsidRDefault="009E0916">
      <w:pPr>
        <w:ind w:left="720" w:hanging="720"/>
      </w:pPr>
      <w:r>
        <w:t xml:space="preserve">FIBA. (2025b). Everything you need to know about the FIBA Women’s AmeriCup 2025. </w:t>
      </w:r>
      <w:hyperlink r:id="rId13">
        <w:r>
          <w:rPr>
            <w:color w:val="1155CC"/>
            <w:u w:val="single"/>
          </w:rPr>
          <w:t>https://www.fiba.basketball/en/events/fiba-womens-americup-2025/news/fiba-womens-americup-2025-everything-you-need-to-know</w:t>
        </w:r>
      </w:hyperlink>
      <w:r>
        <w:t xml:space="preserve"> </w:t>
      </w:r>
    </w:p>
    <w:p w:rsidR="00424856" w:rsidRDefault="009E0916">
      <w:pPr>
        <w:ind w:left="720" w:hanging="720"/>
      </w:pPr>
      <w:r w:rsidRPr="001C1EBB">
        <w:rPr>
          <w:lang w:val="es-ES"/>
        </w:rPr>
        <w:t>Infobae. (2025, 19 de noviembre). Hay una “preocupante desigualda</w:t>
      </w:r>
      <w:r w:rsidRPr="001C1EBB">
        <w:rPr>
          <w:lang w:val="es-ES"/>
        </w:rPr>
        <w:t xml:space="preserve">d” en la Liga Femenina: revelador informe sobre los contratos de las jugadoras en 2025. </w:t>
      </w:r>
      <w:hyperlink r:id="rId14">
        <w:r>
          <w:rPr>
            <w:color w:val="1155CC"/>
            <w:u w:val="single"/>
          </w:rPr>
          <w:t>https://www.infobae.com/colombia/deportes/2025/11/19/hay-una-preocupante-desigualdad-en-la-liga-femenina-revelador-informe-sobre-los-contratos-de-las-jugadoras-en-2025/</w:t>
        </w:r>
      </w:hyperlink>
      <w:r>
        <w:t xml:space="preserve"> </w:t>
      </w:r>
    </w:p>
    <w:p w:rsidR="00424856" w:rsidRDefault="009E0916">
      <w:pPr>
        <w:ind w:left="720" w:hanging="720"/>
      </w:pPr>
      <w:r>
        <w:t>Latinbasket. (2025). Colombian Liga Superior de Baloncesto Femenin</w:t>
      </w:r>
      <w:r>
        <w:t xml:space="preserve">o: Standings, teams and results. </w:t>
      </w:r>
      <w:hyperlink r:id="rId15">
        <w:r>
          <w:rPr>
            <w:color w:val="1155CC"/>
            <w:u w:val="single"/>
          </w:rPr>
          <w:t>https://www.latinbasket.com/Colombia/Liga-Superior-de-Baloncesto-Femenino.aspx?women=1</w:t>
        </w:r>
      </w:hyperlink>
      <w:r>
        <w:t xml:space="preserve"> </w:t>
      </w:r>
    </w:p>
    <w:p w:rsidR="00424856" w:rsidRPr="001C1EBB" w:rsidRDefault="009E0916">
      <w:pPr>
        <w:ind w:left="720" w:hanging="720"/>
        <w:rPr>
          <w:lang w:val="es-ES"/>
        </w:rPr>
      </w:pPr>
      <w:r w:rsidRPr="001C1EBB">
        <w:rPr>
          <w:lang w:val="es-ES"/>
        </w:rPr>
        <w:t>Marín, J. R., y Rodríguez, N.</w:t>
      </w:r>
      <w:r w:rsidRPr="001C1EBB">
        <w:rPr>
          <w:lang w:val="es-ES"/>
        </w:rPr>
        <w:t xml:space="preserve"> (2019). </w:t>
      </w:r>
      <w:r w:rsidRPr="001C1EBB">
        <w:rPr>
          <w:i/>
          <w:iCs/>
          <w:lang w:val="es-ES"/>
        </w:rPr>
        <w:t>Salud financiera y resultados en la liga de fútbol profesional colombiano</w:t>
      </w:r>
      <w:r w:rsidRPr="001C1EBB">
        <w:rPr>
          <w:lang w:val="es-ES"/>
        </w:rPr>
        <w:t xml:space="preserve"> [Trabajo de grado, Universidad Icesi]. Repositorio Institucional </w:t>
      </w:r>
      <w:r w:rsidRPr="001C1EBB">
        <w:rPr>
          <w:lang w:val="es-ES"/>
        </w:rPr>
        <w:lastRenderedPageBreak/>
        <w:t xml:space="preserve">Icesi. </w:t>
      </w:r>
      <w:hyperlink r:id="rId16">
        <w:r w:rsidRPr="001C1EBB">
          <w:rPr>
            <w:color w:val="1155CC"/>
            <w:u w:val="single"/>
            <w:lang w:val="es-ES"/>
          </w:rPr>
          <w:t>https://repository.icesi.edu.co/server/api/core/bitstreams/23b067ba-b800-4b53-b558-4607362e9c47/content</w:t>
        </w:r>
      </w:hyperlink>
      <w:r w:rsidRPr="001C1EBB">
        <w:rPr>
          <w:lang w:val="es-ES"/>
        </w:rPr>
        <w:t xml:space="preserve"> </w:t>
      </w:r>
    </w:p>
    <w:p w:rsidR="00424856" w:rsidRPr="001C1EBB" w:rsidRDefault="009E0916">
      <w:pPr>
        <w:ind w:left="720" w:hanging="720"/>
        <w:rPr>
          <w:lang w:val="es-ES"/>
        </w:rPr>
      </w:pPr>
      <w:r w:rsidRPr="001C1EBB">
        <w:rPr>
          <w:lang w:val="es-ES"/>
        </w:rPr>
        <w:t xml:space="preserve">Marín Malo, M. (2024). La desigualdad salarial de la mujer en el deporte profesional. </w:t>
      </w:r>
      <w:r w:rsidRPr="001C1EBB">
        <w:rPr>
          <w:i/>
          <w:iCs/>
          <w:lang w:val="es-ES"/>
        </w:rPr>
        <w:t>Documentación Laboral</w:t>
      </w:r>
      <w:r w:rsidRPr="001C1EBB">
        <w:rPr>
          <w:lang w:val="es-ES"/>
        </w:rPr>
        <w:t xml:space="preserve">, (131), 77–94. </w:t>
      </w:r>
      <w:hyperlink r:id="rId17">
        <w:r w:rsidRPr="001C1EBB">
          <w:rPr>
            <w:color w:val="1155CC"/>
            <w:u w:val="single"/>
            <w:lang w:val="es-ES"/>
          </w:rPr>
          <w:t>https://dialnet.unirioja.es/servlet/articulo?codigo=9603311</w:t>
        </w:r>
      </w:hyperlink>
      <w:r w:rsidRPr="001C1EBB">
        <w:rPr>
          <w:lang w:val="es-ES"/>
        </w:rPr>
        <w:t xml:space="preserve"> </w:t>
      </w:r>
    </w:p>
    <w:p w:rsidR="00424856" w:rsidRPr="001C1EBB" w:rsidRDefault="009E0916">
      <w:pPr>
        <w:ind w:left="720" w:hanging="720"/>
        <w:rPr>
          <w:lang w:val="es-ES"/>
        </w:rPr>
      </w:pPr>
      <w:r w:rsidRPr="001C1EBB">
        <w:rPr>
          <w:lang w:val="es-ES"/>
        </w:rPr>
        <w:t>Martínez Mina, C. Y., Goellner, S., y Orozco Rodríguez, A. M. (2019). Fútbol y mujeres: el panorama de la liga profesional</w:t>
      </w:r>
      <w:r w:rsidRPr="001C1EBB">
        <w:rPr>
          <w:lang w:val="es-ES"/>
        </w:rPr>
        <w:t xml:space="preserve"> femenina de fútbol de Colombia. </w:t>
      </w:r>
      <w:r w:rsidRPr="001C1EBB">
        <w:rPr>
          <w:i/>
          <w:iCs/>
          <w:lang w:val="es-ES"/>
        </w:rPr>
        <w:t>Educación Física y Deporte, 38</w:t>
      </w:r>
      <w:r w:rsidRPr="001C1EBB">
        <w:rPr>
          <w:lang w:val="es-ES"/>
        </w:rPr>
        <w:t xml:space="preserve">(1), 53–90. </w:t>
      </w:r>
      <w:hyperlink r:id="rId18">
        <w:r w:rsidRPr="001C1EBB">
          <w:rPr>
            <w:color w:val="1155CC"/>
            <w:u w:val="single"/>
            <w:lang w:val="es-ES"/>
          </w:rPr>
          <w:t>https://doi.org/10.17533/udea.efyd.v38n1a03</w:t>
        </w:r>
      </w:hyperlink>
      <w:r w:rsidRPr="001C1EBB">
        <w:rPr>
          <w:lang w:val="es-ES"/>
        </w:rPr>
        <w:t xml:space="preserve"> </w:t>
      </w:r>
    </w:p>
    <w:p w:rsidR="00424856" w:rsidRPr="001C1EBB" w:rsidRDefault="009E0916">
      <w:pPr>
        <w:ind w:left="720" w:hanging="720"/>
        <w:rPr>
          <w:lang w:val="es-ES"/>
        </w:rPr>
      </w:pPr>
      <w:r w:rsidRPr="001C1EBB">
        <w:rPr>
          <w:lang w:val="es-ES"/>
        </w:rPr>
        <w:t xml:space="preserve">Meenaghan, T. (1991). </w:t>
      </w:r>
      <w:r>
        <w:t xml:space="preserve">Sponsorship – Legitimising the medium. </w:t>
      </w:r>
      <w:r>
        <w:rPr>
          <w:i/>
          <w:iCs/>
        </w:rPr>
        <w:t>European Jou</w:t>
      </w:r>
      <w:r>
        <w:rPr>
          <w:i/>
          <w:iCs/>
        </w:rPr>
        <w:t>rnal of Marketing, 25</w:t>
      </w:r>
      <w:r>
        <w:t xml:space="preserve">(11), 5–10. </w:t>
      </w:r>
      <w:hyperlink r:id="rId19">
        <w:r w:rsidRPr="001C1EBB">
          <w:rPr>
            <w:color w:val="1155CC"/>
            <w:u w:val="single"/>
            <w:lang w:val="es-ES"/>
          </w:rPr>
          <w:t>https://doi.org/10.1108/EUM0000000000627</w:t>
        </w:r>
      </w:hyperlink>
      <w:r w:rsidRPr="001C1EBB">
        <w:rPr>
          <w:lang w:val="es-ES"/>
        </w:rPr>
        <w:t xml:space="preserve"> </w:t>
      </w:r>
    </w:p>
    <w:p w:rsidR="00424856" w:rsidRDefault="009E0916">
      <w:pPr>
        <w:ind w:left="720" w:hanging="720"/>
      </w:pPr>
      <w:r w:rsidRPr="001C1EBB">
        <w:rPr>
          <w:lang w:val="es-ES"/>
        </w:rPr>
        <w:t>Ministerio del Deporte. (2023, 23 de mayo). La Liga Superior Femenina, un impulso para seguir desarrollando el baloncesto</w:t>
      </w:r>
      <w:r w:rsidRPr="001C1EBB">
        <w:rPr>
          <w:lang w:val="es-ES"/>
        </w:rPr>
        <w:t xml:space="preserve"> en Colombia. </w:t>
      </w:r>
      <w:hyperlink r:id="rId20">
        <w:r>
          <w:rPr>
            <w:color w:val="1155CC"/>
            <w:u w:val="single"/>
          </w:rPr>
          <w:t>https://www.mindeporte.gov.co/sala-prensa/noticias-mindeporte/liga-superior-femenina-impulso-para-seguir-desarrollando-baloncesto-colombia</w:t>
        </w:r>
      </w:hyperlink>
      <w:r>
        <w:t xml:space="preserve"> </w:t>
      </w:r>
    </w:p>
    <w:p w:rsidR="00424856" w:rsidRPr="001C1EBB" w:rsidRDefault="009E0916">
      <w:pPr>
        <w:ind w:left="720" w:hanging="720"/>
        <w:rPr>
          <w:lang w:val="es-ES"/>
        </w:rPr>
      </w:pPr>
      <w:r w:rsidRPr="001C1EBB">
        <w:rPr>
          <w:lang w:val="es-ES"/>
        </w:rPr>
        <w:t xml:space="preserve">Ministerio del Deporte. (2023, agosto). </w:t>
      </w:r>
      <w:r w:rsidRPr="001C1EBB">
        <w:rPr>
          <w:i/>
          <w:iCs/>
          <w:lang w:val="es-ES"/>
        </w:rPr>
        <w:t>Panorama financiero y laboral de clubes deportivos profesionales. Corte 31 d</w:t>
      </w:r>
      <w:r w:rsidRPr="001C1EBB">
        <w:rPr>
          <w:i/>
          <w:iCs/>
          <w:lang w:val="es-ES"/>
        </w:rPr>
        <w:t>e diciembre de 2022.</w:t>
      </w:r>
      <w:r w:rsidRPr="001C1EBB">
        <w:rPr>
          <w:lang w:val="es-ES"/>
        </w:rPr>
        <w:t xml:space="preserve"> </w:t>
      </w:r>
      <w:hyperlink r:id="rId21">
        <w:r w:rsidRPr="001C1EBB">
          <w:rPr>
            <w:color w:val="1155CC"/>
            <w:u w:val="single"/>
            <w:lang w:val="es-ES"/>
          </w:rPr>
          <w:t>https://www.mindeporte.gov.co/files/a08e369c-1d90-</w:t>
        </w:r>
        <w:r w:rsidRPr="001C1EBB">
          <w:rPr>
            <w:color w:val="1155CC"/>
            <w:u w:val="single"/>
            <w:lang w:val="es-ES"/>
          </w:rPr>
          <w:t>45dc-8608-41d9e6317bb9/a08e4577-b21c-403e-9fdc-7143ac1bfd46/Panorama-Financiero-y-Laboral-Clubes-Profesionales1.pdf</w:t>
        </w:r>
      </w:hyperlink>
      <w:r w:rsidRPr="001C1EBB">
        <w:rPr>
          <w:lang w:val="es-ES"/>
        </w:rPr>
        <w:t xml:space="preserve"> </w:t>
      </w:r>
    </w:p>
    <w:p w:rsidR="00424856" w:rsidRPr="001C1EBB" w:rsidRDefault="009E0916">
      <w:pPr>
        <w:ind w:left="720" w:hanging="720"/>
        <w:rPr>
          <w:lang w:val="es-ES"/>
        </w:rPr>
      </w:pPr>
      <w:r w:rsidRPr="001C1EBB">
        <w:rPr>
          <w:lang w:val="es-ES"/>
        </w:rPr>
        <w:t xml:space="preserve">Pérez Gázquez, I. M., y Barquero-Ruiz, C. (2024). Igualdad de género en el deporte profesional femenino. Avances y retos pendientes. </w:t>
      </w:r>
      <w:r w:rsidRPr="001C1EBB">
        <w:rPr>
          <w:i/>
          <w:iCs/>
          <w:lang w:val="es-ES"/>
        </w:rPr>
        <w:t>Cultur</w:t>
      </w:r>
      <w:r w:rsidRPr="001C1EBB">
        <w:rPr>
          <w:i/>
          <w:iCs/>
          <w:lang w:val="es-ES"/>
        </w:rPr>
        <w:t>a, Ciencia y Deporte, 19</w:t>
      </w:r>
      <w:r w:rsidRPr="001C1EBB">
        <w:rPr>
          <w:lang w:val="es-ES"/>
        </w:rPr>
        <w:t xml:space="preserve">(59), 35–53. </w:t>
      </w:r>
      <w:hyperlink r:id="rId22">
        <w:r w:rsidRPr="001C1EBB">
          <w:rPr>
            <w:color w:val="1155CC"/>
            <w:u w:val="single"/>
            <w:lang w:val="es-ES"/>
          </w:rPr>
          <w:t>https://ccd.ucam.edu/visores/19_59/2113_S_CCD/index.html</w:t>
        </w:r>
      </w:hyperlink>
      <w:r w:rsidRPr="001C1EBB">
        <w:rPr>
          <w:lang w:val="es-ES"/>
        </w:rPr>
        <w:t xml:space="preserve"> </w:t>
      </w:r>
    </w:p>
    <w:p w:rsidR="00424856" w:rsidRPr="001C1EBB" w:rsidRDefault="009E0916">
      <w:pPr>
        <w:ind w:left="720" w:hanging="720"/>
        <w:rPr>
          <w:lang w:val="es-ES"/>
        </w:rPr>
      </w:pPr>
      <w:r w:rsidRPr="001C1EBB">
        <w:rPr>
          <w:lang w:val="es-ES"/>
        </w:rPr>
        <w:lastRenderedPageBreak/>
        <w:t>Presidencia de la República de Colombia. (2021, 15 de diciembre). Decreto 1724 de 202</w:t>
      </w:r>
      <w:r w:rsidRPr="001C1EBB">
        <w:rPr>
          <w:lang w:val="es-ES"/>
        </w:rPr>
        <w:t xml:space="preserve">1. Por el cual se fija el salario mínimo mensual legal. Diario Oficial No. 51.889. </w:t>
      </w:r>
    </w:p>
    <w:p w:rsidR="00424856" w:rsidRPr="001C1EBB" w:rsidRDefault="009E0916">
      <w:pPr>
        <w:ind w:left="720" w:hanging="720"/>
        <w:rPr>
          <w:lang w:val="es-ES"/>
        </w:rPr>
      </w:pPr>
      <w:r w:rsidRPr="001C1EBB">
        <w:rPr>
          <w:lang w:val="es-ES"/>
        </w:rPr>
        <w:t xml:space="preserve">Presidencia de la República de Colombia. (2022, 28 de diciembre). Decreto 2613 de 2022. Por el cual se fija el salario mínimo mensual legal. Diario Oficial No. 52.261. </w:t>
      </w:r>
      <w:hyperlink r:id="rId23">
        <w:r w:rsidRPr="001C1EBB">
          <w:rPr>
            <w:color w:val="1155CC"/>
            <w:u w:val="single"/>
            <w:lang w:val="es-ES"/>
          </w:rPr>
          <w:t>https://www.funcionpublica.gov.co/eva/gestornormativo/norma.php?i=200172</w:t>
        </w:r>
      </w:hyperlink>
      <w:r w:rsidRPr="001C1EBB">
        <w:rPr>
          <w:lang w:val="es-ES"/>
        </w:rPr>
        <w:t xml:space="preserve"> </w:t>
      </w:r>
    </w:p>
    <w:p w:rsidR="00424856" w:rsidRDefault="009E0916">
      <w:pPr>
        <w:ind w:left="720" w:hanging="720"/>
      </w:pPr>
      <w:r w:rsidRPr="001C1EBB">
        <w:rPr>
          <w:lang w:val="es-ES"/>
        </w:rPr>
        <w:t>Presidencia de la República de Colombia. (2023, 29 de diciembre). Decreto 2292 de 2023. Por el</w:t>
      </w:r>
      <w:r w:rsidRPr="001C1EBB">
        <w:rPr>
          <w:lang w:val="es-ES"/>
        </w:rPr>
        <w:t xml:space="preserve"> cual se fija el salario mínimo mensual legal. </w:t>
      </w:r>
      <w:hyperlink r:id="rId24">
        <w:r>
          <w:rPr>
            <w:color w:val="1155CC"/>
            <w:u w:val="single"/>
          </w:rPr>
          <w:t>https://www.funcionpublica.gov.co/eva/gestornormativo/norma.php?i=227530</w:t>
        </w:r>
      </w:hyperlink>
      <w:r>
        <w:t xml:space="preserve"> </w:t>
      </w:r>
    </w:p>
    <w:p w:rsidR="00424856" w:rsidRDefault="009E0916">
      <w:pPr>
        <w:ind w:left="720" w:hanging="720"/>
      </w:pPr>
      <w:r w:rsidRPr="001C1EBB">
        <w:rPr>
          <w:lang w:val="es-ES"/>
        </w:rPr>
        <w:t>Presidencia de la República de Colombia. (2</w:t>
      </w:r>
      <w:r w:rsidRPr="001C1EBB">
        <w:rPr>
          <w:lang w:val="es-ES"/>
        </w:rPr>
        <w:t xml:space="preserve">024, 24 de diciembre). Decreto 1572 de 2024. Por el cual se fija el salario mínimo mensual legal. </w:t>
      </w:r>
      <w:hyperlink r:id="rId25">
        <w:r>
          <w:rPr>
            <w:color w:val="1155CC"/>
            <w:u w:val="single"/>
          </w:rPr>
          <w:t>https://www.funcionpublica.gov.co/eva/gestornormativo/norma.php?i=</w:t>
        </w:r>
        <w:r>
          <w:rPr>
            <w:color w:val="1155CC"/>
            <w:u w:val="single"/>
          </w:rPr>
          <w:t>257156</w:t>
        </w:r>
      </w:hyperlink>
      <w:r>
        <w:t xml:space="preserve"> </w:t>
      </w:r>
    </w:p>
    <w:p w:rsidR="00424856" w:rsidRPr="001C1EBB" w:rsidRDefault="009E0916">
      <w:pPr>
        <w:ind w:left="720" w:hanging="720"/>
        <w:rPr>
          <w:lang w:val="es-ES"/>
        </w:rPr>
      </w:pPr>
      <w:r w:rsidRPr="001C1EBB">
        <w:rPr>
          <w:lang w:val="es-ES"/>
        </w:rPr>
        <w:t xml:space="preserve">Rengifo, L. A. (2024, 29 de enero). Sismo en el baloncesto colombiano: clubes exigen cuentas claras a la Federación. </w:t>
      </w:r>
      <w:r w:rsidRPr="001C1EBB">
        <w:rPr>
          <w:i/>
          <w:iCs/>
          <w:lang w:val="es-ES"/>
        </w:rPr>
        <w:t>El Tiempo</w:t>
      </w:r>
      <w:r w:rsidRPr="001C1EBB">
        <w:rPr>
          <w:lang w:val="es-ES"/>
        </w:rPr>
        <w:t xml:space="preserve">. </w:t>
      </w:r>
      <w:hyperlink r:id="rId26">
        <w:r w:rsidRPr="001C1EBB">
          <w:rPr>
            <w:color w:val="1155CC"/>
            <w:u w:val="single"/>
            <w:lang w:val="es-ES"/>
          </w:rPr>
          <w:t>https://www.eltiempo.com/deportes/otros-deportes/clubes-de-baloncesto-colombiano-exigen-claridad-a-la-federacion-849402</w:t>
        </w:r>
      </w:hyperlink>
      <w:r w:rsidRPr="001C1EBB">
        <w:rPr>
          <w:lang w:val="es-ES"/>
        </w:rPr>
        <w:t xml:space="preserve"> </w:t>
      </w:r>
    </w:p>
    <w:p w:rsidR="00424856" w:rsidRPr="001C1EBB" w:rsidRDefault="009E0916">
      <w:pPr>
        <w:ind w:left="720" w:hanging="720"/>
        <w:rPr>
          <w:lang w:val="es-ES"/>
        </w:rPr>
      </w:pPr>
      <w:r w:rsidRPr="001C1EBB">
        <w:rPr>
          <w:lang w:val="es-ES"/>
        </w:rPr>
        <w:t xml:space="preserve">Rodríguez Guerrero, P. (2012). La economía del deporte. </w:t>
      </w:r>
      <w:r w:rsidRPr="001C1EBB">
        <w:rPr>
          <w:i/>
          <w:iCs/>
          <w:lang w:val="es-ES"/>
        </w:rPr>
        <w:t>Estudios de Economía Aplicada, 30</w:t>
      </w:r>
      <w:r w:rsidRPr="001C1EBB">
        <w:rPr>
          <w:lang w:val="es-ES"/>
        </w:rPr>
        <w:t xml:space="preserve">(2), 387–418. </w:t>
      </w:r>
      <w:hyperlink r:id="rId27">
        <w:r w:rsidRPr="001C1EBB">
          <w:rPr>
            <w:color w:val="1155CC"/>
            <w:u w:val="single"/>
            <w:lang w:val="es-ES"/>
          </w:rPr>
          <w:t>https://dialnet.unirioja.es/servlet/articulo?codigo=4025381</w:t>
        </w:r>
      </w:hyperlink>
      <w:r w:rsidRPr="001C1EBB">
        <w:rPr>
          <w:lang w:val="es-ES"/>
        </w:rPr>
        <w:t xml:space="preserve"> </w:t>
      </w:r>
    </w:p>
    <w:p w:rsidR="00424856" w:rsidRDefault="009E0916">
      <w:pPr>
        <w:ind w:left="720" w:hanging="720"/>
      </w:pPr>
      <w:r w:rsidRPr="001C1EBB">
        <w:rPr>
          <w:lang w:val="es-ES"/>
        </w:rPr>
        <w:t>Semana. (20</w:t>
      </w:r>
      <w:r w:rsidRPr="001C1EBB">
        <w:rPr>
          <w:lang w:val="es-ES"/>
        </w:rPr>
        <w:t xml:space="preserve">25, 18 de julio). El deporte femenino vive un auge global en inversión, visibilidad y patrocinio, pero en Colombia aún no se siente. </w:t>
      </w:r>
      <w:hyperlink r:id="rId28">
        <w:r>
          <w:rPr>
            <w:color w:val="1155CC"/>
            <w:u w:val="single"/>
          </w:rPr>
          <w:t>https://www.semana.com/economia/empresas/articulo/el-deporte-femenino-vive-un-auge-global-en-inversion-visibilidad-y-patrocinio-pero-en-colombia-eso-aun-no-se-siente/202531/</w:t>
        </w:r>
      </w:hyperlink>
      <w:r>
        <w:t xml:space="preserve">  </w:t>
      </w:r>
    </w:p>
    <w:p w:rsidR="00424856" w:rsidRDefault="009E0916">
      <w:pPr>
        <w:ind w:left="720" w:hanging="720"/>
      </w:pPr>
      <w:r>
        <w:t xml:space="preserve">Szymanski, S. (2003). The economic design of sporting contests. </w:t>
      </w:r>
      <w:r>
        <w:rPr>
          <w:i/>
          <w:iCs/>
        </w:rPr>
        <w:t>Journal of Economic Literature, 41</w:t>
      </w:r>
      <w:r>
        <w:t xml:space="preserve">(4), 1137–1187. </w:t>
      </w:r>
      <w:hyperlink r:id="rId29">
        <w:r>
          <w:rPr>
            <w:color w:val="1155CC"/>
            <w:u w:val="single"/>
          </w:rPr>
          <w:t>https://www.researchgate.net/publ</w:t>
        </w:r>
        <w:r>
          <w:rPr>
            <w:color w:val="1155CC"/>
            <w:u w:val="single"/>
          </w:rPr>
          <w:t>ication/4901994_The_Economic_Design_of_Sporting_Contests</w:t>
        </w:r>
      </w:hyperlink>
      <w:r>
        <w:t xml:space="preserve"> </w:t>
      </w:r>
    </w:p>
    <w:p w:rsidR="00424856" w:rsidRPr="001C1EBB" w:rsidRDefault="009E0916">
      <w:pPr>
        <w:ind w:left="720" w:hanging="720"/>
        <w:rPr>
          <w:lang w:val="es-ES"/>
        </w:rPr>
      </w:pPr>
      <w:r w:rsidRPr="001C1EBB">
        <w:rPr>
          <w:lang w:val="es-ES"/>
        </w:rPr>
        <w:t xml:space="preserve">Torres-Romay, E., y García-Mirón, S. (2020). Patrocinio deportivo femenino. Situación actual y tendencias. </w:t>
      </w:r>
      <w:r w:rsidRPr="001C1EBB">
        <w:rPr>
          <w:i/>
          <w:iCs/>
          <w:lang w:val="es-ES"/>
        </w:rPr>
        <w:t>Comunicación y Género, 3</w:t>
      </w:r>
      <w:r w:rsidRPr="001C1EBB">
        <w:rPr>
          <w:lang w:val="es-ES"/>
        </w:rPr>
        <w:t xml:space="preserve">(2), 125–137. </w:t>
      </w:r>
      <w:hyperlink r:id="rId30">
        <w:r w:rsidRPr="001C1EBB">
          <w:rPr>
            <w:color w:val="1155CC"/>
            <w:u w:val="single"/>
            <w:lang w:val="es-ES"/>
          </w:rPr>
          <w:t>https://revistas.ucm.es/index.php/CGEN/article/view/70373</w:t>
        </w:r>
      </w:hyperlink>
      <w:r w:rsidRPr="001C1EBB">
        <w:rPr>
          <w:lang w:val="es-ES"/>
        </w:rPr>
        <w:t xml:space="preserve"> </w:t>
      </w:r>
    </w:p>
    <w:p w:rsidR="00424856" w:rsidRDefault="009E0916">
      <w:pPr>
        <w:ind w:left="720" w:hanging="720"/>
      </w:pPr>
      <w:r w:rsidRPr="001C1EBB">
        <w:rPr>
          <w:lang w:val="es-ES"/>
        </w:rPr>
        <w:t xml:space="preserve">Vanguardia. (2024, 2 de octubre). Sin Búcaros y Titanes, así se jugará la Liga Profesional de Baloncesto en Colombia. </w:t>
      </w:r>
      <w:hyperlink r:id="rId31">
        <w:r>
          <w:rPr>
            <w:color w:val="1155CC"/>
            <w:u w:val="single"/>
          </w:rPr>
          <w:t>https://www.vanguardia.com/deportes/baloncesto/2024/10/02/sin-bucaros-y-titanes-asi-se-jugara-la-liga-profesional-de-baloncesto-en-colombia/</w:t>
        </w:r>
      </w:hyperlink>
      <w:r>
        <w:t xml:space="preserve"> </w:t>
      </w:r>
    </w:p>
    <w:p w:rsidR="00424856" w:rsidRDefault="009E0916">
      <w:pPr>
        <w:ind w:left="720" w:hanging="720"/>
      </w:pPr>
      <w:r w:rsidRPr="001C1EBB">
        <w:rPr>
          <w:lang w:val="es-ES"/>
        </w:rPr>
        <w:t>Vorágine.</w:t>
      </w:r>
      <w:r w:rsidRPr="001C1EBB">
        <w:rPr>
          <w:lang w:val="es-ES"/>
        </w:rPr>
        <w:t xml:space="preserve"> (2024, 23 de junio). La Dimayor habría rechazado recursos del gobierno Petro para la Liga Femenina. </w:t>
      </w:r>
      <w:hyperlink r:id="rId32">
        <w:r>
          <w:rPr>
            <w:color w:val="1155CC"/>
            <w:u w:val="single"/>
          </w:rPr>
          <w:t>https://vorag</w:t>
        </w:r>
        <w:r>
          <w:rPr>
            <w:color w:val="1155CC"/>
            <w:u w:val="single"/>
          </w:rPr>
          <w:t>ine.co/historias/investigacion/la-dimayor-habria-rechazado-recursos-del-gobierno-petro-para-la-liga-femenina/</w:t>
        </w:r>
      </w:hyperlink>
      <w:r>
        <w:t xml:space="preserve"> </w:t>
      </w:r>
    </w:p>
    <w:p w:rsidR="00424856" w:rsidRDefault="009E0916">
      <w:pPr>
        <w:ind w:left="720" w:hanging="720"/>
      </w:pPr>
      <w:r>
        <w:t xml:space="preserve">WNBA. (2024, 24 de julio). WNBA secures landmark media rights deals with The Walt Disney Company, Amazon Prime Video and NBCUniversal. </w:t>
      </w:r>
      <w:hyperlink r:id="rId33">
        <w:r>
          <w:rPr>
            <w:color w:val="1155CC"/>
            <w:u w:val="single"/>
          </w:rPr>
          <w:t>https://www.wnba.com/news/media-rights-deal-disney-prime-nbc</w:t>
        </w:r>
      </w:hyperlink>
      <w:r>
        <w:t xml:space="preserve"> </w:t>
      </w:r>
    </w:p>
    <w:sectPr w:rsidR="00424856">
      <w:headerReference w:type="default" r:id="rId34"/>
      <w:pgSz w:w="12240" w:h="15840"/>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E0916" w:rsidRDefault="009E0916">
      <w:pPr>
        <w:spacing w:line="240" w:lineRule="auto"/>
      </w:pPr>
      <w:r>
        <w:separator/>
      </w:r>
    </w:p>
  </w:endnote>
  <w:endnote w:type="continuationSeparator" w:id="0">
    <w:p w:rsidR="009E0916" w:rsidRDefault="009E091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embedItalic r:id="rId1" w:fontKey="{91377615-B0D9-420A-BAAA-99A1F778E13D}"/>
  </w:font>
  <w:font w:name="Calibri">
    <w:panose1 w:val="020F0502020204030204"/>
    <w:charset w:val="00"/>
    <w:family w:val="swiss"/>
    <w:pitch w:val="variable"/>
    <w:sig w:usb0="E4002EFF" w:usb1="C000247B" w:usb2="00000009" w:usb3="00000000" w:csb0="000001FF" w:csb1="00000000"/>
    <w:embedRegular r:id="rId2" w:fontKey="{780B3B45-3DC2-416B-98FA-C2F797C5F2EA}"/>
  </w:font>
  <w:font w:name="Cambria">
    <w:panose1 w:val="02040503050406030204"/>
    <w:charset w:val="00"/>
    <w:family w:val="roman"/>
    <w:pitch w:val="variable"/>
    <w:sig w:usb0="E00006FF" w:usb1="420024FF" w:usb2="02000000" w:usb3="00000000" w:csb0="0000019F" w:csb1="00000000"/>
    <w:embedRegular r:id="rId3" w:fontKey="{3A85BE40-500A-4E1B-AD55-4FD9292293A6}"/>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E0916" w:rsidRDefault="009E0916">
      <w:pPr>
        <w:spacing w:line="240" w:lineRule="auto"/>
      </w:pPr>
      <w:r>
        <w:separator/>
      </w:r>
    </w:p>
  </w:footnote>
  <w:footnote w:type="continuationSeparator" w:id="0">
    <w:p w:rsidR="009E0916" w:rsidRDefault="009E091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24856" w:rsidRDefault="009E0916">
    <w:pPr>
      <w:spacing w:line="240" w:lineRule="auto"/>
      <w:jc w:val="right"/>
    </w:pPr>
    <w:r>
      <w:fldChar w:fldCharType="begin"/>
    </w:r>
    <w:r>
      <w:instrText>PAGE</w:instrText>
    </w:r>
    <w:r w:rsidR="001C1EBB">
      <w:fldChar w:fldCharType="separate"/>
    </w:r>
    <w:r w:rsidR="001C1EBB">
      <w:rPr>
        <w:noProof/>
      </w:rPr>
      <w:t>3</w:t>
    </w:r>
    <w:r>
      <w:fldChar w:fldCharType="end"/>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24856"/>
    <w:rsid w:val="001C1EBB"/>
    <w:rsid w:val="00424856"/>
    <w:rsid w:val="009E09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368BD3"/>
  <w15:docId w15:val="{E9776C43-9502-4506-A592-D4ACC14A46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4"/>
        <w:szCs w:val="24"/>
        <w:lang w:val="en-US" w:eastAsia="en-US" w:bidi="ar-SA"/>
      </w:rPr>
    </w:rPrDefault>
    <w:pPrDefault>
      <w:pPr>
        <w:spacing w:line="480"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Ttulo1">
    <w:name w:val="heading 1"/>
    <w:basedOn w:val="Normal"/>
    <w:next w:val="Normal"/>
    <w:pPr>
      <w:pBdr>
        <w:top w:val="nil"/>
        <w:left w:val="nil"/>
        <w:bottom w:val="nil"/>
        <w:right w:val="nil"/>
        <w:between w:val="nil"/>
      </w:pBdr>
      <w:outlineLvl w:val="0"/>
    </w:pPr>
    <w:rPr>
      <w:b/>
      <w:bCs/>
      <w:color w:val="000000"/>
    </w:rPr>
  </w:style>
  <w:style w:type="paragraph" w:styleId="Ttulo2">
    <w:name w:val="heading 2"/>
    <w:basedOn w:val="Normal"/>
    <w:next w:val="Normal"/>
    <w:pPr>
      <w:pBdr>
        <w:top w:val="nil"/>
        <w:left w:val="nil"/>
        <w:bottom w:val="nil"/>
        <w:right w:val="nil"/>
        <w:between w:val="nil"/>
      </w:pBdr>
      <w:outlineLvl w:val="1"/>
    </w:pPr>
    <w:rPr>
      <w:b/>
      <w:bCs/>
      <w:color w:val="000000"/>
    </w:rPr>
  </w:style>
  <w:style w:type="paragraph" w:styleId="Ttulo3">
    <w:name w:val="heading 3"/>
    <w:basedOn w:val="Normal"/>
    <w:next w:val="Normal"/>
    <w:pPr>
      <w:pBdr>
        <w:top w:val="nil"/>
        <w:left w:val="nil"/>
        <w:bottom w:val="nil"/>
        <w:right w:val="nil"/>
        <w:between w:val="nil"/>
      </w:pBdr>
      <w:outlineLvl w:val="2"/>
    </w:pPr>
    <w:rPr>
      <w:b/>
      <w:bCs/>
      <w:i/>
      <w:iCs/>
      <w:color w:val="000000"/>
    </w:rPr>
  </w:style>
  <w:style w:type="paragraph" w:styleId="Ttulo4">
    <w:name w:val="heading 4"/>
    <w:basedOn w:val="Normal"/>
    <w:next w:val="Normal"/>
    <w:pPr>
      <w:pBdr>
        <w:top w:val="nil"/>
        <w:left w:val="nil"/>
        <w:bottom w:val="nil"/>
        <w:right w:val="nil"/>
        <w:between w:val="nil"/>
      </w:pBdr>
      <w:outlineLvl w:val="3"/>
    </w:pPr>
    <w:rPr>
      <w:i/>
      <w:iCs/>
      <w:color w:val="2E74B5"/>
    </w:rPr>
  </w:style>
  <w:style w:type="paragraph" w:styleId="Ttulo5">
    <w:name w:val="heading 5"/>
    <w:basedOn w:val="Normal"/>
    <w:next w:val="Normal"/>
    <w:pPr>
      <w:pBdr>
        <w:top w:val="nil"/>
        <w:left w:val="nil"/>
        <w:bottom w:val="nil"/>
        <w:right w:val="nil"/>
        <w:between w:val="nil"/>
      </w:pBdr>
      <w:outlineLvl w:val="4"/>
    </w:pPr>
    <w:rPr>
      <w:color w:val="2E74B5"/>
    </w:rPr>
  </w:style>
  <w:style w:type="paragraph" w:styleId="Ttulo6">
    <w:name w:val="heading 6"/>
    <w:basedOn w:val="Normal"/>
    <w:next w:val="Normal"/>
    <w:pPr>
      <w:pBdr>
        <w:top w:val="nil"/>
        <w:left w:val="nil"/>
        <w:bottom w:val="nil"/>
        <w:right w:val="nil"/>
        <w:between w:val="nil"/>
      </w:pBd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pPr>
      <w:pBdr>
        <w:top w:val="nil"/>
        <w:left w:val="nil"/>
        <w:bottom w:val="nil"/>
        <w:right w:val="nil"/>
        <w:between w:val="nil"/>
      </w:pBdr>
    </w:pPr>
    <w:rPr>
      <w:color w:val="000000"/>
      <w:sz w:val="56"/>
      <w:szCs w:val="56"/>
    </w:rPr>
  </w:style>
  <w:style w:type="paragraph" w:styleId="Subttulo">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0" w:type="dxa"/>
        <w:left w:w="115" w:type="dxa"/>
        <w:bottom w:w="0" w:type="dxa"/>
        <w:right w:w="115" w:type="dxa"/>
      </w:tblCellMar>
    </w:tblPr>
  </w:style>
  <w:style w:type="table" w:customStyle="1" w:styleId="a0">
    <w:basedOn w:val="TableNormal"/>
    <w:tblPr>
      <w:tblStyleRowBandSize w:val="1"/>
      <w:tblStyleColBandSize w:val="1"/>
      <w:tblCellMar>
        <w:top w:w="0" w:type="dxa"/>
        <w:left w:w="115" w:type="dxa"/>
        <w:bottom w:w="0" w:type="dxa"/>
        <w:right w:w="115" w:type="dxa"/>
      </w:tblCellMar>
    </w:tblPr>
  </w:style>
  <w:style w:type="table" w:customStyle="1" w:styleId="a1">
    <w:basedOn w:val="TableNormal"/>
    <w:tblPr>
      <w:tblStyleRowBandSize w:val="1"/>
      <w:tblStyleColBandSize w:val="1"/>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13" Type="http://schemas.openxmlformats.org/officeDocument/2006/relationships/hyperlink" Target="https://www.fiba.basketball/en/events/fiba-womens-americup-2025/news/fiba-womens-americup-2025-everything-you-need-to-know" TargetMode="External"/><Relationship Id="rId18" Type="http://schemas.openxmlformats.org/officeDocument/2006/relationships/hyperlink" Target="https://doi.org/10.17533/udea.efyd.v38n1a03" TargetMode="External"/><Relationship Id="rId26" Type="http://schemas.openxmlformats.org/officeDocument/2006/relationships/hyperlink" Target="https://www.eltiempo.com/deportes/otros-deportes/clubes-de-baloncesto-colombiano-exigen-claridad-a-la-federacion-849402" TargetMode="External"/><Relationship Id="rId3" Type="http://schemas.openxmlformats.org/officeDocument/2006/relationships/webSettings" Target="webSettings.xml"/><Relationship Id="rId21" Type="http://schemas.openxmlformats.org/officeDocument/2006/relationships/hyperlink" Target="https://www.mindeporte.gov.co/files/a08e369c-1d90-45dc-8608-41d9e6317bb9/a08e4577-b21c-403e-9fdc-7143ac1bfd46/Panorama-Financiero-y-Laboral-Clubes-Profesionales1.pdf" TargetMode="External"/><Relationship Id="rId34" Type="http://schemas.openxmlformats.org/officeDocument/2006/relationships/header" Target="header1.xml"/><Relationship Id="rId7" Type="http://schemas.openxmlformats.org/officeDocument/2006/relationships/hyperlink" Target="https://www.funcionpublica.gov.co/eva/gestornormativo/norma.php?i=42807" TargetMode="External"/><Relationship Id="rId12" Type="http://schemas.openxmlformats.org/officeDocument/2006/relationships/hyperlink" Target="https://www.fiba.basketball/es/events/fiba-womens-americup-2025/news/fiba-womens-americup-2025-team-profile-colombia" TargetMode="External"/><Relationship Id="rId17" Type="http://schemas.openxmlformats.org/officeDocument/2006/relationships/hyperlink" Target="https://dialnet.unirioja.es/servlet/articulo?codigo=9603311" TargetMode="External"/><Relationship Id="rId25" Type="http://schemas.openxmlformats.org/officeDocument/2006/relationships/hyperlink" Target="https://www.funcionpublica.gov.co/eva/gestornormativo/norma.php?i=257156" TargetMode="External"/><Relationship Id="rId33" Type="http://schemas.openxmlformats.org/officeDocument/2006/relationships/hyperlink" Target="https://www.wnba.com/news/media-rights-deal-disney-prime-nbc" TargetMode="External"/><Relationship Id="rId2" Type="http://schemas.openxmlformats.org/officeDocument/2006/relationships/settings" Target="settings.xml"/><Relationship Id="rId16" Type="http://schemas.openxmlformats.org/officeDocument/2006/relationships/hyperlink" Target="https://repository.icesi.edu.co/server/api/core/bitstreams/23b067ba-b800-4b53-b558-4607362e9c47/content" TargetMode="External"/><Relationship Id="rId20" Type="http://schemas.openxmlformats.org/officeDocument/2006/relationships/hyperlink" Target="https://www.mindeporte.gov.co/sala-prensa/noticias-mindeporte/liga-superior-femenina-impulso-para-seguir-desarrollando-baloncesto-colombia" TargetMode="External"/><Relationship Id="rId29" Type="http://schemas.openxmlformats.org/officeDocument/2006/relationships/hyperlink" Target="https://www.researchgate.net/publication/4901994_The_Economic_Design_of_Sporting_Contests" TargetMode="External"/><Relationship Id="rId1" Type="http://schemas.openxmlformats.org/officeDocument/2006/relationships/styles" Target="styles.xml"/><Relationship Id="rId6" Type="http://schemas.openxmlformats.org/officeDocument/2006/relationships/hyperlink" Target="https://www.clarosports.com/colombia/actualidad-co/betplay-y-su-relacion-con-el-deporte-colombiano/" TargetMode="External"/><Relationship Id="rId11" Type="http://schemas.openxmlformats.org/officeDocument/2006/relationships/hyperlink" Target="https://www.espn.com/wnba/story/_/id/40634341/wnba-secures-monumental-media-deal-disney-amazon-nbcu" TargetMode="External"/><Relationship Id="rId24" Type="http://schemas.openxmlformats.org/officeDocument/2006/relationships/hyperlink" Target="https://www.funcionpublica.gov.co/eva/gestornormativo/norma.php?i=227530" TargetMode="External"/><Relationship Id="rId32" Type="http://schemas.openxmlformats.org/officeDocument/2006/relationships/hyperlink" Target="https://voragine.co/historias/investigacion/la-dimayor-habria-rechazado-recursos-del-gobierno-petro-para-la-liga-femenina/" TargetMode="External"/><Relationship Id="rId5" Type="http://schemas.openxmlformats.org/officeDocument/2006/relationships/endnotes" Target="endnotes.xml"/><Relationship Id="rId15" Type="http://schemas.openxmlformats.org/officeDocument/2006/relationships/hyperlink" Target="https://www.latinbasket.com/Colombia/Liga-Superior-de-Baloncesto-Femenino.aspx?women=1" TargetMode="External"/><Relationship Id="rId23" Type="http://schemas.openxmlformats.org/officeDocument/2006/relationships/hyperlink" Target="https://www.funcionpublica.gov.co/eva/gestornormativo/norma.php?i=200172" TargetMode="External"/><Relationship Id="rId28" Type="http://schemas.openxmlformats.org/officeDocument/2006/relationships/hyperlink" Target="https://www.semana.com/economia/empresas/articulo/el-deporte-femenino-vive-un-auge-global-en-inversion-visibilidad-y-patrocinio-pero-en-colombia-eso-aun-no-se-siente/202531/" TargetMode="External"/><Relationship Id="rId36" Type="http://schemas.openxmlformats.org/officeDocument/2006/relationships/theme" Target="theme/theme1.xml"/><Relationship Id="rId10" Type="http://schemas.openxmlformats.org/officeDocument/2006/relationships/hyperlink" Target="https://www.elespectador.com/deportes/mas-deportes/asi-se-jugara-la-liga-superior-femenina-de-baloncesto/" TargetMode="External"/><Relationship Id="rId19" Type="http://schemas.openxmlformats.org/officeDocument/2006/relationships/hyperlink" Target="https://doi.org/10.1108/EUM0000000000627" TargetMode="External"/><Relationship Id="rId31" Type="http://schemas.openxmlformats.org/officeDocument/2006/relationships/hyperlink" Target="https://www.vanguardia.com/deportes/baloncesto/2024/10/02/sin-bucaros-y-titanes-asi-se-jugara-la-liga-profesional-de-baloncesto-en-colombia/" TargetMode="External"/><Relationship Id="rId4" Type="http://schemas.openxmlformats.org/officeDocument/2006/relationships/footnotes" Target="footnotes.xml"/><Relationship Id="rId9" Type="http://schemas.openxmlformats.org/officeDocument/2006/relationships/hyperlink" Target="https://www.deloitte.com/us/en/about/press-room/womens-elite-sports-exceed-expectations.html" TargetMode="External"/><Relationship Id="rId14" Type="http://schemas.openxmlformats.org/officeDocument/2006/relationships/hyperlink" Target="https://www.infobae.com/colombia/deportes/2025/11/19/hay-una-preocupante-desigualdad-en-la-liga-femenina-revelador-informe-sobre-los-contratos-de-las-jugadoras-en-2025/" TargetMode="External"/><Relationship Id="rId22" Type="http://schemas.openxmlformats.org/officeDocument/2006/relationships/hyperlink" Target="https://ccd.ucam.edu/visores/19_59/2113_S_CCD/index.html" TargetMode="External"/><Relationship Id="rId27" Type="http://schemas.openxmlformats.org/officeDocument/2006/relationships/hyperlink" Target="https://dialnet.unirioja.es/servlet/articulo?codigo=4025381" TargetMode="External"/><Relationship Id="rId30" Type="http://schemas.openxmlformats.org/officeDocument/2006/relationships/hyperlink" Target="https://revistas.ucm.es/index.php/CGEN/article/view/70373" TargetMode="External"/><Relationship Id="rId35" Type="http://schemas.openxmlformats.org/officeDocument/2006/relationships/fontTable" Target="fontTable.xml"/><Relationship Id="rId8" Type="http://schemas.openxmlformats.org/officeDocument/2006/relationships/hyperlink" Target="https://www.researchgate.net/publication/284025049_Sponsorship-Linked_Marketing_Development"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42</Pages>
  <Words>10062</Words>
  <Characters>57357</Characters>
  <Application>Microsoft Office Word</Application>
  <DocSecurity>0</DocSecurity>
  <Lines>477</Lines>
  <Paragraphs>134</Paragraphs>
  <ScaleCrop>false</ScaleCrop>
  <Company/>
  <LinksUpToDate>false</LinksUpToDate>
  <CharactersWithSpaces>67285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Familia</cp:lastModifiedBy>
  <cp:revision>2</cp:revision>
  <dcterms:created xsi:type="dcterms:W3CDTF">2026-09-30T02:25:00Z</dcterms:created>
  <dcterms:modified xsi:type="dcterms:W3CDTF">2026-09-30T02:27:00Z</dcterms:modified>
</cp:coreProperties>
</file>