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80"/>
        <w:jc w:val="center"/>
      </w:pPr>
      <w:r>
        <w:rPr>
          <w:b/>
        </w:rPr>
        <w:t>Evolución Económica del Baloncesto Femenino de Competencia Nacional en Colombia (2022–2025)</w:t>
      </w:r>
    </w:p>
    <w:p>
      <w:pPr>
        <w:spacing w:after="0"/>
        <w:jc w:val="center"/>
      </w:pPr>
      <w:r>
        <w:rPr>
          <w:b w:val="0"/>
        </w:rPr>
        <w:t>Carlos Esneider Quiroga Rodríguez, Daniel Eduardo Pardo Cubides, Henry Daniel Pérez Cuestas</w:t>
      </w:r>
    </w:p>
    <w:p>
      <w:pPr>
        <w:spacing w:after="0"/>
        <w:jc w:val="center"/>
      </w:pPr>
      <w:r>
        <w:rPr>
          <w:b w:val="0"/>
        </w:rPr>
        <w:t>Programa de Administración Deportiva</w:t>
      </w:r>
    </w:p>
    <w:p>
      <w:pPr>
        <w:spacing w:after="0"/>
        <w:jc w:val="center"/>
      </w:pPr>
      <w:r>
        <w:rPr>
          <w:b w:val="0"/>
        </w:rPr>
        <w:t>Universidad Distrital Francisco José de Caldas</w:t>
      </w:r>
    </w:p>
    <w:p>
      <w:pPr>
        <w:spacing w:after="0"/>
        <w:jc w:val="center"/>
      </w:pPr>
      <w:r>
        <w:rPr>
          <w:b w:val="0"/>
        </w:rPr>
        <w:t>Metodología de la Investigación</w:t>
      </w:r>
    </w:p>
    <w:p>
      <w:pPr>
        <w:spacing w:after="0"/>
        <w:jc w:val="center"/>
      </w:pPr>
      <w:r>
        <w:rPr>
          <w:b w:val="0"/>
        </w:rPr>
        <w:t>Mg. Kilderman Mendoza Moreno</w:t>
      </w:r>
    </w:p>
    <w:p>
      <w:pPr>
        <w:spacing w:after="0"/>
        <w:jc w:val="center"/>
      </w:pPr>
      <w:r>
        <w:rPr>
          <w:b w:val="0"/>
        </w:rPr>
        <w:t>28 de octubre de 2026</w:t>
      </w:r>
    </w:p>
    <w:p>
      <w:pPr>
        <w:pStyle w:val="Heading1"/>
        <w:pageBreakBefore/>
      </w:pPr>
      <w:r>
        <w:t>Dedicatoria</w:t>
      </w:r>
    </w:p>
    <w:p>
      <w:pPr>
        <w:ind w:firstLine="720"/>
      </w:pPr>
      <w:r>
        <w:t>A nuestras familias, que sostuvieron este proceso con paciencia. A nuestro asesor, el profesor Kilderman Mendoza Moreno, por exigirnos rigor. Y a las jugadoras de baloncesto de Colombia, cuyo trabajo merece ser medido y visible.</w:t>
      </w:r>
    </w:p>
    <w:p>
      <w:pPr>
        <w:pStyle w:val="Heading1"/>
        <w:pageBreakBefore/>
      </w:pPr>
      <w:r>
        <w:t>Agradecimientos</w:t>
      </w:r>
    </w:p>
    <w:p>
      <w:pPr>
        <w:ind w:firstLine="720"/>
      </w:pPr>
      <w:r>
        <w:t>De manera especial, agradecemos a nuestro asesor y docente, Kilderman Mendoza Moreno, por su orientación, disposición y por compartir sus conocimientos, los cuales fueron fundamentales para el desarrollo y culminación de este proyecto.</w:t>
      </w:r>
    </w:p>
    <w:p>
      <w:pPr>
        <w:ind w:firstLine="720"/>
      </w:pPr>
      <w:r>
        <w:t>A nuestras familias, por su apoyo constante, confianza y motivación durante este proceso, así como por impulsarnos a continuar trabajando por nuestras metas y superar los diferentes retos que se presentaron. A la Universidad Distrital Francisco José de Caldas, por contribuir a nuestra formación académica y profesional, brindándonos los conocimientos y herramientas necesarios para llevar a cabo este trabajo.</w:t>
      </w:r>
    </w:p>
    <w:p>
      <w:pPr>
        <w:ind w:firstLine="720"/>
      </w:pPr>
      <w:r>
        <w:t>Finalmente, y de manera muy especial, agradecemos a Dios por acompañarnos durante este proceso y brindarnos la fortaleza, sabiduría y perseverancia necesarias para culminar satisfactoriamente este proyecto.</w:t>
      </w:r>
    </w:p>
    <w:p>
      <w:pPr>
        <w:pageBreakBefore/>
        <w:spacing w:after="0"/>
        <w:jc w:val="center"/>
      </w:pPr>
      <w:r>
        <w:rPr>
          <w:b/>
        </w:rPr>
        <w:t>Tabla de contenido</w:t>
      </w:r>
    </w:p>
    <w:p>
      <w:pPr>
        <w:pStyle w:val="toc1"/>
      </w:pPr>
      <w:r>
        <w:fldChar w:fldCharType="begin"/>
      </w:r>
      <w:r>
        <w:instrText xml:space="preserve"> TOC \o "1-2" \h \z \u </w:instrText>
      </w:r>
      <w:r>
        <w:fldChar w:fldCharType="separate"/>
      </w:r>
    </w:p>
    <w:p>
      <w:pPr>
        <w:pStyle w:val="toc1"/>
      </w:pPr>
      <w:r>
        <w:t>Dedicatoria</w:t>
      </w:r>
    </w:p>
    <w:p>
      <w:pPr>
        <w:pStyle w:val="toc1"/>
      </w:pPr>
      <w:r>
        <w:t>Agradecimientos</w:t>
      </w:r>
    </w:p>
    <w:p>
      <w:pPr>
        <w:pStyle w:val="toc1"/>
      </w:pPr>
      <w:r>
        <w:t>Glosario</w:t>
      </w:r>
    </w:p>
    <w:p>
      <w:pPr>
        <w:pStyle w:val="toc1"/>
      </w:pPr>
      <w:r>
        <w:t>Resumen</w:t>
      </w:r>
    </w:p>
    <w:p>
      <w:pPr>
        <w:pStyle w:val="toc1"/>
      </w:pPr>
      <w:r>
        <w:t>Abstract</w:t>
      </w:r>
    </w:p>
    <w:p>
      <w:pPr>
        <w:pStyle w:val="toc1"/>
      </w:pPr>
      <w:r>
        <w:t>Introducción</w:t>
      </w:r>
    </w:p>
    <w:p>
      <w:pPr>
        <w:pStyle w:val="toc1"/>
      </w:pPr>
      <w:r>
        <w:t>Descripción del Problema</w:t>
      </w:r>
    </w:p>
    <w:p>
      <w:pPr>
        <w:pStyle w:val="toc2"/>
      </w:pPr>
      <w:r>
        <w:t>Contextualización en el Nivel Internacional</w:t>
      </w:r>
    </w:p>
    <w:p>
      <w:pPr>
        <w:pStyle w:val="toc2"/>
      </w:pPr>
      <w:r>
        <w:t>Contextualización en el Nivel Regional Latinoamericano</w:t>
      </w:r>
    </w:p>
    <w:p>
      <w:pPr>
        <w:pStyle w:val="toc2"/>
      </w:pPr>
      <w:r>
        <w:t>Contextualización en el Nivel Nacional</w:t>
      </w:r>
    </w:p>
    <w:p>
      <w:pPr>
        <w:pStyle w:val="toc2"/>
      </w:pPr>
      <w:r>
        <w:t>Contextualización en el Nivel Local</w:t>
      </w:r>
    </w:p>
    <w:p>
      <w:pPr>
        <w:pStyle w:val="toc2"/>
      </w:pPr>
      <w:r>
        <w:t>Magnitud del Problema</w:t>
      </w:r>
    </w:p>
    <w:p>
      <w:pPr>
        <w:pStyle w:val="toc2"/>
      </w:pPr>
      <w:r>
        <w:t>Actores Afectados y Consecuencias</w:t>
      </w:r>
    </w:p>
    <w:p>
      <w:pPr>
        <w:pStyle w:val="toc2"/>
      </w:pPr>
      <w:r>
        <w:t>Vacío de Conocimiento</w:t>
      </w:r>
    </w:p>
    <w:p>
      <w:pPr>
        <w:pStyle w:val="toc2"/>
      </w:pPr>
      <w:r>
        <w:t>Delimitación del Problema</w:t>
      </w:r>
    </w:p>
    <w:p>
      <w:pPr>
        <w:pStyle w:val="toc1"/>
      </w:pPr>
      <w:r>
        <w:t>Pregunta de Investigación</w:t>
      </w:r>
    </w:p>
    <w:p>
      <w:pPr>
        <w:pStyle w:val="toc1"/>
      </w:pPr>
      <w:r>
        <w:t>Objetivos</w:t>
      </w:r>
    </w:p>
    <w:p>
      <w:pPr>
        <w:pStyle w:val="toc2"/>
      </w:pPr>
      <w:r>
        <w:t>Objetivo General</w:t>
      </w:r>
    </w:p>
    <w:p>
      <w:pPr>
        <w:pStyle w:val="toc2"/>
      </w:pPr>
      <w:r>
        <w:t>Objetivos Específicos</w:t>
      </w:r>
    </w:p>
    <w:p>
      <w:pPr>
        <w:pStyle w:val="toc1"/>
      </w:pPr>
      <w:r>
        <w:t>Justificación</w:t>
      </w:r>
    </w:p>
    <w:p>
      <w:pPr>
        <w:pStyle w:val="toc2"/>
      </w:pPr>
      <w:r>
        <w:t>Pertinencia Teórica</w:t>
      </w:r>
    </w:p>
    <w:p>
      <w:pPr>
        <w:pStyle w:val="toc2"/>
      </w:pPr>
      <w:r>
        <w:t>Pertinencia Social</w:t>
      </w:r>
    </w:p>
    <w:p>
      <w:pPr>
        <w:pStyle w:val="toc2"/>
      </w:pPr>
      <w:r>
        <w:t>Pertinencia Práctica</w:t>
      </w:r>
    </w:p>
    <w:p>
      <w:pPr>
        <w:pStyle w:val="toc2"/>
      </w:pPr>
      <w:r>
        <w:t>Pertinencia Disciplinar</w:t>
      </w:r>
    </w:p>
    <w:p>
      <w:pPr>
        <w:pStyle w:val="toc2"/>
      </w:pPr>
      <w:r>
        <w:t>Viabilidad</w:t>
      </w:r>
    </w:p>
    <w:p>
      <w:pPr>
        <w:pStyle w:val="toc1"/>
      </w:pPr>
      <w:r>
        <w:t>Antecedentes</w:t>
      </w:r>
    </w:p>
    <w:p>
      <w:pPr>
        <w:pStyle w:val="toc2"/>
      </w:pPr>
      <w:r>
        <w:t>Antecedentes Internacionales: Economía del Deporte Femenino y Brecha Salarial</w:t>
      </w:r>
    </w:p>
    <w:p>
      <w:pPr>
        <w:pStyle w:val="toc2"/>
      </w:pPr>
      <w:r>
        <w:t>Antecedentes Nacionales: El Caso Colombiano</w:t>
      </w:r>
    </w:p>
    <w:p>
      <w:pPr>
        <w:pStyle w:val="toc2"/>
      </w:pPr>
      <w:r>
        <w:t>Síntesis del Vacío de Conocimiento</w:t>
      </w:r>
    </w:p>
    <w:p>
      <w:pPr>
        <w:pStyle w:val="toc1"/>
      </w:pPr>
      <w:r>
        <w:t>Referencia Teórica y Conceptual</w:t>
      </w:r>
    </w:p>
    <w:p>
      <w:pPr>
        <w:pStyle w:val="toc2"/>
      </w:pPr>
      <w:r>
        <w:t>La Economía del Deporte como Marco Interpretativo General</w:t>
      </w:r>
    </w:p>
    <w:p>
      <w:pPr>
        <w:pStyle w:val="toc2"/>
      </w:pPr>
      <w:r>
        <w:t>Teoría del Patrocinio Deportivo</w:t>
      </w:r>
    </w:p>
    <w:p>
      <w:pPr>
        <w:pStyle w:val="toc2"/>
      </w:pPr>
      <w:r>
        <w:t>Marco Conceptual: Presupuesto y Estados Financieros, Brecha Económica de Género y Salario Mínimo Legal Mensual Vigente</w:t>
      </w:r>
    </w:p>
    <w:p>
      <w:pPr>
        <w:pStyle w:val="toc2"/>
      </w:pPr>
      <w:r>
        <w:t>Síntesis de la Referencia Teórica y su Relación con la Pregunta de Investigación</w:t>
      </w:r>
    </w:p>
    <w:p>
      <w:pPr>
        <w:pStyle w:val="toc1"/>
      </w:pPr>
      <w:r>
        <w:t>Declaración de Uso de Inteligencia Artificial</w:t>
      </w:r>
    </w:p>
    <w:p>
      <w:pPr>
        <w:pStyle w:val="toc1"/>
      </w:pPr>
      <w:r>
        <w:t>Referencias</w:t>
      </w:r>
    </w:p>
    <w:p>
      <w:pPr>
        <w:pStyle w:val="toc1"/>
      </w:pPr>
      <w:r>
        <w:fldChar w:fldCharType="end"/>
      </w:r>
    </w:p>
    <w:p>
      <w:pPr>
        <w:pageBreakBefore/>
        <w:spacing w:after="0"/>
        <w:jc w:val="center"/>
      </w:pPr>
      <w:r>
        <w:rPr>
          <w:b/>
        </w:rPr>
        <w:t>Lista de tablas</w:t>
      </w:r>
    </w:p>
    <w:p>
      <w:pPr>
        <w:pStyle w:val="tableoffigures"/>
      </w:pPr>
      <w:r>
        <w:fldChar w:fldCharType="begin"/>
      </w:r>
      <w:r>
        <w:instrText xml:space="preserve"> TOC \h \z \c "Tabla" </w:instrText>
      </w:r>
      <w:r>
        <w:fldChar w:fldCharType="separate"/>
      </w:r>
    </w:p>
    <w:p>
      <w:pPr>
        <w:pStyle w:val="tableoffigures"/>
      </w:pPr>
      <w:r>
        <w:t>Tabla 1 Ingresos globales del deporte femenino de élite y participación del baloncesto, 2022–2025</w:t>
      </w:r>
    </w:p>
    <w:p>
      <w:pPr>
        <w:pStyle w:val="tableoffigures"/>
      </w:pPr>
      <w:r>
        <w:t>Tabla 2 Ediciones registradas de la Liga Superior Femenina de Baloncesto, 2020–2025</w:t>
      </w:r>
    </w:p>
    <w:p>
      <w:pPr>
        <w:pStyle w:val="tableoffigures"/>
      </w:pPr>
      <w:r>
        <w:t>Tabla 3 Salario mínimo legal mensual vigente en Colombia, 2022–2025</w:t>
      </w:r>
    </w:p>
    <w:p>
      <w:pPr>
        <w:pStyle w:val="tableoffigures"/>
      </w:pPr>
      <w:r>
        <w:fldChar w:fldCharType="end"/>
      </w:r>
    </w:p>
    <w:p>
      <w:pPr>
        <w:pStyle w:val="Heading1"/>
        <w:pageBreakBefore/>
      </w:pPr>
      <w:r>
        <w:t>Glosario</w:t>
      </w:r>
    </w:p>
    <w:p>
      <w:pPr>
        <w:spacing w:line="480" w:lineRule="auto"/>
        <w:ind w:left="720" w:hanging="720"/>
      </w:pPr>
      <w:r>
        <w:rPr>
          <w:b/>
        </w:rPr>
        <w:t>Baloncesto femenino de competencia nacional:</w:t>
      </w:r>
      <w:r>
        <w:t xml:space="preserve"> Certámenes de clubes y ligas de rango nacional organizados con la Federación Colombiana de Baloncesto, como la Liga Superior Femenina de Baloncesto (“Así se jugará”, 2023). El término no presupone que las jugadoras tengan contrato laboral formal; determinar si lo tienen, y bajo qué modalidad, hace parte del objetivo específico 3.</w:t>
      </w:r>
    </w:p>
    <w:p>
      <w:pPr>
        <w:spacing w:line="480" w:lineRule="auto"/>
        <w:ind w:left="720" w:hanging="720"/>
      </w:pPr>
      <w:r>
        <w:rPr>
          <w:b/>
        </w:rPr>
        <w:t>Brecha económica de género en el deporte:</w:t>
      </w:r>
      <w:r>
        <w:t xml:space="preserve"> Diferencia sistemática en inversión, remuneración y condiciones contractuales entre las ramas masculina y femenina de una misma disciplina. La literatura sobre patrocinio documenta que la inversión dirigida al deporte femenino es inferior a la del masculino (Torres-Romay y García-Mirón, 2020).</w:t>
      </w:r>
    </w:p>
    <w:p>
      <w:pPr>
        <w:spacing w:line="480" w:lineRule="auto"/>
        <w:ind w:left="720" w:hanging="720"/>
      </w:pPr>
      <w:r>
        <w:rPr>
          <w:b/>
        </w:rPr>
        <w:t>Club con deportistas profesionales:</w:t>
      </w:r>
      <w:r>
        <w:t xml:space="preserve"> Organización deportiva que, según los artículos 1 y 2 de la Ley 1445 de 2011, debe organizarse como corporación o asociación deportiva, o como sociedad anónima. Para las disciplinas distintas del fútbol organizadas como sociedad anónima, el capital suscrito y pagado a la fecha de constitución o de conversión no puede ser inferior a 100 salarios mínimos legales mensuales vigentes (Congreso de la República de Colombia, 2011).</w:t>
      </w:r>
    </w:p>
    <w:p>
      <w:pPr>
        <w:spacing w:line="480" w:lineRule="auto"/>
        <w:ind w:left="720" w:hanging="720"/>
      </w:pPr>
      <w:r>
        <w:rPr>
          <w:b/>
        </w:rPr>
        <w:t>Deporte profesional:</w:t>
      </w:r>
      <w:r>
        <w:t xml:space="preserve"> El que admite como competidores a personas naturales bajo remuneración, según el artículo 16 de la Ley 181 de 1995, tal como lo recuerda el Ministerio del Deporte (2023).</w:t>
      </w:r>
    </w:p>
    <w:p>
      <w:pPr>
        <w:spacing w:line="480" w:lineRule="auto"/>
        <w:ind w:left="720" w:hanging="720"/>
      </w:pPr>
      <w:r>
        <w:rPr>
          <w:b/>
        </w:rPr>
        <w:t>Estados financieros:</w:t>
      </w:r>
      <w:r>
        <w:t xml:space="preserve"> Informes contables que presentan la situación de una organización al cierre de un periodo, con sus activos, pasivos, patrimonio, ingresos, costos y gastos. Muestran lo que efectivamente ocurrió y no lo planeado. Los clubes con deportistas profesionales tienen el deber de presentarlos ante las autoridades de vigilancia (Ministerio del Deporte, 2023).</w:t>
      </w:r>
    </w:p>
    <w:p>
      <w:pPr>
        <w:spacing w:line="480" w:lineRule="auto"/>
        <w:ind w:left="720" w:hanging="720"/>
      </w:pPr>
      <w:r>
        <w:rPr>
          <w:b/>
        </w:rPr>
        <w:t>Ingresos comerciales:</w:t>
      </w:r>
      <w:r>
        <w:t xml:space="preserve"> Categoría de ingresos que agrupa patrocinios, alianzas, venta de mercancía y giras de pretemporada. En el deporte femenino de élite superó por primera vez los 1.000 millones de dólares en 2024 y se proyectó como la mayor fuente de ingresos del sector en 2025 (Deloitte, 2025a).</w:t>
      </w:r>
    </w:p>
    <w:p>
      <w:pPr>
        <w:spacing w:line="480" w:lineRule="auto"/>
        <w:ind w:left="720" w:hanging="720"/>
      </w:pPr>
      <w:r>
        <w:rPr>
          <w:b/>
        </w:rPr>
        <w:t>Ingresos por patrocinio:</w:t>
      </w:r>
      <w:r>
        <w:t xml:space="preserve"> Recursos que una organización deportiva recibe de una empresa a cambio de asociar su marca a su actividad. El patrocinio opera como herramienta de comunicación de mercadeo (Meenaghan, 1991) y como fórmula de comunicación ligada a la responsabilidad social de las empresas (Torres-Romay y García-Mirón, 2020).</w:t>
      </w:r>
    </w:p>
    <w:p>
      <w:pPr>
        <w:spacing w:line="480" w:lineRule="auto"/>
        <w:ind w:left="720" w:hanging="720"/>
      </w:pPr>
      <w:r>
        <w:rPr>
          <w:b/>
        </w:rPr>
        <w:t>Presupuesto del club:</w:t>
      </w:r>
      <w:r>
        <w:t xml:space="preserve"> Plan de ingresos y gastos que una organización deportiva proyecta para un periodo determinado. Incluye, entre otros, nómina, desplazamientos, alquiler de escenarios, inscripción o ficha en la división profesional y gastos administrativos. No equivale a lo que el club efectivamente gastó, que se reporta en los estados financieros.</w:t>
      </w:r>
    </w:p>
    <w:p>
      <w:pPr>
        <w:spacing w:line="480" w:lineRule="auto"/>
        <w:ind w:left="720" w:hanging="720"/>
      </w:pPr>
      <w:r>
        <w:rPr>
          <w:b/>
        </w:rPr>
        <w:t>Salario mínimo legal mensual vigente (SMLMV):</w:t>
      </w:r>
      <w:r>
        <w:t xml:space="preserve"> Remuneración mínima que fija el Gobierno nacional mediante decreto para cada año. Se emplea en este documento como unidad de referencia para interpretar las remuneraciones que se logre documentar (Presidencia de la República de Colombia, 2021, 2022, 2023, 2024).</w:t>
      </w:r>
    </w:p>
    <w:p>
      <w:pPr>
        <w:pStyle w:val="Heading1"/>
        <w:pageBreakBefore/>
      </w:pPr>
      <w:r>
        <w:t>Resumen</w:t>
      </w:r>
    </w:p>
    <w:p>
      <w:r>
        <w:t>Este trabajo formula el problema de investigación sobre la evolución de los ingresos por patrocinio, los presupuestos de los clubes y las remuneraciones de las jugadoras del baloncesto femenino de competencia nacional en Colombia entre 2022 y 2025. Mientras los ingresos globales del deporte femenino de élite pasaron de 692 millones de dólares en 2022 a 1.880 millones en 2024, con el baloncesto proyectado como la disciplina de mayores ingresos en 2025 (Deloitte, 2025a, 2025b), el circuito colombiano operó con torneos cortos y con un apoyo estatal que el Viceministerio del Deporte reconoció como insuficiente (“Así se jugará”, 2023). Además, un informe del Ministerio del Deporte (2023), con corte a diciembre de 2022, no registra jugadoras de baloncesto con contrato formal, y la base de datos Latinbasket (s. f.) no muestra ediciones de la liga posteriores a 2023. El problema es la falta de información económica sistematizada, pública y verificable sobre este subsector, lo que impide estimar el costo de sostener un club, valorar comercialmente el producto deportivo y diseñar propuestas de patrocinio con datos. El estudio es descriptivo, con diseño documental, y analizará certámenes nacionales, clubes y entidades financiadoras a partir de documentos federativos y estatales, normativa, bases de datos especializadas y prensa verificable. Por corresponder a la formulación del problema y al marco de referencia, este documento no presenta resultados.</w:t>
      </w:r>
    </w:p>
    <w:p>
      <w:pPr>
        <w:ind w:firstLine="720"/>
      </w:pPr>
      <w:r>
        <w:rPr>
          <w:i/>
        </w:rPr>
        <w:t>Palabras clave:</w:t>
      </w:r>
      <w:r>
        <w:t xml:space="preserve"> baloncesto femenino, economía del deporte, patrocinio deportivo, presupuesto de clubes, salarios, Colombia</w:t>
      </w:r>
    </w:p>
    <w:p>
      <w:pPr>
        <w:pStyle w:val="Heading1"/>
        <w:pageBreakBefore/>
      </w:pPr>
      <w:r>
        <w:t>Abstract</w:t>
      </w:r>
    </w:p>
    <w:p>
      <w:r>
        <w:t>This paper formulates the research problem on the evolution of sponsorship revenue, club budgets and player salaries in Colombian national-level women’s basketball between 2022 and 2025. While global revenues in elite women’s sport rose from USD 692 million in 2022 to USD 1.88 billion in 2024, with basketball projected as the highest-earning discipline in 2025 (Deloitte, 2025a, 2025b), the Colombian circuit operated with short tournaments and with state support that the Deputy Ministry of Sport acknowledged as insufficient (“Así se jugará”, 2023). In addition, a report by the Ministerio del Deporte (2023), as of December 2022, records no basketball players with a formal contract, and the Latinbasket (s. f.) database shows no editions of the league after 2023. The problem is the lack of systematised, public and verifiable economic information on this subsector, which prevents estimating the cost of sustaining a club, assessing the commercial value of the sporting product and designing evidence-based sponsorship proposals. The study is descriptive with a documentary design and will analyse national competitions, clubs and funding entities using federation and government documents, legislation, specialised databases and verifiable press. As this document covers the problem formulation and the theoretical framework, it presents no results.</w:t>
      </w:r>
    </w:p>
    <w:p>
      <w:pPr>
        <w:ind w:firstLine="720"/>
      </w:pPr>
      <w:r>
        <w:rPr>
          <w:i/>
        </w:rPr>
        <w:t>Keywords:</w:t>
      </w:r>
      <w:r>
        <w:t xml:space="preserve"> women’s basketball, sport economics, sport sponsorship, club budgets, salaries, Colombia</w:t>
      </w:r>
    </w:p>
    <w:p>
      <w:pPr>
        <w:pStyle w:val="Heading1"/>
        <w:pageBreakBefore/>
      </w:pPr>
      <w:r>
        <w:t>Introducción</w:t>
      </w:r>
    </w:p>
    <w:p>
      <w:pPr>
        <w:ind w:firstLine="720"/>
      </w:pPr>
      <w:r>
        <w:t>La economía del deporte femenino atraviesa una fase de expansión. Según Deloitte (2025a, 2025b), los ingresos globales del deporte femenino de élite pasaron de 692 millones de dólares en 2022 a 1.880 millones en 2024, y se proyectaron en al menos 2.350 millones para 2025. Dentro de ese conjunto, el baloncesto se proyectó como la disciplina con mayores ingresos en 2025, con 1.030 millones de dólares (Deloitte, 2025a). Ese crecimiento no se distribuye de manera homogénea: el 56 % de los ingresos globales de 2024 provino de Norteamérica (Deloitte, 2025a).</w:t>
      </w:r>
    </w:p>
    <w:p>
      <w:pPr>
        <w:ind w:firstLine="720"/>
      </w:pPr>
      <w:r>
        <w:t>En Colombia, la prensa ha señalado que ese auge internacional aún no se siente en el país (“El deporte femenino vive un auge global”, 2025). El baloncesto femenino colombiano ofrece un caso ilustrativo. La Selección Colombia muestra una regularidad deportiva sostenida (FIBA, 2025), pero la competencia nacional se ha jugado en torneos cortos, con un apoyo estatal que el propio Viceministerio del Deporte reconoció como insuficiente (“Así se jugará”, 2023) y sin información pública que permita saber cuánto cuesta sostener un club o cuánto perciben las jugadoras.</w:t>
      </w:r>
    </w:p>
    <w:p>
      <w:pPr>
        <w:ind w:firstLine="720"/>
      </w:pPr>
      <w:r>
        <w:t>El periodo 2022–2025 permite examinar esa tensión. Incluye la última edición registrada de la Liga Superior Femenina de Baloncesto (Latinbasket, s. f.), el reconocimiento oficial de la insuficiencia del apoyo estatal a esa liga en 2023 (“Así se jugará”, 2023), las denuncias de opacidad y la salida de clubes de la liga profesional masculina (“Este es el formato”, 2024; Rengifo, 2024) y la expansión comercial del deporte femenino en el escenario internacional (Deloitte, 2025a).</w:t>
      </w:r>
    </w:p>
    <w:p>
      <w:pPr>
        <w:ind w:firstLine="720"/>
      </w:pPr>
      <w:r>
        <w:t>Este trabajo habla de baloncesto femenino “de competencia nacional” y no de baloncesto “profesional” porque el Ministerio del Deporte (2023) registra, con corte a diciembre de 2022, plantilla únicamente masculina en el baloncesto con clubes profesionales. La definición del término se presenta en el glosario y en la delimitación del problema.</w:t>
      </w:r>
    </w:p>
    <w:p>
      <w:pPr>
        <w:ind w:firstLine="720"/>
      </w:pPr>
      <w:r>
        <w:t>El presente documento, elaborado en el marco del programa de Administración Deportiva de la Universidad Distrital Francisco José de Caldas, se organiza en dos capítulos. El primero formula el problema de investigación, delimita su alcance, plantea la pregunta, define los objetivos y expone la justificación. El segundo presenta los antecedentes y la referencia teórica y conceptual. El estudio tiene alcance descriptivo y diseño documental. No incluye resultados ni conclusiones, que corresponden a fases posteriores.</w:t>
      </w:r>
    </w:p>
    <w:p>
      <w:pPr>
        <w:pStyle w:val="Heading1"/>
        <w:pageBreakBefore/>
      </w:pPr>
      <w:r>
        <w:t>Descripción del Problema</w:t>
      </w:r>
    </w:p>
    <w:p>
      <w:pPr>
        <w:ind w:firstLine="720"/>
      </w:pPr>
      <w:r>
        <w:t>El problema que aborda esta investigación es la falta de información económica sistematizada sobre el baloncesto femenino de competencia nacional en Colombia, en un contexto de crecimiento acelerado de la industria del deporte femenino en el mundo. A continuación se presenta la evidencia disponible en cuatro niveles (internacional, regional latinoamericano, nacional y local), se dimensiona el problema, se identifican los actores afectados y se enuncia el vacío de conocimiento.</w:t>
      </w:r>
    </w:p>
    <w:p>
      <w:pPr>
        <w:pStyle w:val="Heading2"/>
      </w:pPr>
      <w:r>
        <w:t>Contextualización en el Nivel Internacional</w:t>
      </w:r>
    </w:p>
    <w:p>
      <w:pPr>
        <w:ind w:firstLine="720"/>
      </w:pPr>
      <w:r>
        <w:t>En el plano internacional, la economía del deporte femenino cambió de escala durante el periodo analizado. Deloitte (2025a, 2025b) estimó que los ingresos globales del deporte femenino de élite crecieron de 692 millones de dólares en 2022 a 981 millones en 2023 y a 1.880 millones en 2024, con una proyección de al menos 2.350 millones para 2025, lo que equivale a un aumento cercano al 240 %. Del total proyectado para 2025, los ingresos comerciales (patrocinios, alianzas, mercancía y giras de pretemporada) sumaban 1.260 millones de dólares, el 54 % del total, seguidos por los derechos de transmisión con 590 millones y la taquilla con 500 millones (Deloitte, 2025a).</w:t>
      </w:r>
    </w:p>
    <w:p>
      <w:pPr>
        <w:ind w:firstLine="720"/>
      </w:pPr>
      <w:r>
        <w:t>Dentro de ese conjunto, los ingresos del baloncesto pasaron de 710 millones de dólares en 2024 a una proyección de 1.030 millones en 2025, el 44 % del total. Con ello el baloncesto quedaría por encima del fútbol, que pasaría de 740 a 820 millones (Deloitte, 2025b). Deloitte atribuye ese avance a nuevas figuras que atraen público a los estadios, a mayores ventas de mercancía y a más inversión en instalaciones (Deloitte, 2025a, 2025b).</w:t>
      </w:r>
    </w:p>
    <w:p>
      <w:pPr>
        <w:ind w:firstLine="720"/>
      </w:pPr>
      <w:r>
        <w:t>El hito más visible fue el acuerdo de derechos de transmisión que la WNBA anunció el 24 de julio de 2024 con The Walt Disney Company, Amazon Prime Video y NBCUniversal, vigente desde la temporada 2026 hasta la de 2036 (WNBA, 2024). ESPN informó, citando a una fuente, que el acuerdo se valoraba en cerca de 2.200 millones de dólares, unos 200 millones anuales (“WNBA secures ‘monumental’ media deal”, 2024).</w:t>
      </w:r>
    </w:p>
    <w:p>
      <w:pPr>
        <w:ind w:firstLine="720"/>
      </w:pPr>
      <w:r>
        <w:t>Este crecimiento coexiste con una brecha. Torres-Romay y García-Mirón (2020) encontraron que, aunque los éxitos deportivos femeninos parecen ir de la mano de más patrocinios, estos suponen una inversión inferior a la del deporte masculino, y que el patrocinio se plantea como una fórmula de comunicación ligada a la responsabilidad social de las empresas. Además, Norteamérica concentró el 56 % de los ingresos globales de 2024 (Deloitte, 2025a), lo que sugiere que el resto de los mercados, incluidos los latinoamericanos, participa en una proporción menor.</w:t>
      </w:r>
    </w:p>
    <w:p>
      <w:pPr>
        <w:pStyle w:val="Heading2"/>
      </w:pPr>
      <w:r>
        <w:t>Contextualización en el Nivel Regional Latinoamericano</w:t>
      </w:r>
    </w:p>
    <w:p>
      <w:pPr>
        <w:ind w:firstLine="720"/>
      </w:pPr>
      <w:r>
        <w:t>En el ámbito latinoamericano, Colombia muestra un desempeño estable en las competencias de selecciones. FIBA (2025) registra que la Selección Colombia ocupa el puesto 30 del Ranking Mundial Femenino y el quinto de América, que en 2024 obtuvo su cuarta medalla de bronce consecutiva en el Campeonato Sudamericano Femenino y que había terminado quinta en las tres ediciones anteriores de la FIBA AmeriCup Femenina (2019, 2021 y 2023). La misma fuente señala que el entrenador de la selección, Luis Cuenca, llevó al club Indeportes Antioquia a ganar las dos ediciones de la Women’s Basketball League Americas.</w:t>
      </w:r>
    </w:p>
    <w:p>
      <w:pPr>
        <w:ind w:firstLine="720"/>
      </w:pPr>
      <w:r>
        <w:t>El perfil de FIBA (2025) añade que la armadora Manuela Ríos, referente del equipo, jugaba en la liga de Brasil. Ese caso por sí solo no demuestra nada sobre el mercado interno, pero plantea la pregunta de qué condiciones económicas ofrece la competencia nacional a las jugadoras de alto rendimiento. Responderla exige la evidencia económica que esta investigación se propone reunir.</w:t>
      </w:r>
    </w:p>
    <w:p>
      <w:pPr>
        <w:pStyle w:val="Heading2"/>
      </w:pPr>
      <w:r>
        <w:t>Contextualización en el Nivel Nacional</w:t>
      </w:r>
    </w:p>
    <w:p>
      <w:pPr>
        <w:ind w:firstLine="720"/>
      </w:pPr>
      <w:r>
        <w:t>En Colombia, el campeonato nacional de baloncesto femenino es la Liga Superior Femenina de Baloncesto. Su lanzamiento en 2023 contó con la presencia del presidente de la Federación Colombiana de Baloncesto y del viceministro del Deporte (“Así se jugará”, 2023). Latinbasket (s. f.) registra la edición de 2023, que se disputó entre el 24 de mayo y el 24 de junio y terminó con el título de Indeportes Antioquia. La base de datos no muestra ediciones posteriores.</w:t>
      </w:r>
    </w:p>
    <w:p>
      <w:pPr>
        <w:ind w:firstLine="720"/>
      </w:pPr>
      <w:r>
        <w:t>En ese lanzamiento, el viceministro Camilo Iguarán afirmó que el apoyo del Ministerio era superior a los 300 millones de pesos y que “no parece suficiente”, y expresó la intención de servir de puente para que el sector privado apoye a las jugadoras. El presidente de la Federación, Jorge García, indicó que el proceso había comenzado un año antes con seis equipos y que en esa edición eran 15. La capitana de la Selección Colombia, Jenifer Muñoz, planteó la necesidad de contar con clubes y jugadoras profesionales y con empresas privadas que apoyen los eventos (“Así se jugará”, 2023).</w:t>
      </w:r>
    </w:p>
    <w:p>
      <w:pPr>
        <w:ind w:firstLine="720"/>
      </w:pPr>
      <w:r>
        <w:t>La misma nota informa 15 equipos en su encabezado y 17 en la descripción de la primera fase, y las tres conferencias que detalla suman 17 equipos (“Así se jugará”, 2023). Esta inconsistencia, en un dato tan básico como el número de participantes, anticipa la dificultad de reconstruir variables más complejas, como los presupuestos o las remuneraciones.</w:t>
      </w:r>
    </w:p>
    <w:p>
      <w:pPr>
        <w:ind w:firstLine="720"/>
      </w:pPr>
      <w:r>
        <w:t>La opacidad no es exclusiva de la rama femenina. En enero de 2024, cinco clubes profesionales masculinos exigieron claridad sobre el manejo de los recursos de la División Profesional de Baloncesto. Según la carta que reproduce Rengifo (2024), el comisionado se había negado de manera reiterada a entregar copia de los contratos firmados con patrocinadores y proveedores, amparándose en una cláusula de confidencialidad, y algunos clubes incumplían de forma sistemática el pago de salarios y prestaciones sociales.</w:t>
      </w:r>
    </w:p>
    <w:p>
      <w:pPr>
        <w:ind w:firstLine="720"/>
      </w:pPr>
      <w:r>
        <w:t>Las consecuencias se vieron en la segunda mitad de 2024. La División Profesional de Baloncesto anunció la Liga Profesional 2024-II con solo siete equipos, sin Búcaros de Bucaramanga ni Titanes de Barranquilla, que no participaron por motivos económicos. Búcaros informó que una serie de factores había afectado su capacidad de operación, entre ellos la falta de apoyo de entidades del Estado y el agotamiento de la capacidad financiera de sus socios, que habían aportado más de 1.000 millones de pesos en el último año (“Este es el formato”, 2024).</w:t>
      </w:r>
    </w:p>
    <w:p>
      <w:pPr>
        <w:ind w:firstLine="720"/>
      </w:pPr>
      <w:r>
        <w:t>El patrocinio privado completa el panorama. La casa de apuestas BetPlay informó para 2024 una inversión superior a 5.600 millones de pesos en torneos como la Primera C, la Liga BetPlay de Baloncesto Profesional (con ocho quintetos beneficiados) y la Liga BetPlay de Futsal (Cadena, 2024). La nota no menciona ningún torneo femenino de baloncesto entre los beneficiados. Como el Ministerio del Deporte (2023) registra plantilla masculina únicamente en el baloncesto profesional, es coherente pensar que esa inversión se concentró en la rama masculina, aunque la nota no lo afirma de manera explícita.</w:t>
      </w:r>
    </w:p>
    <w:p>
      <w:pPr>
        <w:ind w:firstLine="720"/>
      </w:pPr>
      <w:r>
        <w:t>Una comparación dentro del país ayuda a dimensionar los recursos. La Federación Colombiana de Fútbol informó haber invertido más de 38.000 millones de pesos en el fútbol femenino en los últimos seis años (“El deporte femenino vive un auge global”, 2025), mientras que el apoyo estatal a una edición de la liga femenina de baloncesto fue superior a 300 millones (“Así se jugará”, 2023). Las cifras no son estrictamente comparables, porque cubren periodos, disciplinas y entidades distintas, pero indican la distancia en el orden de magnitud.</w:t>
      </w:r>
    </w:p>
    <w:p>
      <w:pPr>
        <w:ind w:firstLine="720"/>
      </w:pPr>
      <w:r>
        <w:t>Las condiciones de remuneración tienen un antecedente en el fútbol femenino. Según Sánchez (2024), la Superintendencia de Industria y Comercio analizó en 2023 un total de 1.274 contratos de jugadoras de fútbol y concluyó que el 46 % de ellos estaba entre 1 y 1,2 millones de pesos mensuales. Como el SMLMV de 2023 fue de 1.160.000 pesos (Presidencia de la República de Colombia, 2022), casi la mitad de esos contratos se ubicaba en el entorno del mínimo legal. Para la Liga Femenina de 2025, la Asociación Colombiana de Futbolistas Profesionales informó que el reglamento permite inscribir hasta 30 jugadoras pero solo exige contrato laboral para 15, y que varios clubes retrasaron el pago de salarios (“Hay una ‘preocupante desigualdad’”, 2025). Hasta donde permite establecer la revisión realizada, no existe un ejercicio equivalente para el baloncesto femenino colombiano.</w:t>
      </w:r>
    </w:p>
    <w:p>
      <w:pPr>
        <w:pStyle w:val="Heading2"/>
      </w:pPr>
      <w:r>
        <w:t>Contextualización en el Nivel Local</w:t>
      </w:r>
    </w:p>
    <w:p>
      <w:pPr>
        <w:ind w:firstLine="720"/>
      </w:pPr>
      <w:r>
        <w:t>En Bogotá y en la comunidad universitaria en la que se inscribe esta investigación, el fenómeno se expresa en la coexistencia de una participación deportiva documentada y una ausencia de información económica pública. En la conferencia Centro de la Liga Superior de 2023 compitieron la Liga de Bogotá, el Club Guerreros, el Club Valtam de Soacha y la Liga de Cundinamarca, junto con las ligas de Huila y Caquetá (“Así se jugará”, 2023). Guerreros llegó a la final y perdió ante Indeportes Antioquia (Latinbasket, s. f.).</w:t>
      </w:r>
    </w:p>
    <w:p>
      <w:pPr>
        <w:ind w:firstLine="720"/>
      </w:pPr>
      <w:r>
        <w:t>En la rama masculina, Piratas de Bogotá figura entre los cinco clubes que exigieron cuentas claras (Rengifo, 2024), y el informe del Ministerio del Deporte (2023) presenta resultados financieros de clubes bogotanos como Bogotá Piratas S.A. con corte a 2022. Para los clubes bogotanos de baloncesto femenino no se identificaron reportes públicos equivalentes: ni el presupuesto de operación, ni el valor de los contratos de patrocinio, ni la modalidad de vinculación de las jugadoras, ni el costo de participar en el certamen nacional.</w:t>
      </w:r>
    </w:p>
    <w:p>
      <w:pPr>
        <w:ind w:firstLine="720"/>
      </w:pPr>
      <w:r>
        <w:t>Esta carencia afecta la formación en administración deportiva: los estudiantes del programa no cuentan con casos locales documentados para ejercitar el análisis financiero, la estructuración de portafolios de patrocinio y la evaluación de viabilidad de proyectos, que son competencias centrales del perfil profesional. Cabe precisar que este estudio no afirma que Bogotá concentre el mayor número de practicantes de baloncesto femenino del país. Esa afirmación requeriría datos de censo deportivo desagregados por sexo, disciplina y territorio que no se encontraron en las fuentes consultadas.</w:t>
      </w:r>
    </w:p>
    <w:p>
      <w:pPr>
        <w:pStyle w:val="Heading2"/>
      </w:pPr>
      <w:r>
        <w:t>Magnitud del Problema</w:t>
      </w:r>
    </w:p>
    <w:p>
      <w:pPr>
        <w:ind w:firstLine="720"/>
      </w:pPr>
      <w:r>
        <w:t>La magnitud del problema puede expresarse con indicadores verificables en tres dimensiones: la evolución del ingreso global del deporte femenino, la continuidad de las competencias nacionales y el marco salarial en Colombia. La Tabla 1 sintetiza la evolución de los ingresos globales del deporte femenino de élite durante el periodo de estudio.</w:t>
      </w:r>
    </w:p>
    <w:p>
      <w:pPr>
        <w:pStyle w:val="Caption"/>
      </w:pPr>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r>
        <w:br/>
      </w:r>
      <w:r>
        <w:rPr>
          <w:i/>
        </w:rPr>
        <w:t>Ingresos globales del deporte femenino de élite y participación del baloncesto, 2022–2025</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907"/>
            <w:tcBorders>
              <w:bottom w:val="single" w:sz="6" w:color="000000"/>
            </w:tcBorders>
          </w:tcPr>
          <w:p>
            <w:pPr>
              <w:spacing w:line="240" w:lineRule="auto"/>
            </w:pPr>
            <w:r/>
            <w:r>
              <w:rPr>
                <w:b w:val="0"/>
                <w:sz w:val="21"/>
              </w:rPr>
              <w:t>Año</w:t>
            </w:r>
          </w:p>
        </w:tc>
        <w:tc>
          <w:tcPr>
            <w:tcW w:type="dxa" w:w="2494"/>
            <w:tcBorders>
              <w:bottom w:val="single" w:sz="6" w:color="000000"/>
            </w:tcBorders>
          </w:tcPr>
          <w:p>
            <w:pPr>
              <w:spacing w:line="240" w:lineRule="auto"/>
            </w:pPr>
            <w:r/>
            <w:r>
              <w:rPr>
                <w:b w:val="0"/>
                <w:sz w:val="21"/>
              </w:rPr>
              <w:t>Ingreso global del deporte femenino (USD)</w:t>
            </w:r>
          </w:p>
        </w:tc>
        <w:tc>
          <w:tcPr>
            <w:tcW w:type="dxa" w:w="2494"/>
            <w:tcBorders>
              <w:bottom w:val="single" w:sz="6" w:color="000000"/>
            </w:tcBorders>
          </w:tcPr>
          <w:p>
            <w:pPr>
              <w:spacing w:line="240" w:lineRule="auto"/>
            </w:pPr>
            <w:r/>
            <w:r>
              <w:rPr>
                <w:b w:val="0"/>
                <w:sz w:val="21"/>
              </w:rPr>
              <w:t>Ingreso del baloncesto femenino (USD)</w:t>
            </w:r>
          </w:p>
        </w:tc>
        <w:tc>
          <w:tcPr>
            <w:tcW w:type="dxa" w:w="3175"/>
            <w:tcBorders>
              <w:bottom w:val="single" w:sz="6" w:color="000000"/>
            </w:tcBorders>
          </w:tcPr>
          <w:p>
            <w:pPr>
              <w:spacing w:line="240" w:lineRule="auto"/>
            </w:pPr>
            <w:r/>
            <w:r>
              <w:rPr>
                <w:b w:val="0"/>
                <w:sz w:val="21"/>
              </w:rPr>
              <w:t>Observación</w:t>
            </w:r>
          </w:p>
        </w:tc>
      </w:tr>
      <w:tr>
        <w:trPr>
          <w:cantSplit w:val="true"/>
        </w:trPr>
        <w:tc>
          <w:tcPr>
            <w:tcW w:type="dxa" w:w="907"/>
          </w:tcPr>
          <w:p>
            <w:pPr>
              <w:spacing w:line="240" w:lineRule="auto" w:after="40"/>
            </w:pPr>
            <w:r/>
            <w:r>
              <w:rPr>
                <w:sz w:val="21"/>
              </w:rPr>
              <w:t>2022</w:t>
            </w:r>
          </w:p>
        </w:tc>
        <w:tc>
          <w:tcPr>
            <w:tcW w:type="dxa" w:w="2494"/>
          </w:tcPr>
          <w:p>
            <w:pPr>
              <w:spacing w:line="240" w:lineRule="auto" w:after="40"/>
            </w:pPr>
            <w:r/>
            <w:r>
              <w:rPr>
                <w:sz w:val="21"/>
              </w:rPr>
              <w:t>692 millones</w:t>
            </w:r>
          </w:p>
        </w:tc>
        <w:tc>
          <w:tcPr>
            <w:tcW w:type="dxa" w:w="2494"/>
          </w:tcPr>
          <w:p>
            <w:pPr>
              <w:spacing w:line="240" w:lineRule="auto" w:after="40"/>
            </w:pPr>
            <w:r/>
            <w:r>
              <w:rPr>
                <w:sz w:val="21"/>
              </w:rPr>
              <w:t>No reportado en las fuentes consultadas</w:t>
            </w:r>
          </w:p>
        </w:tc>
        <w:tc>
          <w:tcPr>
            <w:tcW w:type="dxa" w:w="3175"/>
          </w:tcPr>
          <w:p>
            <w:pPr>
              <w:spacing w:line="240" w:lineRule="auto" w:after="40"/>
            </w:pPr>
            <w:r/>
            <w:r>
              <w:rPr>
                <w:sz w:val="21"/>
              </w:rPr>
              <w:t>Año base de la serie</w:t>
            </w:r>
          </w:p>
        </w:tc>
      </w:tr>
      <w:tr>
        <w:trPr>
          <w:cantSplit w:val="true"/>
        </w:trPr>
        <w:tc>
          <w:tcPr>
            <w:tcW w:type="dxa" w:w="907"/>
          </w:tcPr>
          <w:p>
            <w:pPr>
              <w:spacing w:line="240" w:lineRule="auto" w:after="40"/>
            </w:pPr>
            <w:r/>
            <w:r>
              <w:rPr>
                <w:sz w:val="21"/>
              </w:rPr>
              <w:t>2023</w:t>
            </w:r>
          </w:p>
        </w:tc>
        <w:tc>
          <w:tcPr>
            <w:tcW w:type="dxa" w:w="2494"/>
          </w:tcPr>
          <w:p>
            <w:pPr>
              <w:spacing w:line="240" w:lineRule="auto" w:after="40"/>
            </w:pPr>
            <w:r/>
            <w:r>
              <w:rPr>
                <w:sz w:val="21"/>
              </w:rPr>
              <w:t>981 millones</w:t>
            </w:r>
          </w:p>
        </w:tc>
        <w:tc>
          <w:tcPr>
            <w:tcW w:type="dxa" w:w="2494"/>
          </w:tcPr>
          <w:p>
            <w:pPr>
              <w:spacing w:line="240" w:lineRule="auto" w:after="40"/>
            </w:pPr>
            <w:r/>
            <w:r>
              <w:rPr>
                <w:sz w:val="21"/>
              </w:rPr>
              <w:t>No reportado en las fuentes consultadas</w:t>
            </w:r>
          </w:p>
        </w:tc>
        <w:tc>
          <w:tcPr>
            <w:tcW w:type="dxa" w:w="3175"/>
          </w:tcPr>
          <w:p>
            <w:pPr>
              <w:spacing w:line="240" w:lineRule="auto" w:after="40"/>
            </w:pPr>
            <w:r/>
            <w:r>
              <w:rPr>
                <w:sz w:val="21"/>
              </w:rPr>
              <w:t>Crecimiento de 42 % frente a 2022</w:t>
            </w:r>
          </w:p>
        </w:tc>
      </w:tr>
      <w:tr>
        <w:trPr>
          <w:cantSplit w:val="true"/>
        </w:trPr>
        <w:tc>
          <w:tcPr>
            <w:tcW w:type="dxa" w:w="907"/>
          </w:tcPr>
          <w:p>
            <w:pPr>
              <w:spacing w:line="240" w:lineRule="auto" w:after="40"/>
            </w:pPr>
            <w:r/>
            <w:r>
              <w:rPr>
                <w:sz w:val="21"/>
              </w:rPr>
              <w:t>2024</w:t>
            </w:r>
          </w:p>
        </w:tc>
        <w:tc>
          <w:tcPr>
            <w:tcW w:type="dxa" w:w="2494"/>
          </w:tcPr>
          <w:p>
            <w:pPr>
              <w:spacing w:line="240" w:lineRule="auto" w:after="40"/>
            </w:pPr>
            <w:r/>
            <w:r>
              <w:rPr>
                <w:sz w:val="21"/>
              </w:rPr>
              <w:t>1.880 millones</w:t>
            </w:r>
          </w:p>
        </w:tc>
        <w:tc>
          <w:tcPr>
            <w:tcW w:type="dxa" w:w="2494"/>
          </w:tcPr>
          <w:p>
            <w:pPr>
              <w:spacing w:line="240" w:lineRule="auto" w:after="40"/>
            </w:pPr>
            <w:r/>
            <w:r>
              <w:rPr>
                <w:sz w:val="21"/>
              </w:rPr>
              <w:t>710 millones</w:t>
            </w:r>
          </w:p>
        </w:tc>
        <w:tc>
          <w:tcPr>
            <w:tcW w:type="dxa" w:w="3175"/>
          </w:tcPr>
          <w:p>
            <w:pPr>
              <w:spacing w:line="240" w:lineRule="auto" w:after="40"/>
            </w:pPr>
            <w:r/>
            <w:r>
              <w:rPr>
                <w:sz w:val="21"/>
              </w:rPr>
              <w:t>Los ingresos comerciales superan por primera vez los 1.000 millones</w:t>
            </w:r>
          </w:p>
        </w:tc>
      </w:tr>
      <w:tr>
        <w:trPr>
          <w:cantSplit w:val="true"/>
        </w:trPr>
        <w:tc>
          <w:tcPr>
            <w:tcW w:type="dxa" w:w="907"/>
          </w:tcPr>
          <w:p>
            <w:pPr>
              <w:spacing w:line="240" w:lineRule="auto" w:after="40"/>
            </w:pPr>
            <w:r/>
            <w:r>
              <w:rPr>
                <w:sz w:val="21"/>
              </w:rPr>
              <w:t>2025</w:t>
            </w:r>
          </w:p>
        </w:tc>
        <w:tc>
          <w:tcPr>
            <w:tcW w:type="dxa" w:w="2494"/>
          </w:tcPr>
          <w:p>
            <w:pPr>
              <w:spacing w:line="240" w:lineRule="auto" w:after="40"/>
            </w:pPr>
            <w:r/>
            <w:r>
              <w:rPr>
                <w:sz w:val="21"/>
              </w:rPr>
              <w:t>2.350 millones (proyectado)</w:t>
            </w:r>
          </w:p>
        </w:tc>
        <w:tc>
          <w:tcPr>
            <w:tcW w:type="dxa" w:w="2494"/>
          </w:tcPr>
          <w:p>
            <w:pPr>
              <w:spacing w:line="240" w:lineRule="auto" w:after="40"/>
            </w:pPr>
            <w:r/>
            <w:r>
              <w:rPr>
                <w:sz w:val="21"/>
              </w:rPr>
              <w:t>1.030 millones (proyectado)</w:t>
            </w:r>
          </w:p>
        </w:tc>
        <w:tc>
          <w:tcPr>
            <w:tcW w:type="dxa" w:w="3175"/>
          </w:tcPr>
          <w:p>
            <w:pPr>
              <w:spacing w:line="240" w:lineRule="auto" w:after="40"/>
            </w:pPr>
            <w:r/>
            <w:r>
              <w:rPr>
                <w:sz w:val="21"/>
              </w:rPr>
              <w:t>El baloncesto se proyecta por encima del fútbol</w:t>
            </w:r>
          </w:p>
        </w:tc>
      </w:tr>
    </w:tbl>
    <w:p>
      <w:pPr>
        <w:spacing w:line="240" w:lineRule="auto" w:before="80" w:after="240"/>
      </w:pPr>
      <w:r>
        <w:rPr>
          <w:i/>
          <w:sz w:val="20"/>
        </w:rPr>
        <w:t>Nota.</w:t>
      </w:r>
      <w:r>
        <w:rPr>
          <w:sz w:val="20"/>
        </w:rPr>
        <w:t xml:space="preserve"> Elaboración propia con ayuda de inteligencia artificial (IA) a partir de Deloitte (2025a, 2025b). Las cifras de 2025 son proyecciones publicadas en marzo de ese año. El crecimiento de 42 % es un cálculo propio (981 / 692). Los comunicados consultados no desagregan el ingreso por disciplina para 2022 y 2023.</w:t>
      </w:r>
    </w:p>
    <w:p>
      <w:pPr>
        <w:ind w:firstLine="720"/>
      </w:pPr>
      <w:r>
        <w:t>La Tabla 2 presenta las ediciones de la Liga Superior Femenina de Baloncesto registradas en las fuentes consultadas y su campeón.</w:t>
      </w:r>
    </w:p>
    <w:p>
      <w:pPr>
        <w:pStyle w:val="Caption"/>
      </w:pPr>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r>
        <w:br/>
      </w:r>
      <w:r>
        <w:rPr>
          <w:i/>
        </w:rPr>
        <w:t>Ediciones registradas de la Liga Superior Femenina de Baloncesto, 2020–2025</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907"/>
            <w:tcBorders>
              <w:bottom w:val="single" w:sz="6" w:color="000000"/>
            </w:tcBorders>
          </w:tcPr>
          <w:p>
            <w:pPr>
              <w:spacing w:line="240" w:lineRule="auto"/>
            </w:pPr>
            <w:r/>
            <w:r>
              <w:rPr>
                <w:b w:val="0"/>
                <w:sz w:val="21"/>
              </w:rPr>
              <w:t>Año</w:t>
            </w:r>
          </w:p>
        </w:tc>
        <w:tc>
          <w:tcPr>
            <w:tcW w:type="dxa" w:w="2608"/>
            <w:tcBorders>
              <w:bottom w:val="single" w:sz="6" w:color="000000"/>
            </w:tcBorders>
          </w:tcPr>
          <w:p>
            <w:pPr>
              <w:spacing w:line="240" w:lineRule="auto"/>
            </w:pPr>
            <w:r/>
            <w:r>
              <w:rPr>
                <w:b w:val="0"/>
                <w:sz w:val="21"/>
              </w:rPr>
              <w:t>Registro en las fuentes consultadas</w:t>
            </w:r>
          </w:p>
        </w:tc>
        <w:tc>
          <w:tcPr>
            <w:tcW w:type="dxa" w:w="2948"/>
            <w:tcBorders>
              <w:bottom w:val="single" w:sz="6" w:color="000000"/>
            </w:tcBorders>
          </w:tcPr>
          <w:p>
            <w:pPr>
              <w:spacing w:line="240" w:lineRule="auto"/>
            </w:pPr>
            <w:r/>
            <w:r>
              <w:rPr>
                <w:b w:val="0"/>
                <w:sz w:val="21"/>
              </w:rPr>
              <w:t>Campeón</w:t>
            </w:r>
          </w:p>
        </w:tc>
        <w:tc>
          <w:tcPr>
            <w:tcW w:type="dxa" w:w="2835"/>
            <w:tcBorders>
              <w:bottom w:val="single" w:sz="6" w:color="000000"/>
            </w:tcBorders>
          </w:tcPr>
          <w:p>
            <w:pPr>
              <w:spacing w:line="240" w:lineRule="auto"/>
            </w:pPr>
            <w:r/>
            <w:r>
              <w:rPr>
                <w:b w:val="0"/>
                <w:sz w:val="21"/>
              </w:rPr>
              <w:t>Fuente</w:t>
            </w:r>
          </w:p>
        </w:tc>
      </w:tr>
      <w:tr>
        <w:trPr>
          <w:cantSplit w:val="true"/>
        </w:trPr>
        <w:tc>
          <w:tcPr>
            <w:tcW w:type="dxa" w:w="907"/>
          </w:tcPr>
          <w:p>
            <w:pPr>
              <w:spacing w:line="240" w:lineRule="auto" w:after="40"/>
            </w:pPr>
            <w:r/>
            <w:r>
              <w:rPr>
                <w:sz w:val="21"/>
              </w:rPr>
              <w:t>2020</w:t>
            </w:r>
          </w:p>
        </w:tc>
        <w:tc>
          <w:tcPr>
            <w:tcW w:type="dxa" w:w="2608"/>
          </w:tcPr>
          <w:p>
            <w:pPr>
              <w:spacing w:line="240" w:lineRule="auto" w:after="40"/>
            </w:pPr>
            <w:r/>
            <w:r>
              <w:rPr>
                <w:sz w:val="21"/>
              </w:rPr>
              <w:t>Sí</w:t>
            </w:r>
          </w:p>
        </w:tc>
        <w:tc>
          <w:tcPr>
            <w:tcW w:type="dxa" w:w="2948"/>
          </w:tcPr>
          <w:p>
            <w:pPr>
              <w:spacing w:line="240" w:lineRule="auto" w:after="40"/>
            </w:pPr>
            <w:r/>
            <w:r>
              <w:rPr>
                <w:sz w:val="21"/>
              </w:rPr>
              <w:t>Leonas Inder Medellín</w:t>
            </w:r>
          </w:p>
        </w:tc>
        <w:tc>
          <w:tcPr>
            <w:tcW w:type="dxa" w:w="2835"/>
          </w:tcPr>
          <w:p>
            <w:pPr>
              <w:spacing w:line="240" w:lineRule="auto" w:after="40"/>
            </w:pPr>
            <w:r/>
            <w:r>
              <w:rPr>
                <w:sz w:val="21"/>
              </w:rPr>
              <w:t>(“Leonas de Medellín, campeonas”, 2020)</w:t>
            </w:r>
          </w:p>
        </w:tc>
      </w:tr>
      <w:tr>
        <w:trPr>
          <w:cantSplit w:val="true"/>
        </w:trPr>
        <w:tc>
          <w:tcPr>
            <w:tcW w:type="dxa" w:w="907"/>
          </w:tcPr>
          <w:p>
            <w:pPr>
              <w:spacing w:line="240" w:lineRule="auto" w:after="40"/>
            </w:pPr>
            <w:r/>
            <w:r>
              <w:rPr>
                <w:sz w:val="21"/>
              </w:rPr>
              <w:t>2021</w:t>
            </w:r>
          </w:p>
        </w:tc>
        <w:tc>
          <w:tcPr>
            <w:tcW w:type="dxa" w:w="2608"/>
          </w:tcPr>
          <w:p>
            <w:pPr>
              <w:spacing w:line="240" w:lineRule="auto" w:after="40"/>
            </w:pPr>
            <w:r/>
            <w:r>
              <w:rPr>
                <w:sz w:val="21"/>
              </w:rPr>
              <w:t>Sí</w:t>
            </w:r>
          </w:p>
        </w:tc>
        <w:tc>
          <w:tcPr>
            <w:tcW w:type="dxa" w:w="2948"/>
          </w:tcPr>
          <w:p>
            <w:pPr>
              <w:spacing w:line="240" w:lineRule="auto" w:after="40"/>
            </w:pPr>
            <w:r/>
            <w:r>
              <w:rPr>
                <w:sz w:val="21"/>
              </w:rPr>
              <w:t>Atlantas de Barranquilla</w:t>
            </w:r>
          </w:p>
        </w:tc>
        <w:tc>
          <w:tcPr>
            <w:tcW w:type="dxa" w:w="2835"/>
          </w:tcPr>
          <w:p>
            <w:pPr>
              <w:spacing w:line="240" w:lineRule="auto" w:after="40"/>
            </w:pPr>
            <w:r/>
            <w:r>
              <w:rPr>
                <w:sz w:val="21"/>
              </w:rPr>
              <w:t>(“Baloncesto colombiano”, 2021)</w:t>
            </w:r>
          </w:p>
        </w:tc>
      </w:tr>
      <w:tr>
        <w:trPr>
          <w:cantSplit w:val="true"/>
        </w:trPr>
        <w:tc>
          <w:tcPr>
            <w:tcW w:type="dxa" w:w="907"/>
          </w:tcPr>
          <w:p>
            <w:pPr>
              <w:spacing w:line="240" w:lineRule="auto" w:after="40"/>
            </w:pPr>
            <w:r/>
            <w:r>
              <w:rPr>
                <w:sz w:val="21"/>
              </w:rPr>
              <w:t>2022</w:t>
            </w:r>
          </w:p>
        </w:tc>
        <w:tc>
          <w:tcPr>
            <w:tcW w:type="dxa" w:w="2608"/>
          </w:tcPr>
          <w:p>
            <w:pPr>
              <w:spacing w:line="240" w:lineRule="auto" w:after="40"/>
            </w:pPr>
            <w:r/>
            <w:r>
              <w:rPr>
                <w:sz w:val="21"/>
              </w:rPr>
              <w:t>Sí</w:t>
            </w:r>
          </w:p>
        </w:tc>
        <w:tc>
          <w:tcPr>
            <w:tcW w:type="dxa" w:w="2948"/>
          </w:tcPr>
          <w:p>
            <w:pPr>
              <w:spacing w:line="240" w:lineRule="auto" w:after="40"/>
            </w:pPr>
            <w:r/>
            <w:r>
              <w:rPr>
                <w:sz w:val="21"/>
              </w:rPr>
              <w:t>Fiber Hormigas Indersantander</w:t>
            </w:r>
          </w:p>
        </w:tc>
        <w:tc>
          <w:tcPr>
            <w:tcW w:type="dxa" w:w="2835"/>
          </w:tcPr>
          <w:p>
            <w:pPr>
              <w:spacing w:line="240" w:lineRule="auto" w:after="40"/>
            </w:pPr>
            <w:r/>
            <w:r>
              <w:rPr>
                <w:sz w:val="21"/>
              </w:rPr>
              <w:t>(“¡Orgullo!”, 2022)</w:t>
            </w:r>
          </w:p>
        </w:tc>
      </w:tr>
      <w:tr>
        <w:trPr>
          <w:cantSplit w:val="true"/>
        </w:trPr>
        <w:tc>
          <w:tcPr>
            <w:tcW w:type="dxa" w:w="907"/>
          </w:tcPr>
          <w:p>
            <w:pPr>
              <w:spacing w:line="240" w:lineRule="auto" w:after="40"/>
            </w:pPr>
            <w:r/>
            <w:r>
              <w:rPr>
                <w:sz w:val="21"/>
              </w:rPr>
              <w:t>2023</w:t>
            </w:r>
          </w:p>
        </w:tc>
        <w:tc>
          <w:tcPr>
            <w:tcW w:type="dxa" w:w="2608"/>
          </w:tcPr>
          <w:p>
            <w:pPr>
              <w:spacing w:line="240" w:lineRule="auto" w:after="40"/>
            </w:pPr>
            <w:r/>
            <w:r>
              <w:rPr>
                <w:sz w:val="21"/>
              </w:rPr>
              <w:t>Sí</w:t>
            </w:r>
          </w:p>
        </w:tc>
        <w:tc>
          <w:tcPr>
            <w:tcW w:type="dxa" w:w="2948"/>
          </w:tcPr>
          <w:p>
            <w:pPr>
              <w:spacing w:line="240" w:lineRule="auto" w:after="40"/>
            </w:pPr>
            <w:r/>
            <w:r>
              <w:rPr>
                <w:sz w:val="21"/>
              </w:rPr>
              <w:t>Indeportes Antioquia</w:t>
            </w:r>
          </w:p>
        </w:tc>
        <w:tc>
          <w:tcPr>
            <w:tcW w:type="dxa" w:w="2835"/>
          </w:tcPr>
          <w:p>
            <w:pPr>
              <w:spacing w:line="240" w:lineRule="auto" w:after="40"/>
            </w:pPr>
            <w:r/>
            <w:r>
              <w:rPr>
                <w:sz w:val="21"/>
              </w:rPr>
              <w:t>(Latinbasket, s. f.)</w:t>
            </w:r>
          </w:p>
        </w:tc>
      </w:tr>
      <w:tr>
        <w:trPr>
          <w:cantSplit w:val="true"/>
        </w:trPr>
        <w:tc>
          <w:tcPr>
            <w:tcW w:type="dxa" w:w="907"/>
          </w:tcPr>
          <w:p>
            <w:pPr>
              <w:spacing w:line="240" w:lineRule="auto" w:after="40"/>
            </w:pPr>
            <w:r/>
            <w:r>
              <w:rPr>
                <w:sz w:val="21"/>
              </w:rPr>
              <w:t>2024</w:t>
            </w:r>
          </w:p>
        </w:tc>
        <w:tc>
          <w:tcPr>
            <w:tcW w:type="dxa" w:w="2608"/>
          </w:tcPr>
          <w:p>
            <w:pPr>
              <w:spacing w:line="240" w:lineRule="auto" w:after="40"/>
            </w:pPr>
            <w:r/>
            <w:r>
              <w:rPr>
                <w:sz w:val="21"/>
              </w:rPr>
              <w:t>No registrada</w:t>
            </w:r>
          </w:p>
        </w:tc>
        <w:tc>
          <w:tcPr>
            <w:tcW w:type="dxa" w:w="2948"/>
          </w:tcPr>
          <w:p>
            <w:pPr>
              <w:spacing w:line="240" w:lineRule="auto" w:after="40"/>
            </w:pPr>
            <w:r/>
            <w:r>
              <w:rPr>
                <w:sz w:val="21"/>
              </w:rPr>
              <w:t>No aplica</w:t>
            </w:r>
          </w:p>
        </w:tc>
        <w:tc>
          <w:tcPr>
            <w:tcW w:type="dxa" w:w="2835"/>
          </w:tcPr>
          <w:p>
            <w:pPr>
              <w:spacing w:line="240" w:lineRule="auto" w:after="40"/>
            </w:pPr>
            <w:r/>
            <w:r>
              <w:rPr>
                <w:sz w:val="21"/>
              </w:rPr>
              <w:t>(Latinbasket, s. f.)</w:t>
            </w:r>
          </w:p>
        </w:tc>
      </w:tr>
      <w:tr>
        <w:trPr>
          <w:cantSplit w:val="true"/>
        </w:trPr>
        <w:tc>
          <w:tcPr>
            <w:tcW w:type="dxa" w:w="907"/>
          </w:tcPr>
          <w:p>
            <w:pPr>
              <w:spacing w:line="240" w:lineRule="auto" w:after="40"/>
            </w:pPr>
            <w:r/>
            <w:r>
              <w:rPr>
                <w:sz w:val="21"/>
              </w:rPr>
              <w:t>2025</w:t>
            </w:r>
          </w:p>
        </w:tc>
        <w:tc>
          <w:tcPr>
            <w:tcW w:type="dxa" w:w="2608"/>
          </w:tcPr>
          <w:p>
            <w:pPr>
              <w:spacing w:line="240" w:lineRule="auto" w:after="40"/>
            </w:pPr>
            <w:r/>
            <w:r>
              <w:rPr>
                <w:sz w:val="21"/>
              </w:rPr>
              <w:t>No registrada</w:t>
            </w:r>
          </w:p>
        </w:tc>
        <w:tc>
          <w:tcPr>
            <w:tcW w:type="dxa" w:w="2948"/>
          </w:tcPr>
          <w:p>
            <w:pPr>
              <w:spacing w:line="240" w:lineRule="auto" w:after="40"/>
            </w:pPr>
            <w:r/>
            <w:r>
              <w:rPr>
                <w:sz w:val="21"/>
              </w:rPr>
              <w:t>No aplica</w:t>
            </w:r>
          </w:p>
        </w:tc>
        <w:tc>
          <w:tcPr>
            <w:tcW w:type="dxa" w:w="2835"/>
          </w:tcPr>
          <w:p>
            <w:pPr>
              <w:spacing w:line="240" w:lineRule="auto" w:after="40"/>
            </w:pPr>
            <w:r/>
            <w:r>
              <w:rPr>
                <w:sz w:val="21"/>
              </w:rPr>
              <w:t>(Latinbasket, s. f.)</w:t>
            </w:r>
          </w:p>
        </w:tc>
      </w:tr>
    </w:tbl>
    <w:p>
      <w:pPr>
        <w:spacing w:line="240" w:lineRule="auto" w:before="80" w:after="240"/>
      </w:pPr>
      <w:r>
        <w:rPr>
          <w:i/>
          <w:sz w:val="20"/>
        </w:rPr>
        <w:t>Nota.</w:t>
      </w:r>
      <w:r>
        <w:rPr>
          <w:sz w:val="20"/>
        </w:rPr>
        <w:t xml:space="preserve"> Elaboración propia con ayuda de IA. La tabla incluye 2020 y 2021 como contexto, aunque el periodo de estudio es 2022–2025. La ausencia de registro en 2024 y 2025 no equivale a una confirmación oficial de que el certamen no se haya disputado; verificarlo ante la Federación Colombiana de Baloncesto es la primera tarea del objetivo específico 1.</w:t>
      </w:r>
    </w:p>
    <w:p>
      <w:pPr>
        <w:ind w:firstLine="720"/>
      </w:pPr>
      <w:r>
        <w:t>Finalmente, la Tabla 3 presenta el SMLMV durante el periodo de estudio, que se empleará como unidad de referencia para interpretar las remuneraciones que se logre documentar.</w:t>
      </w:r>
    </w:p>
    <w:p>
      <w:pPr>
        <w:pStyle w:val="Caption"/>
      </w:pPr>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r>
        <w:br/>
      </w:r>
      <w:r>
        <w:rPr>
          <w:i/>
        </w:rPr>
        <w:t>Salario mínimo legal mensual vigente en Colombia, 2022–2025</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1134"/>
            <w:tcBorders>
              <w:bottom w:val="single" w:sz="6" w:color="000000"/>
            </w:tcBorders>
          </w:tcPr>
          <w:p>
            <w:pPr>
              <w:spacing w:line="240" w:lineRule="auto"/>
            </w:pPr>
            <w:r/>
            <w:r>
              <w:rPr>
                <w:b w:val="0"/>
                <w:sz w:val="21"/>
              </w:rPr>
              <w:t>Año</w:t>
            </w:r>
          </w:p>
        </w:tc>
        <w:tc>
          <w:tcPr>
            <w:tcW w:type="dxa" w:w="2835"/>
            <w:tcBorders>
              <w:bottom w:val="single" w:sz="6" w:color="000000"/>
            </w:tcBorders>
          </w:tcPr>
          <w:p>
            <w:pPr>
              <w:spacing w:line="240" w:lineRule="auto"/>
            </w:pPr>
            <w:r/>
            <w:r>
              <w:rPr>
                <w:b w:val="0"/>
                <w:sz w:val="21"/>
              </w:rPr>
              <w:t>SMLMV (pesos colombianos)</w:t>
            </w:r>
          </w:p>
        </w:tc>
        <w:tc>
          <w:tcPr>
            <w:tcW w:type="dxa" w:w="5102"/>
            <w:tcBorders>
              <w:bottom w:val="single" w:sz="6" w:color="000000"/>
            </w:tcBorders>
          </w:tcPr>
          <w:p>
            <w:pPr>
              <w:spacing w:line="240" w:lineRule="auto"/>
            </w:pPr>
            <w:r/>
            <w:r>
              <w:rPr>
                <w:b w:val="0"/>
                <w:sz w:val="21"/>
              </w:rPr>
              <w:t>Norma que lo fija</w:t>
            </w:r>
          </w:p>
        </w:tc>
      </w:tr>
      <w:tr>
        <w:trPr>
          <w:cantSplit w:val="true"/>
        </w:trPr>
        <w:tc>
          <w:tcPr>
            <w:tcW w:type="dxa" w:w="1134"/>
          </w:tcPr>
          <w:p>
            <w:pPr>
              <w:spacing w:line="240" w:lineRule="auto" w:after="40"/>
            </w:pPr>
            <w:r/>
            <w:r>
              <w:rPr>
                <w:sz w:val="21"/>
              </w:rPr>
              <w:t>2022</w:t>
            </w:r>
          </w:p>
        </w:tc>
        <w:tc>
          <w:tcPr>
            <w:tcW w:type="dxa" w:w="2835"/>
          </w:tcPr>
          <w:p>
            <w:pPr>
              <w:spacing w:line="240" w:lineRule="auto" w:after="40"/>
            </w:pPr>
            <w:r/>
            <w:r>
              <w:rPr>
                <w:sz w:val="21"/>
              </w:rPr>
              <w:t>1.000.000</w:t>
            </w:r>
          </w:p>
        </w:tc>
        <w:tc>
          <w:tcPr>
            <w:tcW w:type="dxa" w:w="5102"/>
          </w:tcPr>
          <w:p>
            <w:pPr>
              <w:spacing w:line="240" w:lineRule="auto" w:after="40"/>
            </w:pPr>
            <w:r/>
            <w:r>
              <w:rPr>
                <w:sz w:val="21"/>
              </w:rPr>
              <w:t>Decreto 1724 de 2021 (Presidencia de la República de Colombia, 2021)</w:t>
            </w:r>
          </w:p>
        </w:tc>
      </w:tr>
      <w:tr>
        <w:trPr>
          <w:cantSplit w:val="true"/>
        </w:trPr>
        <w:tc>
          <w:tcPr>
            <w:tcW w:type="dxa" w:w="1134"/>
          </w:tcPr>
          <w:p>
            <w:pPr>
              <w:spacing w:line="240" w:lineRule="auto" w:after="40"/>
            </w:pPr>
            <w:r/>
            <w:r>
              <w:rPr>
                <w:sz w:val="21"/>
              </w:rPr>
              <w:t>2023</w:t>
            </w:r>
          </w:p>
        </w:tc>
        <w:tc>
          <w:tcPr>
            <w:tcW w:type="dxa" w:w="2835"/>
          </w:tcPr>
          <w:p>
            <w:pPr>
              <w:spacing w:line="240" w:lineRule="auto" w:after="40"/>
            </w:pPr>
            <w:r/>
            <w:r>
              <w:rPr>
                <w:sz w:val="21"/>
              </w:rPr>
              <w:t>1.160.000</w:t>
            </w:r>
          </w:p>
        </w:tc>
        <w:tc>
          <w:tcPr>
            <w:tcW w:type="dxa" w:w="5102"/>
          </w:tcPr>
          <w:p>
            <w:pPr>
              <w:spacing w:line="240" w:lineRule="auto" w:after="40"/>
            </w:pPr>
            <w:r/>
            <w:r>
              <w:rPr>
                <w:sz w:val="21"/>
              </w:rPr>
              <w:t>Decreto 2613 de 2022 (Presidencia de la República de Colombia, 2022)</w:t>
            </w:r>
          </w:p>
        </w:tc>
      </w:tr>
      <w:tr>
        <w:trPr>
          <w:cantSplit w:val="true"/>
        </w:trPr>
        <w:tc>
          <w:tcPr>
            <w:tcW w:type="dxa" w:w="1134"/>
          </w:tcPr>
          <w:p>
            <w:pPr>
              <w:spacing w:line="240" w:lineRule="auto" w:after="40"/>
            </w:pPr>
            <w:r/>
            <w:r>
              <w:rPr>
                <w:sz w:val="21"/>
              </w:rPr>
              <w:t>2024</w:t>
            </w:r>
          </w:p>
        </w:tc>
        <w:tc>
          <w:tcPr>
            <w:tcW w:type="dxa" w:w="2835"/>
          </w:tcPr>
          <w:p>
            <w:pPr>
              <w:spacing w:line="240" w:lineRule="auto" w:after="40"/>
            </w:pPr>
            <w:r/>
            <w:r>
              <w:rPr>
                <w:sz w:val="21"/>
              </w:rPr>
              <w:t>1.300.000</w:t>
            </w:r>
          </w:p>
        </w:tc>
        <w:tc>
          <w:tcPr>
            <w:tcW w:type="dxa" w:w="5102"/>
          </w:tcPr>
          <w:p>
            <w:pPr>
              <w:spacing w:line="240" w:lineRule="auto" w:after="40"/>
            </w:pPr>
            <w:r/>
            <w:r>
              <w:rPr>
                <w:sz w:val="21"/>
              </w:rPr>
              <w:t>Decreto 2292 de 2023 (Presidencia de la República de Colombia, 2023)</w:t>
            </w:r>
          </w:p>
        </w:tc>
      </w:tr>
      <w:tr>
        <w:trPr>
          <w:cantSplit w:val="true"/>
        </w:trPr>
        <w:tc>
          <w:tcPr>
            <w:tcW w:type="dxa" w:w="1134"/>
          </w:tcPr>
          <w:p>
            <w:pPr>
              <w:spacing w:line="240" w:lineRule="auto" w:after="40"/>
            </w:pPr>
            <w:r/>
            <w:r>
              <w:rPr>
                <w:sz w:val="21"/>
              </w:rPr>
              <w:t>2025</w:t>
            </w:r>
          </w:p>
        </w:tc>
        <w:tc>
          <w:tcPr>
            <w:tcW w:type="dxa" w:w="2835"/>
          </w:tcPr>
          <w:p>
            <w:pPr>
              <w:spacing w:line="240" w:lineRule="auto" w:after="40"/>
            </w:pPr>
            <w:r/>
            <w:r>
              <w:rPr>
                <w:sz w:val="21"/>
              </w:rPr>
              <w:t>1.423.500</w:t>
            </w:r>
          </w:p>
        </w:tc>
        <w:tc>
          <w:tcPr>
            <w:tcW w:type="dxa" w:w="5102"/>
          </w:tcPr>
          <w:p>
            <w:pPr>
              <w:spacing w:line="240" w:lineRule="auto" w:after="40"/>
            </w:pPr>
            <w:r/>
            <w:r>
              <w:rPr>
                <w:sz w:val="21"/>
              </w:rPr>
              <w:t>Decreto 1572 de 2024 (Presidencia de la República de Colombia, 2024)</w:t>
            </w:r>
          </w:p>
        </w:tc>
      </w:tr>
    </w:tbl>
    <w:p>
      <w:pPr>
        <w:spacing w:line="240" w:lineRule="auto" w:before="80" w:after="240"/>
      </w:pPr>
      <w:r>
        <w:rPr>
          <w:i/>
          <w:sz w:val="20"/>
        </w:rPr>
        <w:t>Nota.</w:t>
      </w:r>
      <w:r>
        <w:rPr>
          <w:sz w:val="20"/>
        </w:rPr>
        <w:t xml:space="preserve"> Elaboración propia con ayuda de IA. No se incluye el auxilio de transporte.</w:t>
      </w:r>
    </w:p>
    <w:p>
      <w:pPr>
        <w:ind w:firstLine="720"/>
      </w:pPr>
      <w:r>
        <w:t>Los indicadores colombianos disponibles son escasos. De los cuatro años del periodo, solo 2022 y 2023 tienen una edición registrada de la liga femenina (Tabla 2). En el baloncesto masculino, solo siete de los 12 clubes con deportistas profesionales presentaron estados financieros del año 2022 (Ministerio del Deporte, 2023). Para los clubes femeninos no se identificó ninguna cifra pública de ingresos, presupuestos o salarios.</w:t>
      </w:r>
    </w:p>
    <w:p>
      <w:pPr>
        <w:pStyle w:val="Heading2"/>
      </w:pPr>
      <w:r>
        <w:t>Actores Afectados y Consecuencias</w:t>
      </w:r>
    </w:p>
    <w:p>
      <w:pPr>
        <w:ind w:firstLine="720"/>
      </w:pPr>
      <w:r>
        <w:t>El problema afecta de manera diferente a por lo menos cuatro tipos de actores.</w:t>
      </w:r>
    </w:p>
    <w:p>
      <w:pPr>
        <w:ind w:firstLine="720"/>
      </w:pPr>
      <w:r>
        <w:t>Las jugadoras son el grupo más perjudicado. La discontinuidad del calendario competitivo y la ausencia de información sobre remuneraciones dificultan la negociación individual y colectiva de sus condiciones laborales. En el fútbol femenino, disciplina para la que sí hay información, ya se han documentado atrasos en el pago de salarios (“Hay una ‘preocupante desigualdad’”, 2025).</w:t>
      </w:r>
    </w:p>
    <w:p>
      <w:pPr>
        <w:ind w:firstLine="720"/>
      </w:pPr>
      <w:r>
        <w:t>Los clubes y sus directivos no pueden comparar su estructura de costos con la de organizaciones semejantes ni proyectar escenarios financieros. Los clubes masculinos que denunciaron no tener acceso a los contratos de patrocinio de la división profesional (Rengifo, 2024) ilustran hasta qué punto la información económica del sector queda fuera del alcance de quienes deben decidir sobre la viabilidad de sus equipos.</w:t>
      </w:r>
    </w:p>
    <w:p>
      <w:pPr>
        <w:ind w:firstLine="720"/>
      </w:pPr>
      <w:r>
        <w:t>Las entidades públicas y las federaciones carecen de una línea de base para evaluar el impacto de sus transferencias. El Viceministerio del Deporte reconoció que el aporte de 2023 no parecía suficiente (“Así se jugará”, 2023), pero en la revisión realizada no se identificó un estudio que establezca cuánto cuesta sostener el certamen, lo que impide sustentar técnicamente un incremento presupuestal.</w:t>
      </w:r>
    </w:p>
    <w:p>
      <w:pPr>
        <w:ind w:firstLine="720"/>
      </w:pPr>
      <w:r>
        <w:t>Las empresas patrocinadoras, por último, no disponen de métricas públicas de audiencia, alcance ni retorno para este subsector, al menos en las fuentes revisadas. Con esa falta de datos, es probable que el patrocinio siga planteándose como acción de comunicación ligada a la responsabilidad social, como describen Torres-Romay y García-Mirón (2020), y no como inversión comercial sostenida.</w:t>
      </w:r>
    </w:p>
    <w:p>
      <w:pPr>
        <w:pStyle w:val="Heading2"/>
      </w:pPr>
      <w:r>
        <w:t>Vacío de Conocimiento</w:t>
      </w:r>
    </w:p>
    <w:p>
      <w:pPr>
        <w:ind w:firstLine="720"/>
      </w:pPr>
      <w:r>
        <w:t>La literatura internacional documenta con detalle la expansión de los ingresos del deporte femenino, el valor de sus derechos de transmisión y las características del patrocinio dirigido a esta rama (Deloitte, 2025a, 2025b; Torres-Romay y García-Mirón, 2020; WNBA, 2024). La prensa colombiana ha señalado que ese impacto global no se refleja en el mercado nacional (“El deporte femenino vive un auge global”, 2025), y existen diagnósticos parciales de las condiciones contractuales de las futbolistas del país (Sánchez, 2024). Sin embargo, la evidencia sobre los ingresos por patrocinio, los presupuestos de los clubes y los salarios de las jugadoras del baloncesto femenino de competencia nacional es limitada: en la revisión realizada no se identificaron estudios académicos ni reportes institucionales públicos que consoliden esas tres variables para el periodo 2022–2025.</w:t>
      </w:r>
    </w:p>
    <w:p>
      <w:pPr>
        <w:ind w:firstLine="720"/>
      </w:pPr>
      <w:r>
        <w:t>Este estudio es necesario porque, sin esa línea de base, cualquier política de desarrollo, propuesta de patrocinio o decisión de inversión sobre el baloncesto femenino colombiano se adopta sin sustento empírico. Construir el dato es, en este caso, la condición previa a cualquier propuesta de intervención.</w:t>
      </w:r>
    </w:p>
    <w:p>
      <w:pPr>
        <w:pStyle w:val="Heading2"/>
      </w:pPr>
      <w:r>
        <w:t>Delimitación del Problema</w:t>
      </w:r>
    </w:p>
    <w:p>
      <w:pPr>
        <w:ind w:firstLine="720"/>
      </w:pPr>
      <w:r>
        <w:t>El estudio se delimita en los siguientes términos. Qué: la evolución de tres variables económicas (ingresos por patrocinio, presupuestos de los clubes y remuneraciones de las jugadoras). En quiénes: los clubes y las jugadoras vinculados a los certámenes nacionales de baloncesto femenino, y las entidades que los financian, a saber, la Federación Colombiana de Baloncesto, el Ministerio del Deporte, las organizaciones deportivas departamentales y municipales y las empresas patrocinadoras. Dónde: en el territorio colombiano, con atención particular a los clubes con sede en Bogotá y Cundinamarca. En qué periodo: entre el 1 de enero de 2022 y el 31 de diciembre de 2025.</w:t>
      </w:r>
    </w:p>
    <w:p>
      <w:pPr>
        <w:ind w:firstLine="720"/>
      </w:pPr>
      <w:r>
        <w:t>En este trabajo, “baloncesto femenino de competencia nacional” designa los certámenes de clubes y ligas de rango nacional organizados con la Federación Colombiana de Baloncesto, como la Liga Superior Femenina de Baloncesto. El término no presupone que las jugadoras tengan contrato laboral formal. Se elige así porque, según el Ministerio del Deporte (2023), la Ley 181 de 1995 define el deporte profesional como el que admite competidores bajo remuneración, y el informe registra plantilla masculina únicamente en el baloncesto con clubes profesionales. Determinar si las jugadoras tienen contrato, y bajo qué modalidad, hace parte del objetivo específico 3.</w:t>
      </w:r>
    </w:p>
    <w:p>
      <w:pPr>
        <w:ind w:firstLine="720"/>
      </w:pPr>
      <w:r>
        <w:t>Quedan fuera del alcance el análisis de la visibilidad mediática y de las audiencias, el baloncesto femenino formativo y universitario, el baloncesto 3x3, la rama masculina considerada en sí misma (que se emplea únicamente como referencia de contexto) y la formulación de propuestas de intervención, que corresponden a una fase posterior.</w:t>
      </w:r>
    </w:p>
    <w:p>
      <w:pPr>
        <w:pStyle w:val="Heading1"/>
      </w:pPr>
      <w:r>
        <w:t>Pregunta de Investigación</w:t>
      </w:r>
    </w:p>
    <w:p>
      <w:pPr>
        <w:ind w:firstLine="720"/>
      </w:pPr>
      <w:r>
        <w:t>¿Cómo evolucionaron, según la información documental disponible, los ingresos por patrocinio, los presupuestos de los clubes y las remuneraciones de las jugadoras del baloncesto femenino de competencia nacional en Colombia durante el periodo 2022–2025?</w:t>
      </w:r>
    </w:p>
    <w:p>
      <w:pPr>
        <w:pStyle w:val="Heading1"/>
      </w:pPr>
      <w:r>
        <w:t>Objetivos</w:t>
      </w:r>
    </w:p>
    <w:p>
      <w:pPr>
        <w:pStyle w:val="Heading2"/>
      </w:pPr>
      <w:r>
        <w:t>Objetivo General</w:t>
      </w:r>
    </w:p>
    <w:p>
      <w:pPr>
        <w:ind w:firstLine="720"/>
      </w:pPr>
      <w:r>
        <w:t>Describir la evolución de los ingresos por patrocinio, los presupuestos de los clubes y las remuneraciones de las jugadoras del baloncesto femenino de competencia nacional en Colombia entre 2022 y 2025.</w:t>
      </w:r>
    </w:p>
    <w:p>
      <w:pPr>
        <w:pStyle w:val="Heading2"/>
      </w:pPr>
      <w:r>
        <w:t>Objetivos Específicos</w:t>
      </w:r>
    </w:p>
    <w:p>
      <w:r>
        <w:t>1. Determinar los certámenes nacionales de baloncesto femenino disputados en Colombia entre 2022 y 2025, los clubes que participaron y las entidades que los financiaron.</w:t>
      </w:r>
    </w:p>
    <w:p>
      <w:r>
        <w:t>2. Describir los ingresos por patrocinio y los presupuestos de los clubes que participaron en esos certámenes durante el periodo.</w:t>
      </w:r>
    </w:p>
    <w:p>
      <w:r>
        <w:t>3. Describir las remuneraciones y las modalidades de vinculación de las jugadoras de esos clubes durante el periodo.</w:t>
      </w:r>
    </w:p>
    <w:p>
      <w:r>
        <w:t>4. Establecer qué información económica del subsector es pública, cuál es parcial y cuál no existe o no es accesible.</w:t>
      </w:r>
    </w:p>
    <w:p>
      <w:pPr>
        <w:pStyle w:val="Heading1"/>
        <w:pageBreakBefore/>
      </w:pPr>
      <w:r>
        <w:t>Justificación</w:t>
      </w:r>
    </w:p>
    <w:p>
      <w:pPr>
        <w:ind w:firstLine="720"/>
      </w:pPr>
      <w:r>
        <w:t>La realización de esta investigación se justifica por su aporte teórico, social, práctico y disciplinar, y por su viabilidad en las condiciones de tiempo y recursos disponibles.</w:t>
      </w:r>
    </w:p>
    <w:p>
      <w:pPr>
        <w:pStyle w:val="Heading2"/>
      </w:pPr>
      <w:r>
        <w:t>Pertinencia Teórica</w:t>
      </w:r>
    </w:p>
    <w:p>
      <w:pPr>
        <w:ind w:firstLine="720"/>
      </w:pPr>
      <w:r>
        <w:t>Desde el punto de vista teórico, el estudio aporta evidencia empírica a un campo en el que gran parte de la información disponible describe mercados de altos ingresos. Deloitte (2025a) documentó que el 56 % de los ingresos globales del deporte femenino de 2024 provino de Norteamérica, lo que lleva a suponer que los datos sobre esta industria se concentran en un número reducido de mercados. Torres-Romay y García-Mirón (2020) hicieron un seguimiento de las principales empresas patrocinadoras del deporte femenino y un análisis de contenido de esos patrocinios; encontraron que la inversión en esta rama es inferior a la masculina y que el patrocinio se vincula con la comunicación de responsabilidad social de las empresas.</w:t>
      </w:r>
    </w:p>
    <w:p>
      <w:pPr>
        <w:ind w:firstLine="720"/>
      </w:pPr>
      <w:r>
        <w:t>Este trabajo se propone verificar si ese patrón se reproduce, se atenúa o se agudiza en un mercado emergente como el colombiano, y en una disciplina que a escala global lidera el crecimiento del sector pero que a escala nacional ocupa una posición subordinada frente al fútbol. Al documentar tres variables que hasta ahora no han sido consolidadas para el caso colombiano, el estudio atiende el vacío de conocimiento enunciado en la descripción del problema.</w:t>
      </w:r>
    </w:p>
    <w:p>
      <w:pPr>
        <w:pStyle w:val="Heading2"/>
      </w:pPr>
      <w:r>
        <w:t>Pertinencia Social</w:t>
      </w:r>
    </w:p>
    <w:p>
      <w:pPr>
        <w:ind w:firstLine="720"/>
      </w:pPr>
      <w:r>
        <w:t>Desde el punto de vista social, la investigación contribuye al debate sobre la equidad de género en el deporte colombiano al hacer visible una dimensión que suele quedar fuera de la discusión pública: la económica. Los beneficiarios directos son las jugadoras de baloncesto, para quienes la existencia de información verificable sobre remuneraciones y modalidades de contratación constituye un insumo de negociación.</w:t>
      </w:r>
    </w:p>
    <w:p>
      <w:pPr>
        <w:ind w:firstLine="720"/>
      </w:pPr>
      <w:r>
        <w:t>La experiencia del fútbol femenino colombiano ilustra el valor de ese tipo de evidencia. El análisis de 1.274 contratos realizado por la Superintendencia de Industria y Comercio permitió establecer que el 46 % de ellos se ubicaba entre 1 y 1,2 millones de pesos mensuales (Sánchez, 2024), y los informes gremiales posteriores han documentado incumplimientos en el pago de salarios y límites al número de contratos por club (“Hay una ‘preocupante desigualdad’”, 2025). Los beneficiarios indirectos son las niñas y jóvenes que practican la disciplina, para quienes un horizonte laboral documentado incide en la decisión de sostener un proceso deportivo de largo plazo, y las entidades públicas responsables del fomento del deporte femenino.</w:t>
      </w:r>
    </w:p>
    <w:p>
      <w:pPr>
        <w:pStyle w:val="Heading2"/>
      </w:pPr>
      <w:r>
        <w:t>Pertinencia Práctica</w:t>
      </w:r>
    </w:p>
    <w:p>
      <w:pPr>
        <w:ind w:firstLine="720"/>
      </w:pPr>
      <w:r>
        <w:t>Desde el punto de vista práctico, el estudio produce entregables concretos para la gestión. El primero es un inventario documentado de los certámenes nacionales femeninos y de sus fuentes de financiación entre 2022 y 2025. El segundo es una caracterización de los ingresos por patrocinio y de la estructura presupuestal de los clubes, que permitirá estimar órdenes de magnitud del costo de operación de un equipo. El tercero es un mapa de la información económica disponible, parcial o inexistente en el subsector.</w:t>
      </w:r>
    </w:p>
    <w:p>
      <w:pPr>
        <w:ind w:firstLine="720"/>
      </w:pPr>
      <w:r>
        <w:t>Estos productos responden a una necesidad expresada por los propios actores. El Viceministerio del Deporte manifestó su intención de servir de puente hacia el sector privado (“Así se jugará”, 2023), propósito que difícilmente puede materializarse sin información que permita valorar comercialmente el producto deportivo. La denuncia de cinco clubes profesionales sobre la imposibilidad de acceder a los contratos de patrocinio de la división profesional (Rengifo, 2024) muestra que la trazabilidad de la información económica es una demanda concreta del sector y no solo un ejercicio académico. El estudio no promete transformar la realidad del baloncesto femenino colombiano; su aporte es más acotado y verificable: construir la línea de base sin la cual ninguna intervención posterior puede evaluarse.</w:t>
      </w:r>
    </w:p>
    <w:p>
      <w:pPr>
        <w:pStyle w:val="Heading2"/>
      </w:pPr>
      <w:r>
        <w:t>Pertinencia Disciplinar</w:t>
      </w:r>
    </w:p>
    <w:p>
      <w:pPr>
        <w:ind w:firstLine="720"/>
      </w:pPr>
      <w:r>
        <w:t>Desde el punto de vista disciplinar, el trabajo se inscribe en el perfil profesional del programa de Administración Deportiva de la Universidad Distrital Francisco José de Caldas. El objeto de estudio (ingresos por patrocinio, presupuestos y remuneraciones de organizaciones deportivas) corresponde al núcleo de competencias del administrador deportivo: la gestión financiera, el mercadeo deportivo y la evaluación de viabilidad de proyectos.</w:t>
      </w:r>
    </w:p>
    <w:p>
      <w:pPr>
        <w:ind w:firstLine="720"/>
      </w:pPr>
      <w:r>
        <w:t>El marco normativo de las organizaciones analizadas también es disciplinar. La Ley 1445 de 2011 modificó los artículos 29 y 30 de la Ley 181 de 1995 (Congreso de la República de Colombia, 1995, 2011): estableció que los clubes con deportistas profesionales deben organizarse como corporaciones o asociaciones deportivas o como sociedades anónimas, y fijó para las disciplinas distintas del fútbol organizadas como sociedad anónima un capital suscrito y pagado no inferior a 100 salarios mínimos legales mensuales vigentes (Congreso de la República de Colombia, 2011). Analizar el cumplimiento y las implicaciones económicas de ese marco es una tarea propia de la administración deportiva.</w:t>
      </w:r>
    </w:p>
    <w:p>
      <w:pPr>
        <w:pStyle w:val="Heading2"/>
      </w:pPr>
      <w:r>
        <w:t>Viabilidad</w:t>
      </w:r>
    </w:p>
    <w:p>
      <w:pPr>
        <w:ind w:firstLine="720"/>
      </w:pPr>
      <w:r>
        <w:t>En cuanto a la viabilidad, el estudio es realizable en el tiempo y con los recursos disponibles. El diseño es documental y se apoya en fuentes de acceso público ya identificadas: normativa nacional consultable en los gestores normativos oficiales, publicaciones del Ministerio del Deporte y de la Federación Colombiana de Baloncesto, bases de datos estadísticas y archivos de prensa nacional e internacional.</w:t>
      </w:r>
    </w:p>
    <w:p>
      <w:pPr>
        <w:ind w:firstLine="720"/>
      </w:pPr>
      <w:r>
        <w:t>Se reconoce una limitación de partida: la información financiera de los clubes no es de publicación obligatoria, por lo que es previsible que la reconstrucción presupuestal resulte parcial. Para obtener los datos se prevén tres vías. Primero, la consulta de fuentes públicas: el Ministerio del Deporte, la Federación Colombiana de Baloncesto, bases de datos especializadas y prensa verificable. Segundo, derechos de petición dirigidos a las entidades públicas que financian los certámenes, para conocer los aportes y convenios del periodo. Tercero, solicitudes de información a los clubes, que no están obligados a responder. Cuando un dato no pueda obtenerse, se registrará como no disponible y esa ausencia se reportará como un resultado del estudio. Documentar con rigor qué información existe, cuál es inaccesible y cuál no se produce es, en sí mismo, un aporte relevante.</w:t>
      </w:r>
    </w:p>
    <w:p>
      <w:pPr>
        <w:pStyle w:val="Heading1"/>
        <w:pageBreakBefore/>
      </w:pPr>
      <w:r>
        <w:t>Antecedentes</w:t>
      </w:r>
    </w:p>
    <w:p>
      <w:pPr>
        <w:ind w:firstLine="720"/>
      </w:pPr>
      <w:r>
        <w:t>Esta revisión se organizó en dos escalas: primero la internacional, donde los datos sobre la economía del deporte femenino y el patrocinio deportivo son más abundantes, y después la nacional, donde los estudios existentes se concentran en el fútbol y no abordan el baloncesto femenino. En ambas escalas se presta atención especial a la brecha salarial entre el deporte masculino y el femenino.</w:t>
      </w:r>
    </w:p>
    <w:p>
      <w:pPr>
        <w:pStyle w:val="Heading2"/>
      </w:pPr>
      <w:r>
        <w:t>Antecedentes Internacionales: Economía del Deporte Femenino y Brecha Salarial</w:t>
      </w:r>
    </w:p>
    <w:p>
      <w:pPr>
        <w:ind w:firstLine="720"/>
      </w:pPr>
      <w:r>
        <w:t>Pérez Gázquez y Barquero-Ruiz (2024) analizaron, desde un enfoque jurídico-laboral y para el caso español, los avances y los retos pendientes en igualdad de género en el deporte profesional femenino, incluida la negociación colectiva en algunas disciplinas. Señalan que el deporte profesional femenino ha sido objeto de prácticas discriminatorias como la brecha retributiva y la infrarrepresentación en cargos directivos, que indirectamente se traducen en menor presencia en los medios y mayores obstáculos para acceder a recursos económicos y patrocinios. Es decir, la brecha salarial no es un fenómeno aislado, sino parte de un conjunto de desventajas que se refuerzan entre sí.</w:t>
      </w:r>
    </w:p>
    <w:p>
      <w:pPr>
        <w:ind w:firstLine="720"/>
      </w:pPr>
      <w:r>
        <w:t>Desde la misma perspectiva jurídico-laboral, Marín Malo (2024) parte de datos de organismos públicos nacionales y europeos para señalar que la desigualdad salarial por sexo es mayor en el deporte profesional que en otros sectores. Este tipo de estudios es útil para el presente trabajo porque muestra que documentar la brecha, como se propone en el objetivo específico 3, no basta: hace falta explicar de dónde viene, y ahí entra el patrocinio como variable explicativa.</w:t>
      </w:r>
    </w:p>
    <w:p>
      <w:pPr>
        <w:ind w:firstLine="720"/>
      </w:pPr>
      <w:r>
        <w:t>Sobre el patrocinio, Torres-Romay y García-Mirón (2020) hicieron un seguimiento de las principales empresas patrocinadoras del deporte femenino y un análisis de contenido de esos patrocinios. Encontraron que los éxitos deportivos femeninos parecen acompañarse de más patrocinios, pero que estos suponen una inversión inferior a la del deporte masculino, y que el patrocinio deportivo es una fórmula de comunicación fundamental en lo relativo a la responsabilidad social de las empresas. Este tema es uno de los dos pilares del marco teórico de este capítulo.</w:t>
      </w:r>
    </w:p>
    <w:p>
      <w:pPr>
        <w:pStyle w:val="Heading2"/>
      </w:pPr>
      <w:r>
        <w:t>Antecedentes Nacionales: El Caso Colombiano</w:t>
      </w:r>
    </w:p>
    <w:p>
      <w:pPr>
        <w:ind w:firstLine="720"/>
      </w:pPr>
      <w:r>
        <w:t>En Colombia, la investigación disponible sobre economía del deporte se ha hecho sobre el fútbol y no sobre el baloncesto, lo que confirma desde otro ángulo el vacío de conocimiento señalado. Los antecedentes que siguen no abordan el baloncesto femenino ni contextos locales de Bogotá; en la revisión realizada no se identificaron estudios de ese tipo.</w:t>
      </w:r>
    </w:p>
    <w:p>
      <w:pPr>
        <w:ind w:firstLine="720"/>
      </w:pPr>
      <w:r>
        <w:t>Marín y Rodríguez (2019), en su trabajo de grado para la Universidad Icesi, estudiaron la relación entre la salud financiera de los clubes y sus resultados deportivos en la liga de fútbol profesional colombiano entre 2014 y 2018, con datos de la Superintendencia de Sociedades y modelos econométricos. Aunque se hizo sobre fútbol masculino, su valor está en que confirma que en el país existe una tradición de análisis financiero de clubes profesionales que no se ha aplicado de manera sistemática ni al baloncesto ni a las ramas femeninas.</w:t>
      </w:r>
    </w:p>
    <w:p>
      <w:pPr>
        <w:ind w:firstLine="720"/>
      </w:pPr>
      <w:r>
        <w:t>Sobre el fútbol femenino, Martínez Mina et al. (2019) indagaron el panorama de la liga profesional femenina a partir de las narrativas de jugadoras que participaron en la segunda edición de la Liga Águila Femenina y de otras fuentes documentales. Sus resultados muestran asuntos relacionados con el salario, el tipo de contratación, la visibilidad en los medios y la estructura de la liga. Aunque se refiere a otra disciplina, documenta con jugadoras el tipo de información (salarios y modalidades de contratación) que en el baloncesto femenino colombiano no existe de forma sistematizada.</w:t>
      </w:r>
    </w:p>
    <w:p>
      <w:pPr>
        <w:ind w:firstLine="720"/>
      </w:pPr>
      <w:r>
        <w:t xml:space="preserve">El antecedente más cercano al objeto de estudio es un informe institucional. El Ministerio del Deporte (2023) publicó el </w:t>
      </w:r>
      <w:r>
        <w:rPr>
          <w:i/>
        </w:rPr>
        <w:t>Panorama financiero y laboral de clubes deportivos profesionales</w:t>
      </w:r>
      <w:r>
        <w:t>, con corte al 31 de diciembre de 2022. De los 54 clubes con deportistas profesionales, 12 eran de baloncesto. Solo siete de esos 12 presentaron estados financieros; sumados, reportaron activos por 3.403 millones de pesos, ingresos por 6.206 millones y una pérdida del ejercicio de 190 millones.</w:t>
      </w:r>
    </w:p>
    <w:p>
      <w:pPr>
        <w:ind w:firstLine="720"/>
      </w:pPr>
      <w:r>
        <w:t>El mismo informe indica que el fútbol cuenta con plantilla masculina y femenina, mientras que el baloncesto y el béisbol tienen solo plantilla masculina, y que las mujeres representaron el 7,3 % de los contratos de fútbol registrados. Además, el baloncesto no remitió la información de sus contratos laborales (Ministerio del Deporte, 2023). En otras palabras, un documento oficial no registra baloncesto femenino con contrato formal, lo que respalda el problema planteado y muestra que no se trata de un vacío exclusivamente académico.</w:t>
      </w:r>
    </w:p>
    <w:p>
      <w:pPr>
        <w:pStyle w:val="Heading2"/>
      </w:pPr>
      <w:r>
        <w:t>Síntesis del Vacío de Conocimiento</w:t>
      </w:r>
    </w:p>
    <w:p>
      <w:pPr>
        <w:ind w:firstLine="720"/>
      </w:pPr>
      <w:r>
        <w:t>Estos antecedentes muestran tres cosas. Primero, que la literatura internacional explica por qué existe una brecha económica de género en el deporte, con menor presencia en los medios, menor inversión en patrocinio y patrocinio ligado a la comunicación de responsabilidad social (Pérez Gázquez y Barquero-Ruiz, 2024; Torres-Romay y García-Mirón, 2020), pero no incluye evidencia del baloncesto femenino colombiano. Segundo, que en Colombia existe una base metodológica para analizar la salud financiera de clubes deportivos, aplicada casi por completo al fútbol (Marín y Rodríguez, 2019).</w:t>
      </w:r>
    </w:p>
    <w:p>
      <w:pPr>
        <w:ind w:firstLine="720"/>
      </w:pPr>
      <w:r>
        <w:t>Tercero, y lo más importante para este trabajo, que el Estado colombiano no registra en el informe revisado baloncesto femenino con contrato formal (Ministerio del Deporte, 2023), lo que convierte el vacío de conocimiento en un vacío también administrativo. Ningún antecedente revisado consolida ingresos por patrocinio, presupuestos y salarios para el baloncesto femenino de competencia nacional en el periodo 2022–2025, lo que confirma la pertinencia de la pregunta de investigación.</w:t>
      </w:r>
    </w:p>
    <w:p>
      <w:pPr>
        <w:pStyle w:val="Heading1"/>
        <w:pageBreakBefore/>
      </w:pPr>
      <w:r>
        <w:t>Referencia Teórica y Conceptual</w:t>
      </w:r>
    </w:p>
    <w:p>
      <w:pPr>
        <w:ind w:firstLine="720"/>
      </w:pPr>
      <w:r>
        <w:t>Para interpretar la información que se recoja, este trabajo se apoya en dos cuerpos teóricos complementarios: la economía del deporte, que explica la lógica financiera particular de los clubes deportivos, y la teoría del patrocinio deportivo, que explica cómo y por qué las empresas invierten en el deporte. A ellos se suman tres conceptos operativos (presupuesto y estados financieros, brecha económica de género y SMLMV) que se introdujeron en el glosario y aquí se desarrollan.</w:t>
      </w:r>
    </w:p>
    <w:p>
      <w:pPr>
        <w:pStyle w:val="Heading2"/>
      </w:pPr>
      <w:r>
        <w:t>La Economía del Deporte como Marco Interpretativo General</w:t>
      </w:r>
    </w:p>
    <w:p>
      <w:pPr>
        <w:ind w:firstLine="720"/>
      </w:pPr>
      <w:r>
        <w:t>Rodríguez Guerrero (2012) describe la economía del deporte como el estudio de las particularidades económicas que distinguen a la industria deportiva de otras industrias, entre ellas la necesidad de que existan varios competidores viables para que el producto, la competencia deportiva, tenga valor comercial. Esa particularidad es clave aquí: un club de baloncesto femenino no compite solo por ganar partidos, sino por seguir existiendo dentro de una liga que, como se documentó, ha operado con torneos cortos y sin ediciones registradas después de 2023 (Latinbasket, s. f.).</w:t>
      </w:r>
    </w:p>
    <w:p>
      <w:pPr>
        <w:ind w:firstLine="720"/>
      </w:pPr>
      <w:r>
        <w:t>En su revisión de la literatura sobre el diseño de las competencias deportivas, Szymanski (2003) recoge modelos en los que los clubes no necesariamente buscan maximizar utilidades como una empresa cualquiera, sino objetivos deportivos sujetos a una restricción financiera. Esta idea ofrece una lente para leer los datos conocidos. En 2022, los siete clubes profesionales de baloncesto que presentaron estados financieros tuvieron en conjunto una pérdida de 190 millones de pesos, y otros cinco clubes no los presentaron (Ministerio del Deporte, 2023). Desde esa lógica, no sería necesariamente un fracaso empresarial, sino un indicio de que el objetivo de estos clubes puede ser la permanencia deportiva más que la rentabilidad. Esta es una expectativa interpretativa, no un resultado, que la investigación explorará cuando analice los presupuestos de los clubes femeninos.</w:t>
      </w:r>
    </w:p>
    <w:p>
      <w:pPr>
        <w:pStyle w:val="Heading2"/>
      </w:pPr>
      <w:r>
        <w:t>Teoría del Patrocinio Deportivo</w:t>
      </w:r>
    </w:p>
    <w:p>
      <w:pPr>
        <w:ind w:firstLine="720"/>
      </w:pPr>
      <w:r>
        <w:t xml:space="preserve">El segundo pilar es la teoría del patrocinio deportivo. Meenaghan (1991) presenta el patrocinio como una forma de comunicación de mercadeo, versátil, que cumple funciones de otros elementos de la mezcla de comunicación, aunque patrocinadores y receptores pueden percibirlo como un proceso no del todo legítimo. Cornwell (1995) amplió la mirada con el concepto de </w:t>
      </w:r>
      <w:r>
        <w:rPr>
          <w:i/>
        </w:rPr>
        <w:t>sponsorship-linked marketing</w:t>
      </w:r>
      <w:r>
        <w:t>: el valor de un patrocinio no está solo en asociar una marca a un evento, sino en las acciones de mercadeo con las que la empresa explota esa asociación, como la publicidad conjunta, las activaciones o las promociones dirigidas al público del evento.</w:t>
      </w:r>
    </w:p>
    <w:p>
      <w:pPr>
        <w:ind w:firstLine="720"/>
      </w:pPr>
      <w:r>
        <w:t>Esta distinción importa porque el patrocinio del deporte femenino se describe como una fórmula ligada a la responsabilidad social de las empresas, con una inversión menor que la del deporte masculino (Torres-Romay y García-Mirón, 2020). Aplicada al caso colombiano, la teoría permite plantear una expectativa interpretativa, no un resultado: si existe patrocinio al baloncesto femenino colombiano, es probable que se presente bajo esa lógica y no como inversión comercial sostenida. En esa línea, la nota sobre la inversión de BetPlay en 2024 no menciona ningún torneo femenino de baloncesto (Cadena, 2024).</w:t>
      </w:r>
    </w:p>
    <w:p>
      <w:pPr>
        <w:pStyle w:val="Heading2"/>
      </w:pPr>
      <w:r>
        <w:t>Marco Conceptual: Presupuesto y Estados Financieros, Brecha Económica de Género y Salario Mínimo Legal Mensual Vigente</w:t>
      </w:r>
    </w:p>
    <w:p>
      <w:pPr>
        <w:ind w:firstLine="720"/>
      </w:pPr>
      <w:r>
        <w:t>El estudio requiere precisar tres conceptos operativos, introducidos en el glosario.</w:t>
      </w:r>
    </w:p>
    <w:p>
      <w:pPr>
        <w:ind w:firstLine="720"/>
      </w:pPr>
      <w:r>
        <w:t>Presupuesto y estados financieros. En este trabajo se distinguen dos conceptos. El presupuesto es el plan de ingresos y gastos que el club proyecta para un periodo. Los estados financieros muestran lo que el club efectivamente recibió y gastó, y son la fuente que usa el Ministerio del Deporte (2023) para vigilar a los clubes profesionales, con indicadores como el patrimonio líquido y el nivel de endeudamiento. Como los clubes de baloncesto femenino no publican su presupuesto, la investigación buscará primero el presupuesto proyectado cuando exista. Cuando no exista, usará los estados financieros o los aportes públicos reportados como aproximación al gasto ejecutado, y señalará en cada caso cuál de los dos conceptos está empleando.</w:t>
      </w:r>
    </w:p>
    <w:p>
      <w:pPr>
        <w:ind w:firstLine="720"/>
      </w:pPr>
      <w:r>
        <w:t>Brecha económica de género. Se entiende como la diferencia sistemática en inversión, remuneración y condiciones contractuales entre las ramas masculina y femenina de una misma disciplina. La literatura sobre patrocinio la documenta en términos de inversión (Torres-Romay y García-Mirón, 2020), y el trabajo de Martínez Mina et al. (2019) muestra, para las futbolistas colombianas, asuntos relacionados con el salario y el tipo de contratación. Vista desde la economía del deporte, la brecha no es solo cultural: también puede ser consecuencia de ligas con menos competidores, calendarios más cortos y menor cobertura mediática, condiciones que, a la luz de la idea de Rodríguez Guerrero (2012) de que el valor comercial de la competencia depende de que existan varios competidores viables, reducen el valor del producto deportivo y, con él, el interés de los patrocinadores.</w:t>
      </w:r>
    </w:p>
    <w:p>
      <w:pPr>
        <w:ind w:firstLine="720"/>
      </w:pPr>
      <w:r>
        <w:t>Salario mínimo legal mensual vigente. Se retoma como unidad de referencia (Presidencia de la República de Colombia, 2021, 2022, 2023, 2024), no porque exista una teoría económica específica detrás de esta cifra, sino porque es el punto de comparación disponible para interpretar cualquier remuneración que se logre documentar, dado que no existe información pública sobre los salarios de las jugadoras de baloncesto de competencia nacional.</w:t>
      </w:r>
    </w:p>
    <w:p>
      <w:pPr>
        <w:pStyle w:val="Heading2"/>
      </w:pPr>
      <w:r>
        <w:t>Síntesis de la Referencia Teórica y su Relación con la Pregunta de Investigación</w:t>
      </w:r>
    </w:p>
    <w:p>
      <w:pPr>
        <w:ind w:firstLine="720"/>
      </w:pPr>
      <w:r>
        <w:t>Juntas, la economía del deporte y la teoría del patrocinio deportivo ofrecen dos explicaciones complementarias para la pregunta de investigación: ¿cómo evolucionaron los ingresos por patrocinio, los presupuestos de los clubes y las remuneraciones de las jugadoras del baloncesto femenino de competencia nacional durante 2022–2025? Desde la economía del deporte, se espera encontrar clubes que operan con una lógica de permanencia deportiva antes que de rentabilidad financiera. Desde la teoría del patrocinio, se espera que la inversión privada, si existe, responda más a la responsabilidad social que al cálculo comercial.</w:t>
      </w:r>
    </w:p>
    <w:p>
      <w:pPr>
        <w:ind w:firstLine="720"/>
      </w:pPr>
      <w:r>
        <w:t>Ninguna de las dos teorías permite anticipar cifras ni resultados concretos, que corresponden a fases posteriores, pero ambas ofrecen un lenguaje conceptual coherente para interpretar la información que se recoja sobre certámenes, presupuestos y salarios.</w:t>
      </w:r>
    </w:p>
    <w:p>
      <w:pPr>
        <w:pStyle w:val="Heading1"/>
        <w:pageBreakBefore/>
      </w:pPr>
      <w:r>
        <w:t>Declaración de Uso de Inteligencia Artificial</w:t>
      </w:r>
    </w:p>
    <w:p>
      <w:pPr>
        <w:ind w:firstLine="720"/>
      </w:pPr>
      <w:r>
        <w:t>Los autores usaron Kiro, un asistente basado en inteligencia artificial, el 28 de octubre de 2026 para reescribir este documento a partir del borrador anterior y de los errores identificados en la rúbrica de evaluación, contrastar las citas del texto con la lista de referencias y las fuentes originales, y elaborar las Tablas 1 a 3. Los autores revisaron y validaron el contenido antes de entregarlo y asumen la responsabilidad por el trabajo.</w:t>
      </w:r>
    </w:p>
    <w:p>
      <w:pPr>
        <w:pStyle w:val="Heading1"/>
        <w:pageBreakBefore/>
      </w:pPr>
      <w:r>
        <w:t>Referencias</w:t>
      </w:r>
    </w:p>
    <w:p>
      <w:pPr>
        <w:spacing w:line="480" w:lineRule="auto"/>
        <w:ind w:left="720" w:hanging="720"/>
      </w:pPr>
      <w:r>
        <w:t xml:space="preserve">Así se jugará la Liga Superior Femenina de Baloncesto. (2023, 23 de mayo). </w:t>
      </w:r>
      <w:r>
        <w:rPr>
          <w:i/>
        </w:rPr>
        <w:t>El Espectador</w:t>
      </w:r>
      <w:r>
        <w:t>. https://www.elespectador.com/deportes/mas-deportes/asi-se-jugara-la-liga-superior-femenina-de-baloncesto/</w:t>
      </w:r>
    </w:p>
    <w:p>
      <w:pPr>
        <w:spacing w:line="480" w:lineRule="auto"/>
        <w:ind w:left="720" w:hanging="720"/>
      </w:pPr>
      <w:r>
        <w:t xml:space="preserve">Baloncesto colombiano: Atlantas se llevaron el título de la Liga Superior Femenina. (2021, 20 de diciembre). </w:t>
      </w:r>
      <w:r>
        <w:rPr>
          <w:i/>
        </w:rPr>
        <w:t>W Radio</w:t>
      </w:r>
      <w:r>
        <w:t>. https://www.wradio.com.co/2021/12/20/baloncesto-colombiano-atlantas-se-llevaron-el-titulo-de-la-liga-superior-femenina/</w:t>
      </w:r>
    </w:p>
    <w:p>
      <w:pPr>
        <w:spacing w:line="480" w:lineRule="auto"/>
        <w:ind w:left="720" w:hanging="720"/>
      </w:pPr>
      <w:r>
        <w:t xml:space="preserve">Cadena, N. (2024, 26 de noviembre). BetPlay y su relación con el deporte colombiano. </w:t>
      </w:r>
      <w:r>
        <w:rPr>
          <w:i/>
        </w:rPr>
        <w:t>Claro Sports</w:t>
      </w:r>
      <w:r>
        <w:t>. https://www.clarosports.com/colombia/actualidad-co/betplay-y-su-relacion-con-el-deporte-colombiano/</w:t>
      </w:r>
    </w:p>
    <w:p>
      <w:pPr>
        <w:spacing w:line="480" w:lineRule="auto"/>
        <w:ind w:left="720" w:hanging="720"/>
      </w:pPr>
      <w:r>
        <w:t xml:space="preserve">Congreso de la República de Colombia. (1995, 18 de enero). </w:t>
      </w:r>
      <w:r>
        <w:rPr>
          <w:i/>
        </w:rPr>
        <w:t>Ley 181 de 1995. Por la cual se dictan disposiciones para el fomento del deporte, la recreación, el aprovechamiento del tiempo libre y la Educación Física y se crea el Sistema Nacional del Deporte</w:t>
      </w:r>
      <w:r>
        <w:t>. Diario Oficial No. 41.679. https://www.funcionpublica.gov.co/eva/gestornormativo/norma.php?i=3424</w:t>
      </w:r>
    </w:p>
    <w:p>
      <w:pPr>
        <w:spacing w:line="480" w:lineRule="auto"/>
        <w:ind w:left="720" w:hanging="720"/>
      </w:pPr>
      <w:r>
        <w:t xml:space="preserve">Congreso de la República de Colombia. (2011, 12 de mayo). </w:t>
      </w:r>
      <w:r>
        <w:rPr>
          <w:i/>
        </w:rPr>
        <w:t>Ley 1445 de 2011. Por medio de la cual se modifica la Ley 181 de 1995, las disposiciones que resulten contrarias y se dictan otras disposiciones en relación con el deporte profesional</w:t>
      </w:r>
      <w:r>
        <w:t>. Diario Oficial No. 48.067. https://www.funcionpublica.gov.co/eva/gestornormativo/norma.php?i=42807</w:t>
      </w:r>
    </w:p>
    <w:p>
      <w:pPr>
        <w:spacing w:line="480" w:lineRule="auto"/>
        <w:ind w:left="720" w:hanging="720"/>
      </w:pPr>
      <w:r>
        <w:t xml:space="preserve">Cornwell, T. B. (1995). Sponsorship-linked marketing development. </w:t>
      </w:r>
      <w:r>
        <w:rPr>
          <w:i/>
        </w:rPr>
        <w:t>Sport Marketing Quarterly, 4</w:t>
      </w:r>
      <w:r>
        <w:t>(4), 13–24.</w:t>
      </w:r>
    </w:p>
    <w:p>
      <w:pPr>
        <w:spacing w:line="480" w:lineRule="auto"/>
        <w:ind w:left="720" w:hanging="720"/>
      </w:pPr>
      <w:r>
        <w:t xml:space="preserve">Deloitte. (2025a, 18 de marzo). </w:t>
      </w:r>
      <w:r>
        <w:rPr>
          <w:i/>
        </w:rPr>
        <w:t>Women’s elite sports exceed expectations as revenues forecasted to surpass $2.3 billion globally in 2025</w:t>
      </w:r>
      <w:r>
        <w:t xml:space="preserve"> [Comunicado de prensa]. https://www.deloitte.com/us/en/about/press-room/womens-elite-sports-exceed-expectations.html</w:t>
      </w:r>
    </w:p>
    <w:p>
      <w:pPr>
        <w:spacing w:line="480" w:lineRule="auto"/>
        <w:ind w:left="720" w:hanging="720"/>
      </w:pPr>
      <w:r>
        <w:t xml:space="preserve">Deloitte. (2025b, 18 de marzo). </w:t>
      </w:r>
      <w:r>
        <w:rPr>
          <w:i/>
        </w:rPr>
        <w:t>Women’s elite sports revenues to surpass US$2.35 billion in 2025</w:t>
      </w:r>
      <w:r>
        <w:t xml:space="preserve"> [Comunicado de prensa]. https://www.deloitte.com/uk/en/about/press-room/womens-elite-sports-revenues-to-surpass-us-dolar-two-point-three-five-billion-in-2025.html</w:t>
      </w:r>
    </w:p>
    <w:p>
      <w:pPr>
        <w:spacing w:line="480" w:lineRule="auto"/>
        <w:ind w:left="720" w:hanging="720"/>
      </w:pPr>
      <w:r>
        <w:t xml:space="preserve">El deporte femenino vive un auge global en inversión, visibilidad y patrocinio, pero en Colombia aún no se siente. (2025, 18 de julio). </w:t>
      </w:r>
      <w:r>
        <w:rPr>
          <w:i/>
        </w:rPr>
        <w:t>Semana</w:t>
      </w:r>
      <w:r>
        <w:t>. https://www.semana.com/economia/empresas/articulo/el-deporte-femenino-vive-un-auge-global-en-inversion-visibilidad-y-patrocinio-pero-en-colombia-eso-aun-no-se-siente/202531/</w:t>
      </w:r>
    </w:p>
    <w:p>
      <w:pPr>
        <w:spacing w:line="480" w:lineRule="auto"/>
        <w:ind w:left="720" w:hanging="720"/>
      </w:pPr>
      <w:r>
        <w:t xml:space="preserve">Este es el formato y los equipos que jugarán la Liga Profesional de Baloncesto en Colombia. (2024, 2 de octubre). </w:t>
      </w:r>
      <w:r>
        <w:rPr>
          <w:i/>
        </w:rPr>
        <w:t>Vanguardia</w:t>
      </w:r>
      <w:r>
        <w:t>. https://www.vanguardia.com/deportes/baloncesto/2024/10/02/sin-bucaros-y-titanes-asi-se-jugara-la-liga-profesional-de-baloncesto-en-colombia/</w:t>
      </w:r>
    </w:p>
    <w:p>
      <w:pPr>
        <w:spacing w:line="480" w:lineRule="auto"/>
        <w:ind w:left="720" w:hanging="720"/>
      </w:pPr>
      <w:r>
        <w:t xml:space="preserve">FIBA. (2025). </w:t>
      </w:r>
      <w:r>
        <w:rPr>
          <w:i/>
        </w:rPr>
        <w:t>FIBA AmeriCup Femenino 2025 – Perfil de equipo: Colombia</w:t>
      </w:r>
      <w:r>
        <w:t>. https://www.fiba.basketball/es/events/fiba-womens-americup-2025/news/fiba-womens-americup-2025-team-profile-colombia</w:t>
      </w:r>
    </w:p>
    <w:p>
      <w:pPr>
        <w:spacing w:line="480" w:lineRule="auto"/>
        <w:ind w:left="720" w:hanging="720"/>
      </w:pPr>
      <w:r>
        <w:t xml:space="preserve">Hay una “preocupante desigualdad” en la Liga Femenina: revelador informe sobre los contratos de las jugadoras en 2025. (2025, 19 de noviembre). </w:t>
      </w:r>
      <w:r>
        <w:rPr>
          <w:i/>
        </w:rPr>
        <w:t>Infobae</w:t>
      </w:r>
      <w:r>
        <w:t>. https://www.infobae.com/colombia/deportes/2025/11/19/hay-una-preocupante-desigualdad-en-la-liga-femenina-revelador-informe-sobre-los-contratos-de-las-jugadoras-en-2025/</w:t>
      </w:r>
    </w:p>
    <w:p>
      <w:pPr>
        <w:spacing w:line="480" w:lineRule="auto"/>
        <w:ind w:left="720" w:hanging="720"/>
      </w:pPr>
      <w:r>
        <w:t xml:space="preserve">Latinbasket. (s. f.). </w:t>
      </w:r>
      <w:r>
        <w:rPr>
          <w:i/>
        </w:rPr>
        <w:t>Colombian Liga Superior de Baloncesto Femenino basketball, news, teams, scores, stats, standings, awards</w:t>
      </w:r>
      <w:r>
        <w:t>. Recuperado el 28 de octubre de 2026, de https://www.latinbasket.com/Colombia/Liga-Superior-de-Baloncesto-Femenino.aspx?women=1</w:t>
      </w:r>
    </w:p>
    <w:p>
      <w:pPr>
        <w:spacing w:line="480" w:lineRule="auto"/>
        <w:ind w:left="720" w:hanging="720"/>
      </w:pPr>
      <w:r>
        <w:t xml:space="preserve">Leonas de Medellín, campeonas de la Liga Superior de Baloncesto. (2020, 2 de diciembre). </w:t>
      </w:r>
      <w:r>
        <w:rPr>
          <w:i/>
        </w:rPr>
        <w:t>Antena 2</w:t>
      </w:r>
      <w:r>
        <w:t>. https://www.antena2.com/baloncesto/leonas-de-medellin-campeonas-de-la-liga-superior-de-baloncesto-femenino</w:t>
      </w:r>
    </w:p>
    <w:p>
      <w:pPr>
        <w:spacing w:line="480" w:lineRule="auto"/>
        <w:ind w:left="720" w:hanging="720"/>
      </w:pPr>
      <w:r>
        <w:t xml:space="preserve">Marín, J. R., y Rodríguez, N. (2019). </w:t>
      </w:r>
      <w:r>
        <w:rPr>
          <w:i/>
        </w:rPr>
        <w:t>Salud financiera y resultados en la liga de fútbol profesional colombiano</w:t>
      </w:r>
      <w:r>
        <w:t xml:space="preserve"> [Trabajo de grado, Universidad Icesi]. Repositorio Institucional Icesi. https://repository.icesi.edu.co/server/api/core/bitstreams/23b067ba-b800-4b53-b558-4607362e9c47/content</w:t>
      </w:r>
    </w:p>
    <w:p>
      <w:pPr>
        <w:spacing w:line="480" w:lineRule="auto"/>
        <w:ind w:left="720" w:hanging="720"/>
      </w:pPr>
      <w:r>
        <w:t xml:space="preserve">Marín Malo, M. (2024). La desigualdad salarial de la mujer en el deporte profesional. </w:t>
      </w:r>
      <w:r>
        <w:rPr>
          <w:i/>
        </w:rPr>
        <w:t>Documentación Laboral</w:t>
      </w:r>
      <w:r>
        <w:t>, (131), 77–94. https://dialnet.unirioja.es/servlet/articulo?codigo=9603311</w:t>
      </w:r>
    </w:p>
    <w:p>
      <w:pPr>
        <w:spacing w:line="480" w:lineRule="auto"/>
        <w:ind w:left="720" w:hanging="720"/>
      </w:pPr>
      <w:r>
        <w:t xml:space="preserve">Martínez Mina, C. Y., Goellner, S., y Orozco Rodríguez, A. M. (2019). Fútbol y mujeres: el panorama de la Liga Profesional Femenina de Fútbol de Colombia. </w:t>
      </w:r>
      <w:r>
        <w:rPr>
          <w:i/>
        </w:rPr>
        <w:t>Educación Física y Deporte, 38</w:t>
      </w:r>
      <w:r>
        <w:t>(1), 53–90. https://doi.org/10.17533/udea.efyd.v38n1a03</w:t>
      </w:r>
    </w:p>
    <w:p>
      <w:pPr>
        <w:spacing w:line="480" w:lineRule="auto"/>
        <w:ind w:left="720" w:hanging="720"/>
      </w:pPr>
      <w:r>
        <w:t xml:space="preserve">Meenaghan, T. (1991). Sponsorship – Legitimising the medium. </w:t>
      </w:r>
      <w:r>
        <w:rPr>
          <w:i/>
        </w:rPr>
        <w:t>European Journal of Marketing, 25</w:t>
      </w:r>
      <w:r>
        <w:t>(11), 5–10. https://doi.org/10.1108/EUM0000000000627</w:t>
      </w:r>
    </w:p>
    <w:p>
      <w:pPr>
        <w:spacing w:line="480" w:lineRule="auto"/>
        <w:ind w:left="720" w:hanging="720"/>
      </w:pPr>
      <w:r>
        <w:t xml:space="preserve">Ministerio del Deporte. (2023, agosto). </w:t>
      </w:r>
      <w:r>
        <w:rPr>
          <w:i/>
        </w:rPr>
        <w:t>Panorama financiero y laboral de clubes deportivos profesionales: Corte 31 de diciembre de 2022</w:t>
      </w:r>
      <w:r>
        <w:t>. https://www.mindeporte.gov.co/files/a08e369c-1d90-45dc-8608-41d9e6317bb9/a08e4577-b21c-403e-9fdc-7143ac1bfd46/Panorama-Financiero-y-Laboral-Clubes-Profesionales1.pdf</w:t>
      </w:r>
    </w:p>
    <w:p>
      <w:pPr>
        <w:spacing w:line="480" w:lineRule="auto"/>
        <w:ind w:left="720" w:hanging="720"/>
      </w:pPr>
      <w:r>
        <w:t xml:space="preserve">¡Orgullo! Fiber Hormigas Indersantander, campeón de la Liga de Baloncesto femenino. (2022, 29 de agosto). </w:t>
      </w:r>
      <w:r>
        <w:rPr>
          <w:i/>
        </w:rPr>
        <w:t>Vanguardia</w:t>
      </w:r>
      <w:r>
        <w:t>. https://www.vanguardia.com/deportes/baloncesto/2022/08/29/orgullo-fiber-hormigas-indersantander-campeon-de-la-liga-de-baloncesto-femenino/</w:t>
      </w:r>
    </w:p>
    <w:p>
      <w:pPr>
        <w:spacing w:line="480" w:lineRule="auto"/>
        <w:ind w:left="720" w:hanging="720"/>
      </w:pPr>
      <w:r>
        <w:t xml:space="preserve">Pérez Gázquez, I. M., y Barquero-Ruiz, C. (2024). Igualdad de género en el deporte profesional femenino. Avances y retos pendientes. </w:t>
      </w:r>
      <w:r>
        <w:rPr>
          <w:i/>
        </w:rPr>
        <w:t>Cultura, Ciencia y Deporte, 19</w:t>
      </w:r>
      <w:r>
        <w:t>(59), 35–43. https://ccd.ucam.edu/visores/19_59/2113_S_CCD/index.html</w:t>
      </w:r>
    </w:p>
    <w:p>
      <w:pPr>
        <w:spacing w:line="480" w:lineRule="auto"/>
        <w:ind w:left="720" w:hanging="720"/>
      </w:pPr>
      <w:r>
        <w:t xml:space="preserve">Presidencia de la República de Colombia. (2021, 15 de diciembre). </w:t>
      </w:r>
      <w:r>
        <w:rPr>
          <w:i/>
        </w:rPr>
        <w:t>Decreto 1724 de 2021. Por el cual se fija el salario mínimo mensual legal</w:t>
      </w:r>
      <w:r>
        <w:t>. Diario Oficial No. 51.889. https://www.funcionpublica.gov.co/eva/gestornormativo/norma.php?i=174267</w:t>
      </w:r>
    </w:p>
    <w:p>
      <w:pPr>
        <w:spacing w:line="480" w:lineRule="auto"/>
        <w:ind w:left="720" w:hanging="720"/>
      </w:pPr>
      <w:r>
        <w:t xml:space="preserve">Presidencia de la República de Colombia. (2022, 28 de diciembre). </w:t>
      </w:r>
      <w:r>
        <w:rPr>
          <w:i/>
        </w:rPr>
        <w:t>Decreto 2613 de 2022. Por el cual se fija el salario mínimo mensual legal</w:t>
      </w:r>
      <w:r>
        <w:t>. Diario Oficial No. 52.261. https://www.funcionpublica.gov.co/eva/gestornormativo/norma.php?i=200172</w:t>
      </w:r>
    </w:p>
    <w:p>
      <w:pPr>
        <w:spacing w:line="480" w:lineRule="auto"/>
        <w:ind w:left="720" w:hanging="720"/>
      </w:pPr>
      <w:r>
        <w:t xml:space="preserve">Presidencia de la República de Colombia. (2023, 29 de diciembre). </w:t>
      </w:r>
      <w:r>
        <w:rPr>
          <w:i/>
        </w:rPr>
        <w:t>Decreto 2292 de 2023. Por el cual se fija el salario mínimo mensual legal</w:t>
      </w:r>
      <w:r>
        <w:t>. https://www.funcionpublica.gov.co/eva/gestornormativo/norma.php?i=227530</w:t>
      </w:r>
    </w:p>
    <w:p>
      <w:pPr>
        <w:spacing w:line="480" w:lineRule="auto"/>
        <w:ind w:left="720" w:hanging="720"/>
      </w:pPr>
      <w:r>
        <w:t xml:space="preserve">Presidencia de la República de Colombia. (2024, 24 de diciembre). </w:t>
      </w:r>
      <w:r>
        <w:rPr>
          <w:i/>
        </w:rPr>
        <w:t>Decreto 1572 de 2024. Por el cual se fija el salario mínimo mensual legal</w:t>
      </w:r>
      <w:r>
        <w:t>. https://www.funcionpublica.gov.co/eva/gestornormativo/norma.php?i=257156</w:t>
      </w:r>
    </w:p>
    <w:p>
      <w:pPr>
        <w:spacing w:line="480" w:lineRule="auto"/>
        <w:ind w:left="720" w:hanging="720"/>
      </w:pPr>
      <w:r>
        <w:t xml:space="preserve">Rengifo, L. A. (2024, 29 de enero). Sismo en el baloncesto colombiano: clubes exigen cuentas claras a la Federación. </w:t>
      </w:r>
      <w:r>
        <w:rPr>
          <w:i/>
        </w:rPr>
        <w:t>El Tiempo</w:t>
      </w:r>
      <w:r>
        <w:t>. https://www.eltiempo.com/deportes/otros-deportes/clubes-de-baloncesto-colombiano-exigen-claridad-a-la-federacion-849402</w:t>
      </w:r>
    </w:p>
    <w:p>
      <w:pPr>
        <w:spacing w:line="480" w:lineRule="auto"/>
        <w:ind w:left="720" w:hanging="720"/>
      </w:pPr>
      <w:r>
        <w:t xml:space="preserve">Rodríguez Guerrero, P. (2012). La economía del deporte. </w:t>
      </w:r>
      <w:r>
        <w:rPr>
          <w:i/>
        </w:rPr>
        <w:t>Estudios de Economía Aplicada, 30</w:t>
      </w:r>
      <w:r>
        <w:t>(2), 387–418. https://dialnet.unirioja.es/servlet/articulo?codigo=4025381</w:t>
      </w:r>
    </w:p>
    <w:p>
      <w:pPr>
        <w:spacing w:line="480" w:lineRule="auto"/>
        <w:ind w:left="720" w:hanging="720"/>
      </w:pPr>
      <w:r>
        <w:t xml:space="preserve">Sánchez, N. (2024, 23 de junio). La Dimayor habría rechazado recursos del gobierno Petro para la Liga Femenina. </w:t>
      </w:r>
      <w:r>
        <w:rPr>
          <w:i/>
        </w:rPr>
        <w:t>Vorágine</w:t>
      </w:r>
      <w:r>
        <w:t>. https://voragine.co/historias/investigacion/la-dimayor-habria-rechazado-recursos-del-gobierno-petro-para-la-liga-femenina/</w:t>
      </w:r>
    </w:p>
    <w:p>
      <w:pPr>
        <w:spacing w:line="480" w:lineRule="auto"/>
        <w:ind w:left="720" w:hanging="720"/>
      </w:pPr>
      <w:r>
        <w:t xml:space="preserve">Szymanski, S. (2003). The economic design of sporting contests. </w:t>
      </w:r>
      <w:r>
        <w:rPr>
          <w:i/>
        </w:rPr>
        <w:t>Journal of Economic Literature, 41</w:t>
      </w:r>
      <w:r>
        <w:t>(4), 1137–1187. https://doi.org/10.1257/jel.41.4.1137</w:t>
      </w:r>
    </w:p>
    <w:p>
      <w:pPr>
        <w:spacing w:line="480" w:lineRule="auto"/>
        <w:ind w:left="720" w:hanging="720"/>
      </w:pPr>
      <w:r>
        <w:t xml:space="preserve">Torres-Romay, E., y García-Mirón, S. (2020). Patrocinio deportivo femenino. Situación actual y tendencias. </w:t>
      </w:r>
      <w:r>
        <w:rPr>
          <w:i/>
        </w:rPr>
        <w:t>Comunicación y Género, 3</w:t>
      </w:r>
      <w:r>
        <w:t>(2), 125–137. https://doi.org/10.5209/cgen.70373</w:t>
      </w:r>
    </w:p>
    <w:p>
      <w:pPr>
        <w:spacing w:line="480" w:lineRule="auto"/>
        <w:ind w:left="720" w:hanging="720"/>
      </w:pPr>
      <w:r>
        <w:t xml:space="preserve">WNBA. (2024, 24 de julio). </w:t>
      </w:r>
      <w:r>
        <w:rPr>
          <w:i/>
        </w:rPr>
        <w:t>WNBA secures landmark media rights deals with The Walt Disney Company, Amazon Prime Video and NBCUniversal</w:t>
      </w:r>
      <w:r>
        <w:t xml:space="preserve"> [Comunicado de prensa]. https://www.wnba.com/news/media-rights-deal-disney-prime-nbc</w:t>
      </w:r>
    </w:p>
    <w:p>
      <w:pPr>
        <w:spacing w:line="480" w:lineRule="auto"/>
        <w:ind w:left="720" w:hanging="720"/>
      </w:pPr>
      <w:r>
        <w:t xml:space="preserve">WNBA secures ‘monumental’ media deal with Disney, Amazon, NBCU. (2024, 24 de julio). </w:t>
      </w:r>
      <w:r>
        <w:rPr>
          <w:i/>
        </w:rPr>
        <w:t>ESPN</w:t>
      </w:r>
      <w:r>
        <w:t>. https://www.espn.com/wnba/story/_/id/40634341/wnba-secures-monumental-media-deal-disney-amazon-nbcu</w:t>
      </w:r>
    </w:p>
    <w:sectPr w:rsidR="00FC693F" w:rsidRPr="0006063C" w:rsidSect="00034616">
      <w:headerReference w:type="default" r:id="rId9"/>
      <w:headerReference w:type="firs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 PAGE </w:instrText>
    </w:r>
    <w:r>
      <w:fldChar w:fldCharType="separate"/>
    </w:r>
    <w:r>
      <w:t>2</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48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40" w:after="120"/>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76" w:lineRule="auto" w:after="60"/>
      <w:ind w:left="0"/>
    </w:pPr>
    <w:rPr>
      <w:rFonts w:ascii="Times New Roman" w:hAnsi="Times New Roman" w:eastAsia="Times New Roman" w:cs="Times New Roman"/>
      <w:color w:val="000000"/>
      <w:sz w:val="24"/>
    </w:rPr>
  </w:style>
  <w:style w:type="paragraph" w:customStyle="1" w:styleId="toc2">
    <w:name w:val="toc 2"/>
    <w:basedOn w:val="Normal"/>
    <w:pPr>
      <w:spacing w:line="276" w:lineRule="auto" w:after="60"/>
      <w:ind w:left="340"/>
    </w:pPr>
    <w:rPr>
      <w:rFonts w:ascii="Times New Roman" w:hAnsi="Times New Roman" w:eastAsia="Times New Roman" w:cs="Times New Roman"/>
      <w:color w:val="000000"/>
      <w:sz w:val="24"/>
    </w:rPr>
  </w:style>
  <w:style w:type="paragraph" w:customStyle="1" w:styleId="tableoffigures">
    <w:name w:val="table of figures"/>
    <w:basedOn w:val="Normal"/>
    <w:pPr>
      <w:spacing w:line="276" w:lineRule="auto" w:after="60"/>
      <w:ind w:left="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Económica del Baloncesto Femenino de Competencia Nacional en Colombia (2022–2025)</dc:title>
  <dc:subject/>
  <dc:creator>Grupo 8 – Administración Deportiva, Universidad Distrital Francisco José de Caldas</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