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Verificación de citas y referencias</w:t>
      </w:r>
    </w:p>
    <w:p>
      <w:r>
        <w:t>Capítulos 1 y 2 reescritos · Grupo 8 · 28 de octubre de 2026. Este registro es de trabajo interno: no forma parte del trabajo que se entrega.</w:t>
      </w:r>
    </w:p>
    <w:p>
      <w:pPr>
        <w:pStyle w:val="Heading1"/>
      </w:pPr>
      <w:r>
        <w:t>1. Resumen</w:t>
      </w:r>
    </w:p>
    <w:p>
      <w:r>
        <w:t xml:space="preserve">El texto reescrito tiene 32 referencias y todas están citadas al menos una vez; todas las citas del texto tienen su referencia (lo comprobé con una revisión automática del documento). Para cada referencia intenté abrir la fuente y contrastar lo que el texto afirma. Resultado: </w:t>
      </w:r>
      <w:r>
        <w:rPr>
          <w:b/>
        </w:rPr>
        <w:t>21 verificadas</w:t>
      </w:r>
      <w:r>
        <w:t xml:space="preserve">, </w:t>
      </w:r>
      <w:r>
        <w:rPr>
          <w:b/>
        </w:rPr>
        <w:t>8 verificadas parcialmente</w:t>
      </w:r>
      <w:r>
        <w:t xml:space="preserve"> (solo vi un extracto, el resumen o los metadatos, o no pude confirmar un dato menor) y </w:t>
      </w:r>
      <w:r>
        <w:rPr>
          <w:b/>
        </w:rPr>
        <w:t>3 no verificadas</w:t>
      </w:r>
      <w:r>
        <w:t xml:space="preserve"> (no pude acceder). Los casos en que el texto original no coincidía con la fuente se corrigieron y están en la sección 3.</w:t>
      </w:r>
    </w:p>
    <w:p>
      <w:pPr>
        <w:pStyle w:val="Heading1"/>
      </w:pPr>
      <w:r>
        <w:t>2. Estado de cada referencia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nil"/>
          <w:bottom w:val="single" w:sz="4" w:color="808080"/>
          <w:right w:val="nil"/>
          <w:insideH w:val="single" w:sz="4" w:color="808080"/>
          <w:insideV w:val="nil"/>
        </w:tblBorders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2381"/>
          </w:tcPr>
          <w:p>
            <w:r/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Qué respalda en el texto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Cómo lo verifiqué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Así se jugará la Liga Superior… (El Espectador, 2023)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Apoyo superior a 300 millones, “no parece suficiente”, puente al sector privado; de 6 a 15 equipos; 15 frente a 17 equipos; equipos de la conferencia Centro.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No se ve firma en el texto extraído.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Baloncesto colombiano: Atlantas… (W Radio, 2021)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Campeón 2021 (Tabla 2).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Extracto del resultado de búsqueda.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Cadena (2024), Claro Sports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Inversión de BetPlay superior a 5.600 millones; ocho quintetos; la nota no menciona torneos femeninos de baloncesto.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completa; la firma Nicolás Cadena.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Congreso (1995), Ley 181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Norma modificada por la Ley 1445; Diario Oficial No. 41.679; enlace.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Dos resultados de búsqueda (Función Pública y compilación de Antioquia).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Parcial. No abrí el texto de la ley.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Congreso (2011), Ley 1445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Arts. 1 y 2, parágrafo 2 (100 SMLMV; 1.000 para fútbol), modifica arts. 29 y 30 de la Ley 181; D. O. 48.067.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el texto en el normograma del MinTIC.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Cornwell (1995)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Concepto de </w:t>
            </w:r>
            <w:r>
              <w:rPr>
                <w:i/>
                <w:sz w:val="19"/>
              </w:rPr>
              <w:t>sponsorship-linked marketing</w:t>
            </w:r>
            <w:r>
              <w:rPr>
                <w:sz w:val="19"/>
              </w:rPr>
              <w:t>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 pude acceder al artículo.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 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Deloitte (2025a), comunicado de EE. UU.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981 y 1.880 millones; 2.350 proyectados; comerciales por encima de 1.000 millones en 2024; 56 % de Norteamérica; 1.260 / 590 / 500 millones; baloncesto 1.030 millones (44 %).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copia del comunicado en PR Newswire (la página de Deloitte cargó solo el pie).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Deloitte (2025b), comunicado del Reino Unido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692 millones en 2022; aumento de 240 %; baloncesto de 710 a 1.030; fútbol de 740 a 820.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el comunicado completo.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El deporte femenino vive un auge global… (Semana, 2025)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Federación de Fútbol: más de 38.000 millones en seis años; titular sobre Colombia.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La fecha (18 de julio) no aparece en el texto.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Este es el formato y los equipos… (Vanguardia, 2024)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Siete equipos; sin Búcaros ni Titanes por motivos económicos; razones de Búcaros; más de 1.000 millones de los socios.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La referencia original usaba el título del enlace; usé el de la página.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FIBA (2025), perfil de Colombia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Puesto 30 del ranking; quinto de América; cuatro bronces; tres quintos puestos; Cuenca e Indeportes Antioquia; Manuela Ríos en Brasil.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página completa.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Hay una “preocupante desigualdad”… (Infobae, 2025)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Reglamento de 30 inscritas y 15 contratos; atrasos de pago.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No se ve firma.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Latinbasket (s. f.)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Final de 2023 (24 de junio), partidos desde el 24 de mayo, sin ediciones posteriores.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página el 28 de octubre de 2026.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Solo muestra 2023; los campeones de 2020 a 2022 se respaldan con prensa.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Leonas de Medellín, campeonas… (Antena 2, 2020)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Campeón 2020.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Extracto del resultado de búsqueda.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Marín y Rodríguez (2019)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Trabajo de grado, datos de la Superintendencia de Sociedades, 2014–2018.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 pude acceder; la descripción viene del trabajo original.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 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Marín Malo (2024)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Perspectiva jurídico-laboral; datos de organismos públicos; mayor desigualdad en el deporte profesional.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Resumen de Dialnet (extracto de búsqueda).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Martínez Mina et al. (2019)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Narrativas de jugadoras de la segunda edición de la Liga Águila Femenina; salario, contratación, visibilidad, estructura.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Resumen y DOI vía Crossref.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Las páginas 53–90 no las pude confirmar.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Meenaghan (1991)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Patrocinio como comunicación de mercadeo.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Resumen y DOI vía Crossref.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Ministerio del Deporte (2023), Panorama financiero y laboral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54 clubes, 12 de baloncesto; siete con estados financieros; 3.403, 6.206 y –190 millones; plantilla solo masculina en baloncesto y béisbol; 7,3 % mujeres en contratos de fútbol; baloncesto no remitió contratos; art. 16 de la Ley 181; Bogotá Piratas S.A.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Descargué y leí el PDF de 29 páginas.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¡Orgullo! Fiber Hormigas… (Vanguardia, 2022)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Campeón 2022.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Extracto del resultado de búsqueda.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Pérez Gázquez y Barquero-Ruiz (2024)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Brecha retributiva, infrarrepresentación en cargos directivos, menor presencia en medios; caso español; negociación colectiva.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el texto completo en el visor de la revista.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Páginas 35–43 inferidas.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Presidencia (2021), Decreto 1724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SMLMV 2022 de 1.000.000; enlace.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Extracto del Gestor Normativo.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Presidencia (2022), Decreto 2613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SMLMV 2023 de 1.160.000.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El decreto existe en el Gestor Normativo; el monto no lo contrasté en esta sesión.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Presidencia (2023), Decreto 2292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SMLMV 2024 de 1.300.000.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Gestor Normativo y dos fuentes jurídicas.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Presidencia (2024), Decreto 1572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SMLMV 2025 de 1.423.500.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Dos fuentes jurídicas citan el decreto y el monto.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Rengifo (2024), El Tiempo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Cinco clubes; contratos de patrocinio con cláusula de confidencialidad; incumplimiento de salarios.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Parcial. El contenido coincide, pero la página solo muestra “Periodista”; el autor Rengifo no se confirma.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Rodríguez Guerrero (2012)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Particularidades de la economía del deporte.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 pude acceder.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 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Sánchez (2024), Vorágine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La SIC analizó 1.274 contratos en 2023; 46 % entre 1 y 1,2 millones.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completa; la firma Nicolás Sánchez.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Szymanski (2003)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Modelos de clubes con restricción financiera.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Verifiqué el DOI, el volumen y las páginas vía Crossref. El pasaje concreto no.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Torres-Romay y García-Mirón (2020)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Seguimiento de empresas patrocinadoras y análisis de contenido; inversión menor; responsabilidad social.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Resumen y DOI en la revista.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WNBA (2024)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24 de julio de 2024; temporadas 2026 a 2036; Disney, Amazon, NBCU.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el comunicado completo.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WNBA secures ‘monumental’ media deal… (ESPN, 2024)</w:t>
            </w:r>
          </w:p>
        </w:tc>
        <w:tc>
          <w:tcPr>
            <w:tcW w:type="dxa" w:w="3402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Valor de unos 2.200 millones, 200 millones anuales, según una fuente.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Leí la nota completa.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Verificada. No se ve firma.</w:t>
            </w:r>
          </w:p>
        </w:tc>
      </w:tr>
    </w:tbl>
    <w:p>
      <w:pPr>
        <w:spacing w:after="40"/>
      </w:pPr>
    </w:p>
    <w:p>
      <w:pPr>
        <w:pStyle w:val="Heading1"/>
      </w:pPr>
      <w:r>
        <w:t>3. Correcciones hechas porque el texto original no coincidía con la fuente</w:t>
      </w:r>
    </w:p>
    <w:p>
      <w:pPr>
        <w:pStyle w:val="ListBullet"/>
      </w:pPr>
      <w:r>
        <w:rPr>
          <w:b/>
        </w:rPr>
        <w:t>Ley 1445.</w:t>
      </w:r>
      <w:r>
        <w:t xml:space="preserve"> El glosario atribuía al artículo 1 la regla de los 100 SMLMV. La forma de organización está en el artículo 1 y el capital mínimo en el artículo 2 (parágrafo 2).</w:t>
      </w:r>
    </w:p>
    <w:p>
      <w:pPr>
        <w:pStyle w:val="ListBullet"/>
      </w:pPr>
      <w:r>
        <w:rPr>
          <w:b/>
        </w:rPr>
        <w:t>Informe del Ministerio.</w:t>
      </w:r>
      <w:r>
        <w:t xml:space="preserve"> El 7,3 % corresponde a los contratos de fútbol, no al total de contratos del país. Los activos, ingresos y pérdida son de siete clubes, no de los 12.</w:t>
      </w:r>
    </w:p>
    <w:p>
      <w:pPr>
        <w:pStyle w:val="ListBullet"/>
      </w:pPr>
      <w:r>
        <w:rPr>
          <w:b/>
        </w:rPr>
        <w:t>Deloitte.</w:t>
      </w:r>
      <w:r>
        <w:t xml:space="preserve"> Los 692 y 710 millones no están en el comunicado de EE. UU., solo en el del Reino Unido. Se agregó la segunda referencia y se separaron con las letras a y b.</w:t>
      </w:r>
    </w:p>
    <w:p>
      <w:pPr>
        <w:pStyle w:val="ListBullet"/>
      </w:pPr>
      <w:r>
        <w:rPr>
          <w:b/>
        </w:rPr>
        <w:t>ESPN y WNBA.</w:t>
      </w:r>
      <w:r>
        <w:t xml:space="preserve"> Se eliminó la cifra de “50 a 60 millones anuales” de los acuerdos anteriores, que no aparece en la nota. La valoración de 2.200 millones viene de una fuente anónima citada por ESPN.</w:t>
      </w:r>
    </w:p>
    <w:p>
      <w:pPr>
        <w:pStyle w:val="ListBullet"/>
      </w:pPr>
      <w:r>
        <w:rPr>
          <w:b/>
        </w:rPr>
        <w:t>FIBA.</w:t>
      </w:r>
      <w:r>
        <w:t xml:space="preserve"> La página citada es de antes del torneo, así que no podía respaldar que Colombia clasificó a los torneos clasificatorios. Se eliminó esa afirmación y la segunda página de FIBA.</w:t>
      </w:r>
    </w:p>
    <w:p>
      <w:pPr>
        <w:pStyle w:val="ListBullet"/>
      </w:pPr>
      <w:r>
        <w:rPr>
          <w:b/>
        </w:rPr>
        <w:t>Ministerio del Deporte, noticia de 2023.</w:t>
      </w:r>
      <w:r>
        <w:t xml:space="preserve"> El enlace devuelve error 404. La lista de equipos de la conferencia Centro se respalda con El Espectador y se quitó esa referencia.</w:t>
      </w:r>
    </w:p>
    <w:p>
      <w:pPr>
        <w:pStyle w:val="ListBullet"/>
      </w:pPr>
      <w:r>
        <w:rPr>
          <w:b/>
        </w:rPr>
        <w:t>Financiación “mayoritariamente pública”.</w:t>
      </w:r>
      <w:r>
        <w:t xml:space="preserve"> No tenía fuente. Se reemplazó por lo que sí se documenta: un apoyo estatal que el Viceministerio reconoció como insuficiente.</w:t>
      </w:r>
    </w:p>
    <w:p>
      <w:pPr>
        <w:pStyle w:val="ListBullet"/>
      </w:pPr>
      <w:r>
        <w:rPr>
          <w:b/>
        </w:rPr>
        <w:t>BetPlay.</w:t>
      </w:r>
      <w:r>
        <w:t xml:space="preserve"> La fuente es una nota de Claro Sports, no una comunicación de la marca, y no dice que sea el principal patrocinador. Se ajustó el texto.</w:t>
      </w:r>
    </w:p>
    <w:p>
      <w:pPr>
        <w:pStyle w:val="ListBullet"/>
      </w:pPr>
      <w:r>
        <w:rPr>
          <w:b/>
        </w:rPr>
        <w:t>Torres-Romay y García-Mirón.</w:t>
      </w:r>
      <w:r>
        <w:t xml:space="preserve"> No se confirmó “contexto europeo” ni que advirtieran sobre la falta de métricas. Se dejó lo que dice el resumen del artículo.</w:t>
      </w:r>
    </w:p>
    <w:p>
      <w:pPr>
        <w:pStyle w:val="ListBullet"/>
      </w:pPr>
      <w:r>
        <w:rPr>
          <w:b/>
        </w:rPr>
        <w:t>Meenaghan.</w:t>
      </w:r>
      <w:r>
        <w:t xml:space="preserve"> La definición “inversión en dinero o en especie… distinta de la filantropía” no está en el resumen del artículo. Se reemplazó por lo que sí dice.</w:t>
      </w:r>
    </w:p>
    <w:p>
      <w:pPr>
        <w:pStyle w:val="ListBullet"/>
      </w:pPr>
      <w:r>
        <w:rPr>
          <w:b/>
        </w:rPr>
        <w:t>Martínez Mina et al. y Marín Malo.</w:t>
      </w:r>
      <w:r>
        <w:t xml:space="preserve"> Se quitaron datos no confirmados (“10 jugadoras”, “cualitativo, exploratorio, narrativo”, “trabajo de igual valor”).</w:t>
      </w:r>
    </w:p>
    <w:p>
      <w:pPr>
        <w:pStyle w:val="ListBullet"/>
      </w:pPr>
      <w:r>
        <w:rPr>
          <w:b/>
        </w:rPr>
        <w:t>Vorágine.</w:t>
      </w:r>
      <w:r>
        <w:t xml:space="preserve"> El dato de los 1.274 contratos sí está en la nota, aunque el tema principal es la Dimayor. La autoría es Nicolás Sánchez. Se unificó el término a “jugadoras de fútbol”.</w:t>
      </w:r>
    </w:p>
    <w:p>
      <w:pPr>
        <w:pStyle w:val="ListBullet"/>
      </w:pPr>
      <w:r>
        <w:rPr>
          <w:b/>
        </w:rPr>
        <w:t>Prensa sin firma visible.</w:t>
      </w:r>
      <w:r>
        <w:t xml:space="preserve"> Las referencias de El Espectador, Semana, Infobae, Vanguardia y ESPN pasaron a empezar por el título, y Claro Sports pasó a su autor, Nicolás Cadena.</w:t>
      </w:r>
    </w:p>
    <w:p>
      <w:pPr>
        <w:pStyle w:val="ListBullet"/>
      </w:pPr>
      <w:r>
        <w:rPr>
          <w:b/>
        </w:rPr>
        <w:t>Fechas del torneo de 2023.</w:t>
      </w:r>
      <w:r>
        <w:t xml:space="preserve"> El Espectador anunciaba del 24 de mayo al 17 de junio; Latinbasket muestra partidos hasta el 24 de junio. Se usó Latinbasket.</w:t>
      </w:r>
    </w:p>
    <w:p>
      <w:pPr>
        <w:pStyle w:val="ListBullet"/>
      </w:pPr>
      <w:r>
        <w:rPr>
          <w:b/>
        </w:rPr>
        <w:t>Otros ajustes.</w:t>
      </w:r>
      <w:r>
        <w:t xml:space="preserve"> DOI canónico de Szymanski; páginas de Pérez Gázquez 35–43 en lugar de 35–53; Latinbasket citado como (s. f.) con fecha de consulta; Tabla 2 sin la columna de duración y con la fuente de cada fila; el resumen dice “torneos cortos” en lugar de “entre cuatro y seis semanas”.</w:t>
      </w:r>
    </w:p>
    <w:p>
      <w:pPr>
        <w:pStyle w:val="Heading1"/>
      </w:pPr>
      <w:r>
        <w:t>4. Lo que el grupo debe comprobar</w:t>
      </w:r>
    </w:p>
    <w:p>
      <w:pPr>
        <w:pStyle w:val="ListBullet"/>
      </w:pPr>
      <w:r>
        <w:t>Abrir las páginas de El Espectador, Semana, Infobae, Vanguardia y ESPN y mirar si tienen firma. Si la tienen, la referencia y la cita pasan a ese autor.</w:t>
      </w:r>
    </w:p>
    <w:p>
      <w:pPr>
        <w:pStyle w:val="ListBullet"/>
      </w:pPr>
      <w:r>
        <w:t>Confirmar que el artículo de El Tiempo lo firma Rengifo, y la fecha de Semana (18 de julio de 2025).</w:t>
      </w:r>
    </w:p>
    <w:p>
      <w:pPr>
        <w:pStyle w:val="ListBullet"/>
      </w:pPr>
      <w:r>
        <w:t>Leer los pasajes de Cornwell (1995), Marín y Rodríguez (2019), Rodríguez Guerrero (2012) y Szymanski (2003) que respaldan lo que el texto dice de ellos.</w:t>
      </w:r>
    </w:p>
    <w:p>
      <w:pPr>
        <w:pStyle w:val="ListBullet"/>
      </w:pPr>
      <w:r>
        <w:t>Confirmar con la Federación Colombiana de Baloncesto si hubo ediciones de la liga en 2024 y 2025.</w:t>
      </w:r>
    </w:p>
    <w:p>
      <w:pPr>
        <w:pStyle w:val="ListBullet"/>
      </w:pPr>
      <w:r>
        <w:t>Revisar la dedicatoria (es una propuesta), la fecha de la portada y la declaración de uso de IA: solo debe quedar lo que realmente hicieron.</w:t>
      </w:r>
    </w:p>
    <w:p>
      <w:pPr>
        <w:pStyle w:val="ListBullet"/>
      </w:pPr>
      <w:r>
        <w:t>Al abrir el archivo en Word, aceptar la actualización de campos para que la tabla de contenido y la lista de tablas muestren los números de página.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