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b/>
          <w:bCs/>
        </w:rPr>
        <w:t xml:space="preserve">Errores y Correcciones del Trabajo de Grado del Grupo 8: Evaluación de los Capítulos 1 y 2 según la Rúbrica MI131</w:t>
      </w:r>
    </w:p>
    <w:p>
      <w:pPr>
        <w:spacing w:before="0" w:after="0" w:line="480" w:lineRule="auto"/>
      </w:pPr>
    </w:p>
    <w:p>
      <w:pPr>
        <w:spacing w:before="0" w:after="0" w:line="480" w:lineRule="auto"/>
        <w:jc w:val="center"/>
      </w:pPr>
      <w:r>
        <w:rPr/>
        <w:t xml:space="preserve">[Nombre del evaluador]</w:t>
      </w:r>
    </w:p>
    <w:p>
      <w:pPr>
        <w:spacing w:before="0" w:after="0" w:line="480" w:lineRule="auto"/>
        <w:jc w:val="center"/>
      </w:pPr>
      <w:r>
        <w:rPr/>
        <w:t xml:space="preserve">Programa de Administración Deportiva, Universidad Distrital Francisco José de Caldas</w:t>
      </w:r>
    </w:p>
    <w:p>
      <w:pPr>
        <w:spacing w:before="0" w:after="0" w:line="480" w:lineRule="auto"/>
        <w:jc w:val="center"/>
      </w:pPr>
      <w:r>
        <w:rPr/>
        <w:t xml:space="preserve">MI131: Metodología de Investigación</w:t>
      </w:r>
    </w:p>
    <w:p>
      <w:pPr>
        <w:spacing w:before="0" w:after="0" w:line="480" w:lineRule="auto"/>
        <w:jc w:val="center"/>
      </w:pPr>
      <w:r>
        <w:rPr/>
        <w:t xml:space="preserve">Mg. Kilderman Mendoza Moreno</w:t>
      </w:r>
    </w:p>
    <w:p>
      <w:pPr>
        <w:spacing w:before="0" w:after="0" w:line="480" w:lineRule="auto"/>
        <w:jc w:val="center"/>
      </w:pPr>
      <w:r>
        <w:rPr/>
        <w:t xml:space="preserve">20 de octubre de 2026</w:t>
      </w:r>
    </w:p>
    <w:p>
      <w:pPr>
        <w:pStyle w:val="Heading1"/>
        <w:pageBreakBefore/>
        <w:spacing w:before="0" w:after="0" w:line="480" w:lineRule="auto"/>
      </w:pPr>
      <w:r>
        <w:rPr/>
        <w:t xml:space="preserve">Errores y Correcciones del Trabajo de Grado del Grupo 8: Evaluación de los Capítulos 1 y 2 según la Rúbrica MI131</w:t>
      </w:r>
    </w:p>
    <w:p>
      <w:pPr>
        <w:spacing w:before="0" w:after="0" w:line="480" w:lineRule="auto"/>
        <w:ind w:firstLine="720"/>
      </w:pPr>
      <w:r>
        <w:rPr/>
        <w:t xml:space="preserve">Este informe presenta los errores o fallos identificados en el trabajo de grado del Grupo 8, titulado </w:t>
      </w:r>
      <w:r>
        <w:rPr>
          <w:i/>
          <w:iCs/>
        </w:rPr>
        <w:t xml:space="preserve">Evolución económica del baloncesto profesional femenino en Colombia (2022–2025)</w:t>
      </w:r>
      <w:r>
        <w:rPr/>
        <w:t xml:space="preserve"> y elaborado por Carlos Esneider Quiroga Rodríguez, Daniel Eduardo Pardo Cubides y Henry Daniel Pérez Cuestas (Quiroga Rodríguez et al., 2026), junto con la corrección propuesta para cada uno. La revisión se limita al Grupo 8 y a los ítems de la rúbrica del curso: descripción del problema, pregunta problema, objetivo general, objetivos específicos, justificación, antecedentes, marco teórico y conceptual, y el criterio transversal de redacción y normas APA 7.ª edición (Universidad Distrital Francisco José de Caldas, 2026).</w:t>
      </w:r>
    </w:p>
    <w:p>
      <w:pPr>
        <w:spacing w:before="0" w:after="0" w:line="480" w:lineRule="auto"/>
        <w:ind w:firstLine="720"/>
      </w:pPr>
      <w:r>
        <w:rPr/>
        <w:t xml:space="preserve">El documento revisado es el archivo </w:t>
      </w:r>
      <w:r>
        <w:rPr>
          <w:i/>
          <w:iCs/>
        </w:rPr>
        <w:t xml:space="preserve">G8_30 SEP_CAP 2_ V1.docx</w:t>
      </w:r>
      <w:r>
        <w:rPr/>
        <w:t xml:space="preserve">, fechado el 30 de septiembre de 2026. La hoja de cálculo de la rúbrica registra como archivo evaluado </w:t>
      </w:r>
      <w:r>
        <w:rPr>
          <w:i/>
          <w:iCs/>
        </w:rPr>
        <w:t xml:space="preserve">G8 Avances cap 2.docx</w:t>
      </w:r>
      <w:r>
        <w:rPr/>
        <w:t xml:space="preserve">; por ello, cada hallazgo de la rúbrica se contrastó con el texto de la versión revisada. Los hallazgos coinciden, con una excepción: la versión revisada sí contiene una declaración de uso de inteligencia artificial (IA), aunque incompleta (véase el Error 24). Además de los hallazgos registrados en la rúbrica, se incluyen errores adicionales detectados en la lectura completa del documento, señalados como tales. Las obras que se mencionan al describir los errores pertenecen a la lista de referencias del trabajo evaluado y no se repiten en este informe; la lista final incluye solo las fuentes consultadas o recomendadas por el evaluador.</w:t>
      </w:r>
    </w:p>
    <w:p>
      <w:pPr>
        <w:pStyle w:val="Heading2"/>
        <w:spacing w:before="0" w:after="0" w:line="480" w:lineRule="auto"/>
      </w:pPr>
      <w:r>
        <w:rPr/>
        <w:t xml:space="preserve">Método de Evaluación</w:t>
      </w:r>
    </w:p>
    <w:p>
      <w:pPr>
        <w:spacing w:before="0" w:after="0" w:line="480" w:lineRule="auto"/>
        <w:ind w:firstLine="720"/>
      </w:pPr>
      <w:r>
        <w:rPr/>
        <w:t xml:space="preserve">La rúbrica evalúa 31 indicadores agrupados en ocho ítems. Cada indicador se codifica como 0 (no cumple), 1 (cumple parcialmente) o 2 (cumple). La nota de cada ítem se obtiene como la suma ponderada de los códigos, dividida entre 2 y multiplicada por 5; la nota total es la suma ponderada de las notas de los ítems en una escala de 0 a 5, con un umbral de logro de 3,0 y nivel «Alto» desde 4,0 (Universidad Distrital Francisco José de Caldas, 2026). Las notas de este informe son las registradas en la rúbrica; los errores adicionales no modifican esas notas, pero se señalan para que el grupo los corrija y el docente valore si deben considerarse.</w:t>
      </w:r>
    </w:p>
    <w:p>
      <w:pPr>
        <w:spacing w:before="0" w:after="0" w:line="480" w:lineRule="auto"/>
        <w:ind w:firstLine="720"/>
      </w:pPr>
      <w:r>
        <w:rPr/>
        <w:t xml:space="preserve">Para cada error se indica su ubicación en el documento, el indicador de la rúbrica afectado, la descripción del fallo y la corrección propuesta, con un ejemplo de redacción cuando es pertinente. La prioridad (alta, media o baja) refleja el efecto del error en la coherencia del proyecto y en el cumplimiento de la norma APA.</w:t>
      </w:r>
    </w:p>
    <w:p>
      <w:pPr>
        <w:pStyle w:val="Heading1"/>
        <w:spacing w:before="0" w:after="0" w:line="480" w:lineRule="auto"/>
      </w:pPr>
      <w:r>
        <w:rPr/>
        <w:t xml:space="preserve">Resultados Generales</w:t>
      </w:r>
    </w:p>
    <w:p>
      <w:pPr>
        <w:spacing w:before="0" w:after="0" w:line="480" w:lineRule="auto"/>
        <w:ind w:firstLine="720"/>
      </w:pPr>
      <w:r>
        <w:rPr/>
        <w:t xml:space="preserve">El trabajo del Grupo 8 obtuvo una nota total de 4,36 sobre 5, con nivel «Alto», y ocupó el segundo lugar entre los 11 grupos del curso. Ningún ítem quedó por debajo del umbral y ningún indicador recibió código 0; 22 indicadores recibieron código 2 y nueve recibieron código 1. Los ítems con menor nota fueron los objetivos específicos y el criterio transversal de APA y redacción (3,25 cada uno), seguidos de antecedentes (3,88) y objetivo general (4,13). La Tabla 1 resume las notas por ítem.</w:t>
      </w:r>
    </w:p>
    <w:p>
      <w:pPr>
        <w:keepNext/>
        <w:spacing w:before="0" w:after="0" w:line="480" w:lineRule="auto"/>
      </w:pPr>
      <w:r>
        <w:rPr>
          <w:b/>
          <w:bCs/>
        </w:rPr>
        <w:t xml:space="preserve">Tabla 1</w:t>
      </w:r>
    </w:p>
    <w:p>
      <w:pPr>
        <w:keepNext/>
        <w:spacing w:before="0" w:after="0" w:line="480" w:lineRule="auto"/>
      </w:pPr>
      <w:r>
        <w:rPr>
          <w:i/>
          <w:iCs/>
        </w:rPr>
        <w:t xml:space="preserve">Notas del Grupo 8 por ítem de la rúbrica</w:t>
      </w:r>
    </w:p>
    <w:tbl>
      <w:tblPr>
        <w:tblW w:w="9360" w:type="dxa"/>
        <w:tblLayout w:type="fixed"/>
        <w:tblCellMar>
          <w:left w:w="80" w:type="dxa"/>
          <w:right w:w="80" w:type="dxa"/>
        </w:tblCellMar>
      </w:tblPr>
      <w:tblGrid>
        <w:gridCol w:w="2700"/>
        <w:gridCol w:w="900"/>
        <w:gridCol w:w="1500"/>
        <w:gridCol w:w="4260"/>
      </w:tblGrid>
      <w:tr>
        <w:trPr>
          <w:tblHeader/>
          <w:cantSplit/>
        </w:trPr>
        <w:tc>
          <w:tcPr>
            <w:tcW w:w="2700" w:type="dxa"/>
            <w:tcBorders>
              <w:top w:val="single" w:sz="8" w:space="0" w:color="000000"/>
              <w:bottom w:val="single" w:sz="8" w:space="0" w:color="000000"/>
            </w:tcBorders>
          </w:tcPr>
          <w:p>
            <w:pPr>
              <w:spacing w:before="40" w:after="40" w:line="240" w:lineRule="auto"/>
            </w:pPr>
            <w:r>
              <w:rPr>
                <w:b/>
                <w:bCs/>
                <w:sz w:val="22"/>
                <w:szCs w:val="22"/>
              </w:rPr>
              <w:t xml:space="preserve">Ítem</w:t>
            </w:r>
          </w:p>
        </w:tc>
        <w:tc>
          <w:tcPr>
            <w:tcW w:w="900" w:type="dxa"/>
            <w:tcBorders>
              <w:top w:val="single" w:sz="8" w:space="0" w:color="000000"/>
              <w:bottom w:val="single" w:sz="8" w:space="0" w:color="000000"/>
            </w:tcBorders>
          </w:tcPr>
          <w:p>
            <w:pPr>
              <w:spacing w:before="40" w:after="40" w:line="240" w:lineRule="auto"/>
            </w:pPr>
            <w:r>
              <w:rPr>
                <w:b/>
                <w:bCs/>
                <w:sz w:val="22"/>
                <w:szCs w:val="22"/>
              </w:rPr>
              <w:t xml:space="preserve">Peso</w:t>
            </w:r>
          </w:p>
        </w:tc>
        <w:tc>
          <w:tcPr>
            <w:tcW w:w="1500" w:type="dxa"/>
            <w:tcBorders>
              <w:top w:val="single" w:sz="8" w:space="0" w:color="000000"/>
              <w:bottom w:val="single" w:sz="8" w:space="0" w:color="000000"/>
            </w:tcBorders>
          </w:tcPr>
          <w:p>
            <w:pPr>
              <w:spacing w:before="40" w:after="40" w:line="240" w:lineRule="auto"/>
            </w:pPr>
            <w:r>
              <w:rPr>
                <w:b/>
                <w:bCs/>
                <w:sz w:val="22"/>
                <w:szCs w:val="22"/>
              </w:rPr>
              <w:t xml:space="preserve">Nota (0–5)</w:t>
            </w:r>
          </w:p>
        </w:tc>
        <w:tc>
          <w:tcPr>
            <w:tcW w:w="4260" w:type="dxa"/>
            <w:tcBorders>
              <w:top w:val="single" w:sz="8" w:space="0" w:color="000000"/>
              <w:bottom w:val="single" w:sz="8" w:space="0" w:color="000000"/>
            </w:tcBorders>
          </w:tcPr>
          <w:p>
            <w:pPr>
              <w:spacing w:before="40" w:after="40" w:line="240" w:lineRule="auto"/>
            </w:pPr>
            <w:r>
              <w:rPr>
                <w:b/>
                <w:bCs/>
                <w:sz w:val="22"/>
                <w:szCs w:val="22"/>
              </w:rPr>
              <w:t xml:space="preserve">Indicadores con código 1</w:t>
            </w:r>
          </w:p>
        </w:tc>
      </w:tr>
      <w:tr>
        <w:trPr>
          <w:cantSplit/>
        </w:trPr>
        <w:tc>
          <w:tcPr>
            <w:tcW w:w="2700" w:type="dxa"/>
          </w:tcPr>
          <w:p>
            <w:pPr>
              <w:spacing w:before="40" w:after="40" w:line="240" w:lineRule="auto"/>
            </w:pPr>
            <w:r>
              <w:rPr>
                <w:sz w:val="22"/>
                <w:szCs w:val="22"/>
              </w:rPr>
              <w:t xml:space="preserve">Descripción del problema</w:t>
            </w:r>
          </w:p>
        </w:tc>
        <w:tc>
          <w:tcPr>
            <w:tcW w:w="900" w:type="dxa"/>
          </w:tcPr>
          <w:p>
            <w:pPr>
              <w:spacing w:before="40" w:after="40" w:line="240" w:lineRule="auto"/>
            </w:pPr>
            <w:r>
              <w:rPr>
                <w:sz w:val="22"/>
                <w:szCs w:val="22"/>
              </w:rPr>
              <w:t xml:space="preserve">18 %</w:t>
            </w:r>
          </w:p>
        </w:tc>
        <w:tc>
          <w:tcPr>
            <w:tcW w:w="1500" w:type="dxa"/>
          </w:tcPr>
          <w:p>
            <w:pPr>
              <w:spacing w:before="40" w:after="40" w:line="240" w:lineRule="auto"/>
            </w:pPr>
            <w:r>
              <w:rPr>
                <w:sz w:val="22"/>
                <w:szCs w:val="22"/>
              </w:rPr>
              <w:t xml:space="preserve">5,00</w:t>
            </w:r>
          </w:p>
        </w:tc>
        <w:tc>
          <w:tcPr>
            <w:tcW w:w="4260" w:type="dxa"/>
          </w:tcPr>
          <w:p>
            <w:pPr>
              <w:spacing w:before="40" w:after="40" w:line="240" w:lineRule="auto"/>
            </w:pPr>
            <w:r>
              <w:rPr>
                <w:sz w:val="22"/>
                <w:szCs w:val="22"/>
              </w:rPr>
              <w:t xml:space="preserve">Ninguno</w:t>
            </w:r>
          </w:p>
        </w:tc>
      </w:tr>
      <w:tr>
        <w:trPr>
          <w:cantSplit/>
        </w:trPr>
        <w:tc>
          <w:tcPr>
            <w:tcW w:w="2700" w:type="dxa"/>
          </w:tcPr>
          <w:p>
            <w:pPr>
              <w:spacing w:before="40" w:after="40" w:line="240" w:lineRule="auto"/>
            </w:pPr>
            <w:r>
              <w:rPr>
                <w:sz w:val="22"/>
                <w:szCs w:val="22"/>
              </w:rPr>
              <w:t xml:space="preserve">Pregunta problema</w:t>
            </w:r>
          </w:p>
        </w:tc>
        <w:tc>
          <w:tcPr>
            <w:tcW w:w="900" w:type="dxa"/>
          </w:tcPr>
          <w:p>
            <w:pPr>
              <w:spacing w:before="40" w:after="40" w:line="240" w:lineRule="auto"/>
            </w:pPr>
            <w:r>
              <w:rPr>
                <w:sz w:val="22"/>
                <w:szCs w:val="22"/>
              </w:rPr>
              <w:t xml:space="preserve">14 %</w:t>
            </w:r>
          </w:p>
        </w:tc>
        <w:tc>
          <w:tcPr>
            <w:tcW w:w="1500" w:type="dxa"/>
          </w:tcPr>
          <w:p>
            <w:pPr>
              <w:spacing w:before="40" w:after="40" w:line="240" w:lineRule="auto"/>
            </w:pPr>
            <w:r>
              <w:rPr>
                <w:sz w:val="22"/>
                <w:szCs w:val="22"/>
              </w:rPr>
              <w:t xml:space="preserve">4,50</w:t>
            </w:r>
          </w:p>
        </w:tc>
        <w:tc>
          <w:tcPr>
            <w:tcW w:w="4260" w:type="dxa"/>
          </w:tcPr>
          <w:p>
            <w:pPr>
              <w:spacing w:before="40" w:after="40" w:line="240" w:lineRule="auto"/>
            </w:pPr>
            <w:r>
              <w:rPr>
                <w:sz w:val="22"/>
                <w:szCs w:val="22"/>
              </w:rPr>
              <w:t xml:space="preserve">Q4 (viabilidad)</w:t>
            </w:r>
          </w:p>
        </w:tc>
      </w:tr>
      <w:tr>
        <w:trPr>
          <w:cantSplit/>
        </w:trPr>
        <w:tc>
          <w:tcPr>
            <w:tcW w:w="2700" w:type="dxa"/>
          </w:tcPr>
          <w:p>
            <w:pPr>
              <w:spacing w:before="40" w:after="40" w:line="240" w:lineRule="auto"/>
            </w:pPr>
            <w:r>
              <w:rPr>
                <w:sz w:val="22"/>
                <w:szCs w:val="22"/>
              </w:rPr>
              <w:t xml:space="preserve">Objetivo general</w:t>
            </w:r>
          </w:p>
        </w:tc>
        <w:tc>
          <w:tcPr>
            <w:tcW w:w="900" w:type="dxa"/>
          </w:tcPr>
          <w:p>
            <w:pPr>
              <w:spacing w:before="40" w:after="40" w:line="240" w:lineRule="auto"/>
            </w:pPr>
            <w:r>
              <w:rPr>
                <w:sz w:val="22"/>
                <w:szCs w:val="22"/>
              </w:rPr>
              <w:t xml:space="preserve">9 %</w:t>
            </w:r>
          </w:p>
        </w:tc>
        <w:tc>
          <w:tcPr>
            <w:tcW w:w="1500" w:type="dxa"/>
          </w:tcPr>
          <w:p>
            <w:pPr>
              <w:spacing w:before="40" w:after="40" w:line="240" w:lineRule="auto"/>
            </w:pPr>
            <w:r>
              <w:rPr>
                <w:sz w:val="22"/>
                <w:szCs w:val="22"/>
              </w:rPr>
              <w:t xml:space="preserve">4,13</w:t>
            </w:r>
          </w:p>
        </w:tc>
        <w:tc>
          <w:tcPr>
            <w:tcW w:w="4260" w:type="dxa"/>
          </w:tcPr>
          <w:p>
            <w:pPr>
              <w:spacing w:before="40" w:after="40" w:line="240" w:lineRule="auto"/>
            </w:pPr>
            <w:r>
              <w:rPr>
                <w:sz w:val="22"/>
                <w:szCs w:val="22"/>
              </w:rPr>
              <w:t xml:space="preserve">G1 (incluye el método)</w:t>
            </w:r>
          </w:p>
        </w:tc>
      </w:tr>
      <w:tr>
        <w:trPr>
          <w:cantSplit/>
        </w:trPr>
        <w:tc>
          <w:tcPr>
            <w:tcW w:w="2700" w:type="dxa"/>
          </w:tcPr>
          <w:p>
            <w:pPr>
              <w:spacing w:before="40" w:after="40" w:line="240" w:lineRule="auto"/>
            </w:pPr>
            <w:r>
              <w:rPr>
                <w:sz w:val="22"/>
                <w:szCs w:val="22"/>
              </w:rPr>
              <w:t xml:space="preserve">Objetivos específicos</w:t>
            </w:r>
          </w:p>
        </w:tc>
        <w:tc>
          <w:tcPr>
            <w:tcW w:w="900" w:type="dxa"/>
          </w:tcPr>
          <w:p>
            <w:pPr>
              <w:spacing w:before="40" w:after="40" w:line="240" w:lineRule="auto"/>
            </w:pPr>
            <w:r>
              <w:rPr>
                <w:sz w:val="22"/>
                <w:szCs w:val="22"/>
              </w:rPr>
              <w:t xml:space="preserve">9 %</w:t>
            </w:r>
          </w:p>
        </w:tc>
        <w:tc>
          <w:tcPr>
            <w:tcW w:w="1500" w:type="dxa"/>
          </w:tcPr>
          <w:p>
            <w:pPr>
              <w:spacing w:before="40" w:after="40" w:line="240" w:lineRule="auto"/>
            </w:pPr>
            <w:r>
              <w:rPr>
                <w:sz w:val="22"/>
                <w:szCs w:val="22"/>
              </w:rPr>
              <w:t xml:space="preserve">3,25</w:t>
            </w:r>
          </w:p>
        </w:tc>
        <w:tc>
          <w:tcPr>
            <w:tcW w:w="4260" w:type="dxa"/>
          </w:tcPr>
          <w:p>
            <w:pPr>
              <w:spacing w:before="40" w:after="40" w:line="240" w:lineRule="auto"/>
            </w:pPr>
            <w:r>
              <w:rPr>
                <w:sz w:val="22"/>
                <w:szCs w:val="22"/>
              </w:rPr>
              <w:t xml:space="preserve">E2 (exceden el general); E3 (viabilidad)</w:t>
            </w:r>
          </w:p>
        </w:tc>
      </w:tr>
      <w:tr>
        <w:trPr>
          <w:cantSplit/>
        </w:trPr>
        <w:tc>
          <w:tcPr>
            <w:tcW w:w="2700" w:type="dxa"/>
          </w:tcPr>
          <w:p>
            <w:pPr>
              <w:spacing w:before="40" w:after="40" w:line="240" w:lineRule="auto"/>
            </w:pPr>
            <w:r>
              <w:rPr>
                <w:sz w:val="22"/>
                <w:szCs w:val="22"/>
              </w:rPr>
              <w:t xml:space="preserve">Justificación</w:t>
            </w:r>
          </w:p>
        </w:tc>
        <w:tc>
          <w:tcPr>
            <w:tcW w:w="900" w:type="dxa"/>
          </w:tcPr>
          <w:p>
            <w:pPr>
              <w:spacing w:before="40" w:after="40" w:line="240" w:lineRule="auto"/>
            </w:pPr>
            <w:r>
              <w:rPr>
                <w:sz w:val="22"/>
                <w:szCs w:val="22"/>
              </w:rPr>
              <w:t xml:space="preserve">13 %</w:t>
            </w:r>
          </w:p>
        </w:tc>
        <w:tc>
          <w:tcPr>
            <w:tcW w:w="1500" w:type="dxa"/>
          </w:tcPr>
          <w:p>
            <w:pPr>
              <w:spacing w:before="40" w:after="40" w:line="240" w:lineRule="auto"/>
            </w:pPr>
            <w:r>
              <w:rPr>
                <w:sz w:val="22"/>
                <w:szCs w:val="22"/>
              </w:rPr>
              <w:t xml:space="preserve">5,00</w:t>
            </w:r>
          </w:p>
        </w:tc>
        <w:tc>
          <w:tcPr>
            <w:tcW w:w="4260" w:type="dxa"/>
          </w:tcPr>
          <w:p>
            <w:pPr>
              <w:spacing w:before="40" w:after="40" w:line="240" w:lineRule="auto"/>
            </w:pPr>
            <w:r>
              <w:rPr>
                <w:sz w:val="22"/>
                <w:szCs w:val="22"/>
              </w:rPr>
              <w:t xml:space="preserve">Ninguno</w:t>
            </w:r>
          </w:p>
        </w:tc>
      </w:tr>
      <w:tr>
        <w:trPr>
          <w:cantSplit/>
        </w:trPr>
        <w:tc>
          <w:tcPr>
            <w:tcW w:w="2700" w:type="dxa"/>
          </w:tcPr>
          <w:p>
            <w:pPr>
              <w:spacing w:before="40" w:after="40" w:line="240" w:lineRule="auto"/>
            </w:pPr>
            <w:r>
              <w:rPr>
                <w:sz w:val="22"/>
                <w:szCs w:val="22"/>
              </w:rPr>
              <w:t xml:space="preserve">Antecedentes</w:t>
            </w:r>
          </w:p>
        </w:tc>
        <w:tc>
          <w:tcPr>
            <w:tcW w:w="900" w:type="dxa"/>
          </w:tcPr>
          <w:p>
            <w:pPr>
              <w:spacing w:before="40" w:after="40" w:line="240" w:lineRule="auto"/>
            </w:pPr>
            <w:r>
              <w:rPr>
                <w:sz w:val="22"/>
                <w:szCs w:val="22"/>
              </w:rPr>
              <w:t xml:space="preserve">14 %</w:t>
            </w:r>
          </w:p>
        </w:tc>
        <w:tc>
          <w:tcPr>
            <w:tcW w:w="1500" w:type="dxa"/>
          </w:tcPr>
          <w:p>
            <w:pPr>
              <w:spacing w:before="40" w:after="40" w:line="240" w:lineRule="auto"/>
            </w:pPr>
            <w:r>
              <w:rPr>
                <w:sz w:val="22"/>
                <w:szCs w:val="22"/>
              </w:rPr>
              <w:t xml:space="preserve">3,88</w:t>
            </w:r>
          </w:p>
        </w:tc>
        <w:tc>
          <w:tcPr>
            <w:tcW w:w="4260" w:type="dxa"/>
          </w:tcPr>
          <w:p>
            <w:pPr>
              <w:spacing w:before="40" w:after="40" w:line="240" w:lineRule="auto"/>
            </w:pPr>
            <w:r>
              <w:rPr>
                <w:sz w:val="22"/>
                <w:szCs w:val="22"/>
              </w:rPr>
              <w:t xml:space="preserve">A1 (calidad de fuentes); A4 (niveles)</w:t>
            </w:r>
          </w:p>
        </w:tc>
      </w:tr>
      <w:tr>
        <w:trPr>
          <w:cantSplit/>
        </w:trPr>
        <w:tc>
          <w:tcPr>
            <w:tcW w:w="2700" w:type="dxa"/>
          </w:tcPr>
          <w:p>
            <w:pPr>
              <w:spacing w:before="40" w:after="40" w:line="240" w:lineRule="auto"/>
            </w:pPr>
            <w:r>
              <w:rPr>
                <w:sz w:val="22"/>
                <w:szCs w:val="22"/>
              </w:rPr>
              <w:t xml:space="preserve">Marco teórico y conceptual</w:t>
            </w:r>
          </w:p>
        </w:tc>
        <w:tc>
          <w:tcPr>
            <w:tcW w:w="900" w:type="dxa"/>
          </w:tcPr>
          <w:p>
            <w:pPr>
              <w:spacing w:before="40" w:after="40" w:line="240" w:lineRule="auto"/>
            </w:pPr>
            <w:r>
              <w:rPr>
                <w:sz w:val="22"/>
                <w:szCs w:val="22"/>
              </w:rPr>
              <w:t xml:space="preserve">13 %</w:t>
            </w:r>
          </w:p>
        </w:tc>
        <w:tc>
          <w:tcPr>
            <w:tcW w:w="1500" w:type="dxa"/>
          </w:tcPr>
          <w:p>
            <w:pPr>
              <w:spacing w:before="40" w:after="40" w:line="240" w:lineRule="auto"/>
            </w:pPr>
            <w:r>
              <w:rPr>
                <w:sz w:val="22"/>
                <w:szCs w:val="22"/>
              </w:rPr>
              <w:t xml:space="preserve">5,00</w:t>
            </w:r>
          </w:p>
        </w:tc>
        <w:tc>
          <w:tcPr>
            <w:tcW w:w="4260" w:type="dxa"/>
          </w:tcPr>
          <w:p>
            <w:pPr>
              <w:spacing w:before="40" w:after="40" w:line="240" w:lineRule="auto"/>
            </w:pPr>
            <w:r>
              <w:rPr>
                <w:sz w:val="22"/>
                <w:szCs w:val="22"/>
              </w:rPr>
              <w:t xml:space="preserve">Ninguno</w:t>
            </w:r>
          </w:p>
        </w:tc>
      </w:tr>
      <w:tr>
        <w:trPr>
          <w:cantSplit/>
        </w:trPr>
        <w:tc>
          <w:tcPr>
            <w:tcW w:w="2700" w:type="dxa"/>
          </w:tcPr>
          <w:p>
            <w:pPr>
              <w:spacing w:before="40" w:after="40" w:line="240" w:lineRule="auto"/>
            </w:pPr>
            <w:r>
              <w:rPr>
                <w:sz w:val="22"/>
                <w:szCs w:val="22"/>
              </w:rPr>
              <w:t xml:space="preserve">APA 7 y redacción</w:t>
            </w:r>
          </w:p>
        </w:tc>
        <w:tc>
          <w:tcPr>
            <w:tcW w:w="900" w:type="dxa"/>
          </w:tcPr>
          <w:p>
            <w:pPr>
              <w:spacing w:before="40" w:after="40" w:line="240" w:lineRule="auto"/>
            </w:pPr>
            <w:r>
              <w:rPr>
                <w:sz w:val="22"/>
                <w:szCs w:val="22"/>
              </w:rPr>
              <w:t xml:space="preserve">10 %</w:t>
            </w:r>
          </w:p>
        </w:tc>
        <w:tc>
          <w:tcPr>
            <w:tcW w:w="1500" w:type="dxa"/>
          </w:tcPr>
          <w:p>
            <w:pPr>
              <w:spacing w:before="40" w:after="40" w:line="240" w:lineRule="auto"/>
            </w:pPr>
            <w:r>
              <w:rPr>
                <w:sz w:val="22"/>
                <w:szCs w:val="22"/>
              </w:rPr>
              <w:t xml:space="preserve">3,25</w:t>
            </w:r>
          </w:p>
        </w:tc>
        <w:tc>
          <w:tcPr>
            <w:tcW w:w="4260" w:type="dxa"/>
          </w:tcPr>
          <w:p>
            <w:pPr>
              <w:spacing w:before="40" w:after="40" w:line="240" w:lineRule="auto"/>
            </w:pPr>
            <w:r>
              <w:rPr>
                <w:sz w:val="22"/>
                <w:szCs w:val="22"/>
              </w:rPr>
              <w:t xml:space="preserve">T1 (citas); T3 (referencias); T4 (estilo e IA)</w:t>
            </w:r>
          </w:p>
        </w:tc>
      </w:tr>
      <w:tr>
        <w:trPr>
          <w:cantSplit/>
        </w:trPr>
        <w:tc>
          <w:tcPr>
            <w:tcW w:w="2700" w:type="dxa"/>
            <w:tcBorders>
              <w:bottom w:val="single" w:sz="8" w:space="0" w:color="000000"/>
            </w:tcBorders>
          </w:tcPr>
          <w:p>
            <w:pPr>
              <w:spacing w:before="40" w:after="40" w:line="240" w:lineRule="auto"/>
            </w:pPr>
            <w:r>
              <w:rPr>
                <w:b/>
                <w:bCs/>
                <w:sz w:val="22"/>
                <w:szCs w:val="22"/>
              </w:rPr>
              <w:t xml:space="preserve">Nota total</w:t>
            </w:r>
          </w:p>
        </w:tc>
        <w:tc>
          <w:tcPr>
            <w:tcW w:w="900" w:type="dxa"/>
            <w:tcBorders>
              <w:bottom w:val="single" w:sz="8" w:space="0" w:color="000000"/>
            </w:tcBorders>
          </w:tcPr>
          <w:p>
            <w:pPr>
              <w:spacing w:before="40" w:after="40" w:line="240" w:lineRule="auto"/>
            </w:pPr>
            <w:r>
              <w:rPr>
                <w:b/>
                <w:bCs/>
                <w:sz w:val="22"/>
                <w:szCs w:val="22"/>
              </w:rPr>
              <w:t xml:space="preserve">100 %</w:t>
            </w:r>
          </w:p>
        </w:tc>
        <w:tc>
          <w:tcPr>
            <w:tcW w:w="1500" w:type="dxa"/>
            <w:tcBorders>
              <w:bottom w:val="single" w:sz="8" w:space="0" w:color="000000"/>
            </w:tcBorders>
          </w:tcPr>
          <w:p>
            <w:pPr>
              <w:spacing w:before="40" w:after="40" w:line="240" w:lineRule="auto"/>
            </w:pPr>
            <w:r>
              <w:rPr>
                <w:b/>
                <w:bCs/>
                <w:sz w:val="22"/>
                <w:szCs w:val="22"/>
              </w:rPr>
              <w:t xml:space="preserve">4,36 (Alto)</w:t>
            </w:r>
          </w:p>
        </w:tc>
        <w:tc>
          <w:tcPr>
            <w:tcW w:w="4260" w:type="dxa"/>
            <w:tcBorders>
              <w:bottom w:val="single" w:sz="8" w:space="0" w:color="000000"/>
            </w:tcBorders>
          </w:tcPr>
          <w:p>
            <w:pPr>
              <w:spacing w:before="40" w:after="40" w:line="240" w:lineRule="auto"/>
            </w:pPr>
            <w:r>
              <w:rPr>
                <w:sz w:val="22"/>
                <w:szCs w:val="22"/>
              </w:rPr>
              <w:t xml:space="preserve">9 de 31 indicadores</w:t>
            </w:r>
          </w:p>
        </w:tc>
      </w:tr>
    </w:tbl>
    <w:p>
      <w:pPr>
        <w:spacing w:before="120" w:after="0" w:line="480" w:lineRule="auto"/>
      </w:pPr>
      <w:r>
        <w:rPr>
          <w:i/>
          <w:iCs/>
        </w:rPr>
        <w:t xml:space="preserve">Nota.</w:t>
      </w:r>
      <w:r>
        <w:rPr/>
        <w:t xml:space="preserve"> Datos tomados de la hoja Calificación de la rúbrica MI131 (Universidad Distrital Francisco José de Caldas, 2026). Q4, G1, E2, E3, A1, A4, T1, T3 y T4 son los códigos de los indicadores en la rúbrica.</w:t>
      </w:r>
    </w:p>
    <w:p>
      <w:pPr>
        <w:spacing w:before="0" w:after="0" w:line="480" w:lineRule="auto"/>
        <w:ind w:firstLine="720"/>
      </w:pPr>
      <w:r>
        <w:rPr/>
        <w:t xml:space="preserve">La coherencia interna del documento es alta (0,9 sobre 1). Los vínculos entre problema y pregunta, pregunta y objetivo general, justificación y objetivos, y marco teórico y pregunta son plenamente coherentes. El único vínculo con coherencia parcial es el que une el objetivo general con los objetivos específicos, como se explica en los Errores 7 y 8.</w:t>
      </w:r>
    </w:p>
    <w:p>
      <w:pPr>
        <w:pStyle w:val="Heading1"/>
        <w:spacing w:before="0" w:after="0" w:line="480" w:lineRule="auto"/>
      </w:pPr>
      <w:r>
        <w:rPr/>
        <w:t xml:space="preserve">Errores Identificados y Correcciones Propuestas</w:t>
      </w:r>
    </w:p>
    <w:p>
      <w:pPr>
        <w:pStyle w:val="Heading2"/>
        <w:spacing w:before="0" w:after="0" w:line="480" w:lineRule="auto"/>
      </w:pPr>
      <w:r>
        <w:rPr/>
        <w:t xml:space="preserve">Descripción del Problema (Nota 5,00)</w:t>
      </w:r>
    </w:p>
    <w:p>
      <w:pPr>
        <w:spacing w:before="0" w:after="0" w:line="480" w:lineRule="auto"/>
        <w:ind w:firstLine="720"/>
      </w:pPr>
      <w:r>
        <w:rPr/>
        <w:t xml:space="preserve">Este apartado es el planteamiento más documentado del curso: contextualiza en cuatro niveles, cuantifica la magnitud con tres tablas, identifica los actores afectados y enuncia el vacío. Aun así, presenta los siguientes fallos.</w:t>
      </w:r>
    </w:p>
    <w:p>
      <w:pPr>
        <w:pStyle w:val="Heading3"/>
        <w:spacing w:before="0" w:after="0" w:line="480" w:lineRule="auto"/>
      </w:pPr>
      <w:r>
        <w:rPr/>
        <w:t xml:space="preserve">Error 1. Predominio de prensa como evidencia de magnitud</w:t>
      </w:r>
    </w:p>
    <w:p>
      <w:pPr>
        <w:spacing w:before="0" w:after="0" w:line="480" w:lineRule="auto"/>
        <w:ind w:firstLine="720"/>
      </w:pPr>
      <w:r>
        <w:rPr>
          <w:b/>
          <w:bCs/>
        </w:rPr>
        <w:t xml:space="preserve">Ubicación.</w:t>
      </w:r>
      <w:r>
        <w:rPr/>
        <w:t xml:space="preserve"> Contextualización en el nivel nacional y en el nivel local (pp. 16–20 del documento).</w:t>
      </w:r>
    </w:p>
    <w:p>
      <w:pPr>
        <w:spacing w:before="0" w:after="0" w:line="480" w:lineRule="auto"/>
        <w:ind w:firstLine="720"/>
      </w:pPr>
      <w:r>
        <w:rPr>
          <w:b/>
          <w:bCs/>
        </w:rPr>
        <w:t xml:space="preserve">Indicador afectado.</w:t>
      </w:r>
      <w:r>
        <w:rPr/>
        <w:t xml:space="preserve"> P2 (datos cuantitativos verificables y atribuidos a la fuente) y A1 (calidad de las fuentes). Prioridad media.</w:t>
      </w:r>
    </w:p>
    <w:p>
      <w:pPr>
        <w:spacing w:before="0" w:after="0" w:line="480" w:lineRule="auto"/>
        <w:ind w:firstLine="720"/>
      </w:pPr>
      <w:r>
        <w:rPr>
          <w:b/>
          <w:bCs/>
        </w:rPr>
        <w:t xml:space="preserve">Descripción.</w:t>
      </w:r>
      <w:r>
        <w:rPr/>
        <w:t xml:space="preserve"> De las 30 entradas de la lista de referencias, 14 corresponden a notas de prensa, comunicados o páginas web (El Espectador, Semana, Infobae, Vanguardia, Vorágine, Claro Sports, ESPN, El Tiempo, Latinbasket, FIBA, WNBA, Deloitte y la noticia del Ministerio del Deporte). En el nivel nacional, casi todas las cifras de magnitud provienen de prensa. El propio documento muestra el riesgo de esta dependencia: la nota de El Espectador (2023) informa 15 equipos y, en otro apartado, 17.</w:t>
      </w:r>
    </w:p>
    <w:p>
      <w:pPr>
        <w:spacing w:before="0" w:after="0" w:line="480" w:lineRule="auto"/>
        <w:ind w:firstLine="720"/>
      </w:pPr>
      <w:r>
        <w:rPr>
          <w:b/>
          <w:bCs/>
        </w:rPr>
        <w:t xml:space="preserve">Corrección.</w:t>
      </w:r>
      <w:r>
        <w:rPr/>
        <w:t xml:space="preserve"> Sustituir, siempre que exista, la prensa por la fuente primaria: el informe </w:t>
      </w:r>
      <w:r>
        <w:rPr>
          <w:i/>
          <w:iCs/>
        </w:rPr>
        <w:t xml:space="preserve">Panorama financiero y laboral de clubes deportivos profesionales</w:t>
      </w:r>
      <w:r>
        <w:rPr/>
        <w:t xml:space="preserve"> del Ministerio del Deporte (ya citado en el capítulo 2), las resoluciones y boletines de la Federación Colombiana de Baloncesto, los estados financieros que reposan en la Superintendencia de Sociedades y el informe de la Superintendencia de Industria y Comercio. Cuando la información no sea pública, solicitarla mediante derecho de petición (Ley 1755 de 2015) y documentar la respuesta. Conservar la prensa solo para hechos noticiosos (declaraciones, fechas de eventos) y no como base de las cifras.</w:t>
      </w:r>
    </w:p>
    <w:p>
      <w:pPr>
        <w:pStyle w:val="Heading3"/>
        <w:spacing w:before="0" w:after="0" w:line="480" w:lineRule="auto"/>
      </w:pPr>
      <w:r>
        <w:rPr/>
        <w:t xml:space="preserve">Error 2. Dato atribuido a una fuente que no corresponde y reinterpretado entre secciones</w:t>
      </w:r>
    </w:p>
    <w:p>
      <w:pPr>
        <w:spacing w:before="0" w:after="0" w:line="480" w:lineRule="auto"/>
        <w:ind w:firstLine="720"/>
      </w:pPr>
      <w:r>
        <w:rPr>
          <w:b/>
          <w:bCs/>
        </w:rPr>
        <w:t xml:space="preserve">Ubicación.</w:t>
      </w:r>
      <w:r>
        <w:rPr/>
        <w:t xml:space="preserve"> Contextualización nacional (párrafo sobre los 1.274 contratos) y Pertinencia social.</w:t>
      </w:r>
    </w:p>
    <w:p>
      <w:pPr>
        <w:spacing w:before="0" w:after="0" w:line="480" w:lineRule="auto"/>
        <w:ind w:firstLine="720"/>
      </w:pPr>
      <w:r>
        <w:rPr>
          <w:b/>
          <w:bCs/>
        </w:rPr>
        <w:t xml:space="preserve">Indicador afectado.</w:t>
      </w:r>
      <w:r>
        <w:rPr/>
        <w:t xml:space="preserve"> P2 y J4 (sustento sin afirmaciones no respaldadas). Prioridad alta.</w:t>
      </w:r>
    </w:p>
    <w:p>
      <w:pPr>
        <w:spacing w:before="0" w:after="0" w:line="480" w:lineRule="auto"/>
        <w:ind w:firstLine="720"/>
      </w:pPr>
      <w:r>
        <w:rPr>
          <w:b/>
          <w:bCs/>
        </w:rPr>
        <w:t xml:space="preserve">Descripción.</w:t>
      </w:r>
      <w:r>
        <w:rPr/>
        <w:t xml:space="preserve"> El dato de la Superintendencia de Industria y Comercio (1.274 contratos; 46 % entre uno y 1,2 millones de pesos) se atribuye a Vorágine (2024), cuyo título trata de otro asunto: el presunto rechazo de recursos del Gobierno por parte de la Dimayor. Además, el dato cambia de sentido entre secciones: en la descripción del problema se refiere a «contratos de futbolistas profesionales», sin precisar la rama, y en la justificación se convierte en «el 46 % de las futbolistas contratadas en 2023».</w:t>
      </w:r>
    </w:p>
    <w:p>
      <w:pPr>
        <w:spacing w:before="0" w:after="0" w:line="480" w:lineRule="auto"/>
        <w:ind w:firstLine="720"/>
      </w:pPr>
      <w:r>
        <w:rPr>
          <w:b/>
          <w:bCs/>
        </w:rPr>
        <w:t xml:space="preserve">Corrección.</w:t>
      </w:r>
      <w:r>
        <w:rPr/>
        <w:t xml:space="preserve"> Localizar el documento original de la Superintendencia de Industria y Comercio y citarlo directamente. Si no es accesible, usar una cita secundaria y redactar el dato de forma idéntica en ambas secciones. Ejemplo:</w:t>
      </w:r>
    </w:p>
    <w:p>
      <w:pPr>
        <w:spacing w:before="0" w:after="0" w:line="480" w:lineRule="auto"/>
        <w:ind w:left="720"/>
      </w:pPr>
      <w:r>
        <w:rPr/>
        <w:t xml:space="preserve">Según la Superintendencia de Industria y Comercio, que analizó 1.274 contratos de la Liga Femenina de fútbol en 2023, el 46 % se ubicaba entre uno y 1,2 millones de pesos mensuales (Superintendencia de Industria y Comercio, 2023, como se citó en Vorágine, 2024).</w:t>
      </w:r>
    </w:p>
    <w:p>
      <w:pPr>
        <w:spacing w:before="0" w:after="0" w:line="480" w:lineRule="auto"/>
        <w:ind w:firstLine="720"/>
      </w:pPr>
      <w:r>
        <w:rPr>
          <w:b/>
          <w:bCs/>
        </w:rPr>
        <w:t xml:space="preserve">Nota.</w:t>
      </w:r>
      <w:r>
        <w:rPr/>
        <w:t xml:space="preserve"> La rama («Liga Femenina») debe confirmarse en la fuente antes de usar esta redacción; si los contratos incluyen ambas ramas, debe eliminarse la expresión «de las futbolistas» de la justificación.</w:t>
      </w:r>
    </w:p>
    <w:p>
      <w:pPr>
        <w:pStyle w:val="Heading3"/>
        <w:spacing w:before="0" w:after="0" w:line="480" w:lineRule="auto"/>
      </w:pPr>
      <w:r>
        <w:rPr/>
        <w:t xml:space="preserve">Error 3. Extensión excesiva y detalles accesorios</w:t>
      </w:r>
    </w:p>
    <w:p>
      <w:pPr>
        <w:spacing w:before="0" w:after="0" w:line="480" w:lineRule="auto"/>
        <w:ind w:firstLine="720"/>
      </w:pPr>
      <w:r>
        <w:rPr>
          <w:b/>
          <w:bCs/>
        </w:rPr>
        <w:t xml:space="preserve">Ubicación.</w:t>
      </w:r>
      <w:r>
        <w:rPr/>
        <w:t xml:space="preserve"> Descripción del problema (pp. 14–25, unas 11 páginas).</w:t>
      </w:r>
    </w:p>
    <w:p>
      <w:pPr>
        <w:spacing w:before="0" w:after="0" w:line="480" w:lineRule="auto"/>
        <w:ind w:firstLine="720"/>
      </w:pPr>
      <w:r>
        <w:rPr>
          <w:b/>
          <w:bCs/>
        </w:rPr>
        <w:t xml:space="preserve">Indicador afectado.</w:t>
      </w:r>
      <w:r>
        <w:rPr/>
        <w:t xml:space="preserve"> P5 (redacción sin redundancias). Prioridad baja.</w:t>
      </w:r>
    </w:p>
    <w:p>
      <w:pPr>
        <w:spacing w:before="0" w:after="0" w:line="480" w:lineRule="auto"/>
        <w:ind w:firstLine="720"/>
      </w:pPr>
      <w:r>
        <w:rPr>
          <w:b/>
          <w:bCs/>
        </w:rPr>
        <w:t xml:space="preserve">Descripción.</w:t>
      </w:r>
      <w:r>
        <w:rPr/>
        <w:t xml:space="preserve"> El apartado incluye información que no aporta a la delimitación del problema: el marcador de la final de 2023 (71 a 53), el club en que juega la armadora Manuela Ríos y las fechas de la AmeriCup 2025. Varios argumentos se repiten casi literalmente en la Introducción, la Justificación y el capítulo 2 (crecimiento de Deloitte, aporte de 300 millones, carta de los cinco clubes).</w:t>
      </w:r>
    </w:p>
    <w:p>
      <w:pPr>
        <w:spacing w:before="0" w:after="0" w:line="480" w:lineRule="auto"/>
        <w:ind w:firstLine="720"/>
      </w:pPr>
      <w:r>
        <w:rPr>
          <w:b/>
          <w:bCs/>
        </w:rPr>
        <w:t xml:space="preserve">Corrección.</w:t>
      </w:r>
      <w:r>
        <w:rPr/>
        <w:t xml:space="preserve"> Reducir la descripción a unas cinco o seis páginas, conservar en cada nivel solo los datos que sustentan el vacío y suprimir o trasladar a un anexo los datos deportivos. En la Introducción, presentar el tema sin repetir las cifras que luego se desarrollan en el problema.</w:t>
      </w:r>
    </w:p>
    <w:p>
      <w:pPr>
        <w:pStyle w:val="Heading3"/>
        <w:spacing w:before="0" w:after="0" w:line="480" w:lineRule="auto"/>
      </w:pPr>
      <w:r>
        <w:rPr/>
        <w:t xml:space="preserve">Error 4. Existencia no demostrada de la población «profesional» (error adicional)</w:t>
      </w:r>
    </w:p>
    <w:p>
      <w:pPr>
        <w:spacing w:before="0" w:after="0" w:line="480" w:lineRule="auto"/>
        <w:ind w:firstLine="720"/>
      </w:pPr>
      <w:r>
        <w:rPr>
          <w:b/>
          <w:bCs/>
        </w:rPr>
        <w:t xml:space="preserve">Ubicación.</w:t>
      </w:r>
      <w:r>
        <w:rPr/>
        <w:t xml:space="preserve"> Delimitación del problema y antecedentes nacionales (párrafo sobre el informe del Ministerio del Deporte).</w:t>
      </w:r>
    </w:p>
    <w:p>
      <w:pPr>
        <w:spacing w:before="0" w:after="0" w:line="480" w:lineRule="auto"/>
        <w:ind w:firstLine="720"/>
      </w:pPr>
      <w:r>
        <w:rPr>
          <w:b/>
          <w:bCs/>
        </w:rPr>
        <w:t xml:space="preserve">Indicador afectado.</w:t>
      </w:r>
      <w:r>
        <w:rPr/>
        <w:t xml:space="preserve"> P4 (delimitación del vacío) y Q4 (viabilidad). Prioridad alta.</w:t>
      </w:r>
    </w:p>
    <w:p>
      <w:pPr>
        <w:spacing w:before="0" w:after="0" w:line="480" w:lineRule="auto"/>
        <w:ind w:firstLine="720"/>
      </w:pPr>
      <w:r>
        <w:rPr>
          <w:b/>
          <w:bCs/>
        </w:rPr>
        <w:t xml:space="preserve">Descripción.</w:t>
      </w:r>
      <w:r>
        <w:rPr/>
        <w:t xml:space="preserve"> El documento llama «baloncesto profesional femenino» a la Liga Superior Femenina, pero el propio texto reconoce que el Ministerio del Deporte no registra plantilla femenina de baloncesto profesional bajo contrato formal en 2022 y que la Ley 1445 de 2011 define al club profesional por su forma jurídica. El trabajo usa el término «profesional» sin definir qué lo hace aplicable a la población estudiada.</w:t>
      </w:r>
    </w:p>
    <w:p>
      <w:pPr>
        <w:spacing w:before="0" w:after="0" w:line="480" w:lineRule="auto"/>
        <w:ind w:firstLine="720"/>
      </w:pPr>
      <w:r>
        <w:rPr>
          <w:b/>
          <w:bCs/>
        </w:rPr>
        <w:t xml:space="preserve">Corrección.</w:t>
      </w:r>
      <w:r>
        <w:rPr/>
        <w:t xml:space="preserve"> Definir el término de forma operativa en la delimitación, o sustituirlo. Ejemplo:</w:t>
      </w:r>
    </w:p>
    <w:p>
      <w:pPr>
        <w:spacing w:before="0" w:after="0" w:line="480" w:lineRule="auto"/>
        <w:ind w:left="720"/>
      </w:pPr>
      <w:r>
        <w:rPr/>
        <w:t xml:space="preserve">Para efectos de este estudio, se entiende por baloncesto femenino de máxima categoría el conjunto de clubes y jugadoras que participan en la Liga Superior Femenina de Baloncesto, organizada por la Federación Colombiana de Baloncesto, con independencia de que los clubes estén constituidos como clubes con deportistas profesionales según la Ley 1445 de 2011.</w:t>
      </w:r>
    </w:p>
    <w:p>
      <w:pPr>
        <w:pStyle w:val="Heading2"/>
        <w:spacing w:before="0" w:after="0" w:line="480" w:lineRule="auto"/>
      </w:pPr>
      <w:r>
        <w:rPr/>
        <w:t xml:space="preserve">Pregunta Problema (Nota 4,50)</w:t>
      </w:r>
    </w:p>
    <w:p>
      <w:pPr>
        <w:pStyle w:val="Heading3"/>
        <w:spacing w:before="0" w:after="0" w:line="480" w:lineRule="auto"/>
      </w:pPr>
      <w:r>
        <w:rPr/>
        <w:t xml:space="preserve">Error 5. Viabilidad incierta de la pregunta</w:t>
      </w:r>
    </w:p>
    <w:p>
      <w:pPr>
        <w:spacing w:before="0" w:after="0" w:line="480" w:lineRule="auto"/>
        <w:ind w:firstLine="720"/>
      </w:pPr>
      <w:r>
        <w:rPr>
          <w:b/>
          <w:bCs/>
        </w:rPr>
        <w:t xml:space="preserve">Ubicación.</w:t>
      </w:r>
      <w:r>
        <w:rPr/>
        <w:t xml:space="preserve"> Pregunta de investigación.</w:t>
      </w:r>
    </w:p>
    <w:p>
      <w:pPr>
        <w:spacing w:before="0" w:after="0" w:line="480" w:lineRule="auto"/>
        <w:ind w:firstLine="720"/>
      </w:pPr>
      <w:r>
        <w:rPr>
          <w:b/>
          <w:bCs/>
        </w:rPr>
        <w:t xml:space="preserve">Indicador afectado.</w:t>
      </w:r>
      <w:r>
        <w:rPr/>
        <w:t xml:space="preserve"> Q4 (investigable y viable con los datos disponibles). Prioridad alta.</w:t>
      </w:r>
    </w:p>
    <w:p>
      <w:pPr>
        <w:spacing w:before="0" w:after="0" w:line="480" w:lineRule="auto"/>
        <w:ind w:firstLine="720"/>
      </w:pPr>
      <w:r>
        <w:rPr>
          <w:b/>
          <w:bCs/>
        </w:rPr>
        <w:t xml:space="preserve">Descripción.</w:t>
      </w:r>
      <w:r>
        <w:rPr/>
        <w:t xml:space="preserve"> La pregunta indaga cómo «evolucionaron» tres variables durante cuatro años. Sin embargo, el documento muestra que solo hay registro de las ediciones de 2022 y 2023, que los clubes no publican presupuestos y que no existen contratos formales. Con esa información, el estudio podría limitarse a constatar la ausencia de datos y no describir una evolución.</w:t>
      </w:r>
    </w:p>
    <w:p>
      <w:pPr>
        <w:spacing w:before="0" w:after="0" w:line="480" w:lineRule="auto"/>
        <w:ind w:firstLine="720"/>
      </w:pPr>
      <w:r>
        <w:rPr>
          <w:b/>
          <w:bCs/>
        </w:rPr>
        <w:t xml:space="preserve">Corrección.</w:t>
      </w:r>
      <w:r>
        <w:rPr/>
        <w:t xml:space="preserve"> Verificar, antes del capítulo 3, qué datos existen (por ejemplo, mediante derechos de petición a la Federación y al Ministerio del Deporte). Si la evidencia es insuficiente para una serie temporal, reformular la pregunta. Ejemplo:</w:t>
      </w:r>
    </w:p>
    <w:p>
      <w:pPr>
        <w:spacing w:before="0" w:after="0" w:line="480" w:lineRule="auto"/>
        <w:ind w:left="720"/>
      </w:pPr>
      <w:r>
        <w:rPr/>
        <w:t xml:space="preserve">¿Qué fuentes de financiación, presupuestos de operación y condiciones de remuneración pueden documentarse en el baloncesto femenino de máxima categoría en Colombia durante el periodo 2022–2025?</w:t>
      </w:r>
    </w:p>
    <w:p>
      <w:pPr>
        <w:pStyle w:val="Heading2"/>
        <w:spacing w:before="0" w:after="0" w:line="480" w:lineRule="auto"/>
      </w:pPr>
      <w:r>
        <w:rPr/>
        <w:t xml:space="preserve">Objetivo General (Nota 4,13)</w:t>
      </w:r>
    </w:p>
    <w:p>
      <w:pPr>
        <w:pStyle w:val="Heading3"/>
        <w:spacing w:before="0" w:after="0" w:line="480" w:lineRule="auto"/>
      </w:pPr>
      <w:r>
        <w:rPr/>
        <w:t xml:space="preserve">Error 6. El objetivo general incluye el método</w:t>
      </w:r>
    </w:p>
    <w:p>
      <w:pPr>
        <w:spacing w:before="0" w:after="0" w:line="480" w:lineRule="auto"/>
        <w:ind w:firstLine="720"/>
      </w:pPr>
      <w:r>
        <w:rPr>
          <w:b/>
          <w:bCs/>
        </w:rPr>
        <w:t xml:space="preserve">Ubicación.</w:t>
      </w:r>
      <w:r>
        <w:rPr/>
        <w:t xml:space="preserve"> Objetivo general.</w:t>
      </w:r>
    </w:p>
    <w:p>
      <w:pPr>
        <w:spacing w:before="0" w:after="0" w:line="480" w:lineRule="auto"/>
        <w:ind w:firstLine="720"/>
      </w:pPr>
      <w:r>
        <w:rPr>
          <w:b/>
          <w:bCs/>
        </w:rPr>
        <w:t xml:space="preserve">Indicador afectado.</w:t>
      </w:r>
      <w:r>
        <w:rPr/>
        <w:t xml:space="preserve"> G1 (verbo en infinitivo, un solo propósito, sin incluir el método). Prioridad media.</w:t>
      </w:r>
    </w:p>
    <w:p>
      <w:pPr>
        <w:spacing w:before="0" w:after="0" w:line="480" w:lineRule="auto"/>
        <w:ind w:firstLine="720"/>
      </w:pPr>
      <w:r>
        <w:rPr>
          <w:b/>
          <w:bCs/>
        </w:rPr>
        <w:t xml:space="preserve">Descripción.</w:t>
      </w:r>
      <w:r>
        <w:rPr/>
        <w:t xml:space="preserve"> El objetivo termina con «mediante la revisión documental de fuentes federativas, estatales, normativas y de prensa especializada», que es un elemento del diseño metodológico. Además, agrupa tres variables económicas en un solo enunciado sin nombrar el constructo que las integra.</w:t>
      </w:r>
    </w:p>
    <w:p>
      <w:pPr>
        <w:spacing w:before="0" w:after="0" w:line="480" w:lineRule="auto"/>
        <w:ind w:firstLine="720"/>
      </w:pPr>
      <w:r>
        <w:rPr>
          <w:b/>
          <w:bCs/>
        </w:rPr>
        <w:t xml:space="preserve">Corrección.</w:t>
      </w:r>
      <w:r>
        <w:rPr/>
        <w:t xml:space="preserve"> Retirar el método, que corresponde al capítulo 3, y nombrar el constructo común. Ejemplo:</w:t>
      </w:r>
    </w:p>
    <w:p>
      <w:pPr>
        <w:spacing w:before="0" w:after="0" w:line="480" w:lineRule="auto"/>
        <w:ind w:left="720"/>
      </w:pPr>
      <w:r>
        <w:rPr/>
        <w:t xml:space="preserve">Analizar la evolución de las condiciones económicas del baloncesto profesional femenino en Colombia entre 2022 y 2025, en términos de ingresos por patrocinio, presupuestos de los clubes y salarios de las jugadoras.</w:t>
      </w:r>
    </w:p>
    <w:p>
      <w:pPr>
        <w:pStyle w:val="Heading2"/>
        <w:spacing w:before="0" w:after="0" w:line="480" w:lineRule="auto"/>
      </w:pPr>
      <w:r>
        <w:rPr/>
        <w:t xml:space="preserve">Objetivos Específicos (Nota 3,25)</w:t>
      </w:r>
    </w:p>
    <w:p>
      <w:pPr>
        <w:pStyle w:val="Heading3"/>
        <w:spacing w:before="0" w:after="0" w:line="480" w:lineRule="auto"/>
      </w:pPr>
      <w:r>
        <w:rPr/>
        <w:t xml:space="preserve">Error 7. El objetivo específico 4 excede el alcance del objetivo general</w:t>
      </w:r>
    </w:p>
    <w:p>
      <w:pPr>
        <w:spacing w:before="0" w:after="0" w:line="480" w:lineRule="auto"/>
        <w:ind w:firstLine="720"/>
      </w:pPr>
      <w:r>
        <w:rPr>
          <w:b/>
          <w:bCs/>
        </w:rPr>
        <w:t xml:space="preserve">Ubicación.</w:t>
      </w:r>
      <w:r>
        <w:rPr/>
        <w:t xml:space="preserve"> Objetivo específico 4.</w:t>
      </w:r>
    </w:p>
    <w:p>
      <w:pPr>
        <w:spacing w:before="0" w:after="0" w:line="480" w:lineRule="auto"/>
        <w:ind w:firstLine="720"/>
      </w:pPr>
      <w:r>
        <w:rPr>
          <w:b/>
          <w:bCs/>
        </w:rPr>
        <w:t xml:space="preserve">Indicador afectado.</w:t>
      </w:r>
      <w:r>
        <w:rPr/>
        <w:t xml:space="preserve"> E2 (derivan del objetivo general sin exceder su alcance). Prioridad alta.</w:t>
      </w:r>
    </w:p>
    <w:p>
      <w:pPr>
        <w:spacing w:before="0" w:after="0" w:line="480" w:lineRule="auto"/>
        <w:ind w:firstLine="720"/>
      </w:pPr>
      <w:r>
        <w:rPr>
          <w:b/>
          <w:bCs/>
        </w:rPr>
        <w:t xml:space="preserve">Descripción.</w:t>
      </w:r>
      <w:r>
        <w:rPr/>
        <w:t xml:space="preserve"> El OE4 propone comparar las tres variables con el baloncesto masculino colombiano y con las tendencias internacionales, pero ninguna de esas comparaciones aparece en el objetivo general. Además, la delimitación excluye «la rama masculina considerada en sí misma», lo que obliga a reunir datos de una población que no se estudia.</w:t>
      </w:r>
    </w:p>
    <w:p>
      <w:pPr>
        <w:spacing w:before="0" w:after="0" w:line="480" w:lineRule="auto"/>
        <w:ind w:firstLine="720"/>
      </w:pPr>
      <w:r>
        <w:rPr>
          <w:b/>
          <w:bCs/>
        </w:rPr>
        <w:t xml:space="preserve">Corrección.</w:t>
      </w:r>
      <w:r>
        <w:rPr/>
        <w:t xml:space="preserve"> Elegir una de dos opciones: (a) suprimir el OE4 y presentar la comparación como un recurso de interpretación en la discusión, o (b) incorporar la comparación al objetivo general (por ejemplo, «… y contrastarla con la rama masculina nacional») y precisar en la delimitación qué datos masculinos se usarán.</w:t>
      </w:r>
    </w:p>
    <w:p>
      <w:pPr>
        <w:pStyle w:val="Heading3"/>
        <w:spacing w:before="0" w:after="0" w:line="480" w:lineRule="auto"/>
      </w:pPr>
      <w:r>
        <w:rPr/>
        <w:t xml:space="preserve">Error 8. Objetivos formulados como pasos del procedimiento y con criterios de análisis</w:t>
      </w:r>
    </w:p>
    <w:p>
      <w:pPr>
        <w:spacing w:before="0" w:after="0" w:line="480" w:lineRule="auto"/>
        <w:ind w:firstLine="720"/>
      </w:pPr>
      <w:r>
        <w:rPr>
          <w:b/>
          <w:bCs/>
        </w:rPr>
        <w:t xml:space="preserve">Ubicación.</w:t>
      </w:r>
      <w:r>
        <w:rPr/>
        <w:t xml:space="preserve"> Objetivos específicos 1 y 3.</w:t>
      </w:r>
    </w:p>
    <w:p>
      <w:pPr>
        <w:spacing w:before="0" w:after="0" w:line="480" w:lineRule="auto"/>
        <w:ind w:firstLine="720"/>
      </w:pPr>
      <w:r>
        <w:rPr>
          <w:b/>
          <w:bCs/>
        </w:rPr>
        <w:t xml:space="preserve">Indicador afectado.</w:t>
      </w:r>
      <w:r>
        <w:rPr/>
        <w:t xml:space="preserve"> E1 y E3 (un resultado de conocimiento por objetivo; secuencia viable). Prioridad media.</w:t>
      </w:r>
    </w:p>
    <w:p>
      <w:pPr>
        <w:spacing w:before="0" w:after="0" w:line="480" w:lineRule="auto"/>
        <w:ind w:firstLine="720"/>
      </w:pPr>
      <w:r>
        <w:rPr>
          <w:b/>
          <w:bCs/>
        </w:rPr>
        <w:t xml:space="preserve">Descripción.</w:t>
      </w:r>
      <w:r>
        <w:rPr/>
        <w:t xml:space="preserve"> El OE1 («Identificar los certámenes […], los clubes participantes y las fuentes de financiación») es un inventario previo, es decir, una actividad metodológica, más que un resultado de conocimiento. El OE3 incluye un criterio de análisis («tomando como unidad de referencia el salario mínimo legal mensual vigente») que corresponde a la metodología. El OE2 depende de la «estructura presupuestal reportada por los clubes», que el propio documento reconoce que no es de publicación obligatoria.</w:t>
      </w:r>
    </w:p>
    <w:p>
      <w:pPr>
        <w:spacing w:before="0" w:after="0" w:line="480" w:lineRule="auto"/>
        <w:ind w:firstLine="720"/>
      </w:pPr>
      <w:r>
        <w:rPr>
          <w:b/>
          <w:bCs/>
        </w:rPr>
        <w:t xml:space="preserve">Corrección.</w:t>
      </w:r>
      <w:r>
        <w:rPr/>
        <w:t xml:space="preserve"> Reformular los objetivos como resultados de conocimiento y trasladar el inventario y el SMLMV a la metodología. Ejemplo:</w:t>
      </w:r>
    </w:p>
    <w:p>
      <w:pPr>
        <w:spacing w:before="0" w:after="0" w:line="480" w:lineRule="auto"/>
        <w:ind w:left="720" w:hanging="360"/>
      </w:pPr>
      <w:r>
        <w:rPr/>
        <w:t xml:space="preserve">1. Determinar las fuentes de financiación pública y privada de los certámenes nacionales de baloncesto femenino de máxima categoría entre 2022 y 2025.</w:t>
      </w:r>
    </w:p>
    <w:p>
      <w:pPr>
        <w:spacing w:before="0" w:after="0" w:line="480" w:lineRule="auto"/>
        <w:ind w:left="720" w:hanging="360"/>
      </w:pPr>
      <w:r>
        <w:rPr/>
        <w:t xml:space="preserve">2. Describir los ingresos por patrocinio y los presupuestos de operación documentables de los clubes participantes en el mismo periodo.</w:t>
      </w:r>
    </w:p>
    <w:p>
      <w:pPr>
        <w:spacing w:before="0" w:after="0" w:line="480" w:lineRule="auto"/>
        <w:ind w:left="720" w:hanging="360"/>
      </w:pPr>
      <w:r>
        <w:rPr/>
        <w:t xml:space="preserve">3. Caracterizar las condiciones de remuneración y las modalidades de vinculación de las jugadoras durante el periodo 2022–2025.</w:t>
      </w:r>
    </w:p>
    <w:p>
      <w:pPr>
        <w:pStyle w:val="Heading2"/>
        <w:spacing w:before="0" w:after="0" w:line="480" w:lineRule="auto"/>
      </w:pPr>
      <w:r>
        <w:rPr/>
        <w:t xml:space="preserve">Justificación (Nota 5,00)</w:t>
      </w:r>
    </w:p>
    <w:p>
      <w:pPr>
        <w:pStyle w:val="Heading3"/>
        <w:spacing w:before="0" w:after="0" w:line="480" w:lineRule="auto"/>
      </w:pPr>
      <w:r>
        <w:rPr/>
        <w:t xml:space="preserve">Error 9. Repetición de argumentos del problema y viabilidad sin plan de acceso</w:t>
      </w:r>
    </w:p>
    <w:p>
      <w:pPr>
        <w:spacing w:before="0" w:after="0" w:line="480" w:lineRule="auto"/>
        <w:ind w:firstLine="720"/>
      </w:pPr>
      <w:r>
        <w:rPr>
          <w:b/>
          <w:bCs/>
        </w:rPr>
        <w:t xml:space="preserve">Ubicación.</w:t>
      </w:r>
      <w:r>
        <w:rPr/>
        <w:t xml:space="preserve"> Pertinencia teórica, Pertinencia práctica y Viabilidad.</w:t>
      </w:r>
    </w:p>
    <w:p>
      <w:pPr>
        <w:spacing w:before="0" w:after="0" w:line="480" w:lineRule="auto"/>
        <w:ind w:firstLine="720"/>
      </w:pPr>
      <w:r>
        <w:rPr>
          <w:b/>
          <w:bCs/>
        </w:rPr>
        <w:t xml:space="preserve">Indicador afectado.</w:t>
      </w:r>
      <w:r>
        <w:rPr/>
        <w:t xml:space="preserve"> J3 y J4. Prioridad baja (observación de la rúbrica ampliada por el evaluador).</w:t>
      </w:r>
    </w:p>
    <w:p>
      <w:pPr>
        <w:spacing w:before="0" w:after="0" w:line="480" w:lineRule="auto"/>
        <w:ind w:firstLine="720"/>
      </w:pPr>
      <w:r>
        <w:rPr>
          <w:b/>
          <w:bCs/>
        </w:rPr>
        <w:t xml:space="preserve">Descripción.</w:t>
      </w:r>
      <w:r>
        <w:rPr/>
        <w:t xml:space="preserve"> La justificación repite cifras ya presentadas en el problema (56 % de Norteamérica, aporte de 300 millones, carta de los cinco clubes). En la viabilidad se reconoce que la información financiera de los clubes no es de publicación obligatoria, pero no se indica cómo se obtendrá ni en qué plazo.</w:t>
      </w:r>
    </w:p>
    <w:p>
      <w:pPr>
        <w:spacing w:before="0" w:after="0" w:line="480" w:lineRule="auto"/>
        <w:ind w:firstLine="720"/>
      </w:pPr>
      <w:r>
        <w:rPr>
          <w:b/>
          <w:bCs/>
        </w:rPr>
        <w:t xml:space="preserve">Corrección.</w:t>
      </w:r>
      <w:r>
        <w:rPr/>
        <w:t xml:space="preserve"> Remitir a la descripción del problema en lugar de repetir los datos y completar la viabilidad con una relación de fuentes, su forma de acceso (consulta pública o derecho de petición) y el plazo estimado de respuesta (Ley 1755 de 2015).</w:t>
      </w:r>
    </w:p>
    <w:p>
      <w:pPr>
        <w:pStyle w:val="Heading2"/>
        <w:spacing w:before="0" w:after="0" w:line="480" w:lineRule="auto"/>
      </w:pPr>
      <w:r>
        <w:rPr/>
        <w:t xml:space="preserve">Antecedentes (Nota 3,88)</w:t>
      </w:r>
    </w:p>
    <w:p>
      <w:pPr>
        <w:pStyle w:val="Heading3"/>
        <w:spacing w:before="0" w:after="0" w:line="480" w:lineRule="auto"/>
      </w:pPr>
      <w:r>
        <w:rPr/>
        <w:t xml:space="preserve">Error 10. Ausencia de antecedentes sobre baloncesto femenino y de antecedentes regionales y locales</w:t>
      </w:r>
    </w:p>
    <w:p>
      <w:pPr>
        <w:spacing w:before="0" w:after="0" w:line="480" w:lineRule="auto"/>
        <w:ind w:firstLine="720"/>
      </w:pPr>
      <w:r>
        <w:rPr>
          <w:b/>
          <w:bCs/>
        </w:rPr>
        <w:t xml:space="preserve">Ubicación.</w:t>
      </w:r>
      <w:r>
        <w:rPr/>
        <w:t xml:space="preserve"> Antecedentes internacionales y nacionales.</w:t>
      </w:r>
    </w:p>
    <w:p>
      <w:pPr>
        <w:spacing w:before="0" w:after="0" w:line="480" w:lineRule="auto"/>
        <w:ind w:firstLine="720"/>
      </w:pPr>
      <w:r>
        <w:rPr>
          <w:b/>
          <w:bCs/>
        </w:rPr>
        <w:t xml:space="preserve">Indicador afectado.</w:t>
      </w:r>
      <w:r>
        <w:rPr/>
        <w:t xml:space="preserve"> A4 (cobertura internacional, nacional y local) y A1 (pertinencia). Prioridad alta.</w:t>
      </w:r>
    </w:p>
    <w:p>
      <w:pPr>
        <w:spacing w:before="0" w:after="0" w:line="480" w:lineRule="auto"/>
        <w:ind w:firstLine="720"/>
      </w:pPr>
      <w:r>
        <w:rPr>
          <w:b/>
          <w:bCs/>
        </w:rPr>
        <w:t xml:space="preserve">Descripción.</w:t>
      </w:r>
      <w:r>
        <w:rPr/>
        <w:t xml:space="preserve"> Ningún antecedente estudia el baloncesto femenino: los estudios tratan la brecha salarial en general (Pérez Gázquez y Barquero-Ruiz, 2024; Marín Malo, 2024), el patrocinio (Torres-Romay y García-Mirón, 2020) o el fútbol (Marín y Rodríguez, 2019; Martínez Mina et al., 2019). El subtítulo anuncia antecedentes «Nacionales y Regionales», pero no se presenta ningún estudio latinoamericano ni local (Bogotá). La revisión incluye siete trabajos académicos, uno de ellos un trabajo de grado.</w:t>
      </w:r>
    </w:p>
    <w:p>
      <w:pPr>
        <w:spacing w:before="0" w:after="0" w:line="480" w:lineRule="auto"/>
        <w:ind w:firstLine="720"/>
      </w:pPr>
      <w:r>
        <w:rPr>
          <w:b/>
          <w:bCs/>
        </w:rPr>
        <w:t xml:space="preserve">Corrección.</w:t>
      </w:r>
      <w:r>
        <w:rPr/>
        <w:t xml:space="preserve"> Ampliar la búsqueda en Scopus, Dialnet, Redalyc, SciELO y repositorios universitarios con términos como «baloncesto femenino» AND (patrocinio OR salarios OR presupuesto), «women’s basketball» AND (economics OR salaries OR sponsorship) y «liga femenina de baloncesto» con Argentina, Brasil, Chile o España. Incluir al menos un estudio latinoamericano y uno de Bogotá o Cundinamarca, aunque sea de otra disciplina. Si no se encuentran, declarar explícitamente la búsqueda realizada (bases, términos y fechas) como evidencia del vacío.</w:t>
      </w:r>
    </w:p>
    <w:p>
      <w:pPr>
        <w:pStyle w:val="Heading3"/>
        <w:spacing w:before="0" w:after="0" w:line="480" w:lineRule="auto"/>
      </w:pPr>
      <w:r>
        <w:rPr/>
        <w:t xml:space="preserve">Error 11. Reseñas sin método ni muestra</w:t>
      </w:r>
    </w:p>
    <w:p>
      <w:pPr>
        <w:spacing w:before="0" w:after="0" w:line="480" w:lineRule="auto"/>
        <w:ind w:firstLine="720"/>
      </w:pPr>
      <w:r>
        <w:rPr>
          <w:b/>
          <w:bCs/>
        </w:rPr>
        <w:t xml:space="preserve">Ubicación.</w:t>
      </w:r>
      <w:r>
        <w:rPr/>
        <w:t xml:space="preserve"> Antecedentes internacionales.</w:t>
      </w:r>
    </w:p>
    <w:p>
      <w:pPr>
        <w:spacing w:before="0" w:after="0" w:line="480" w:lineRule="auto"/>
        <w:ind w:firstLine="720"/>
      </w:pPr>
      <w:r>
        <w:rPr>
          <w:b/>
          <w:bCs/>
        </w:rPr>
        <w:t xml:space="preserve">Indicador afectado.</w:t>
      </w:r>
      <w:r>
        <w:rPr/>
        <w:t xml:space="preserve"> A2 (estructura de la reseña: objetivo, método, resultados y aporte). Prioridad media.</w:t>
      </w:r>
    </w:p>
    <w:p>
      <w:pPr>
        <w:spacing w:before="0" w:after="0" w:line="480" w:lineRule="auto"/>
        <w:ind w:firstLine="720"/>
      </w:pPr>
      <w:r>
        <w:rPr>
          <w:b/>
          <w:bCs/>
        </w:rPr>
        <w:t xml:space="preserve">Descripción.</w:t>
      </w:r>
      <w:r>
        <w:rPr/>
        <w:t xml:space="preserve"> Las reseñas de Pérez Gázquez y Barquero-Ruiz (2024), Marín Malo (2024) y Torres-Romay y García-Mirón (2020) presentan las conclusiones sin indicar el tipo de estudio, el método ni la muestra. Las de Marín y Rodríguez (2019) y Martínez Mina et al. (2019) sí lo hacen y sirven de modelo.</w:t>
      </w:r>
    </w:p>
    <w:p>
      <w:pPr>
        <w:spacing w:before="0" w:after="0" w:line="480" w:lineRule="auto"/>
        <w:ind w:firstLine="720"/>
      </w:pPr>
      <w:r>
        <w:rPr>
          <w:b/>
          <w:bCs/>
        </w:rPr>
        <w:t xml:space="preserve">Corrección.</w:t>
      </w:r>
      <w:r>
        <w:rPr/>
        <w:t xml:space="preserve"> Reseñar cada antecedente con la misma estructura. Plantilla:</w:t>
      </w:r>
    </w:p>
    <w:p>
      <w:pPr>
        <w:spacing w:before="0" w:after="0" w:line="480" w:lineRule="auto"/>
        <w:ind w:left="720"/>
      </w:pPr>
      <w:r>
        <w:rPr/>
        <w:t xml:space="preserve">Autor (año), en un estudio [tipo de estudio y enfoque] con [muestra o corpus] de [lugar y periodo], se propuso [objetivo]. Encontró que [resultado principal]. Este antecedente aporta a la presente investigación [relación con una variable u objetivo específico].</w:t>
      </w:r>
    </w:p>
    <w:p>
      <w:pPr>
        <w:pStyle w:val="Heading2"/>
        <w:spacing w:before="0" w:after="0" w:line="480" w:lineRule="auto"/>
      </w:pPr>
      <w:r>
        <w:rPr/>
        <w:t xml:space="preserve">Marco Teórico y Conceptual (Nota 5,00)</w:t>
      </w:r>
    </w:p>
    <w:p>
      <w:pPr>
        <w:spacing w:before="0" w:after="0" w:line="480" w:lineRule="auto"/>
        <w:ind w:firstLine="720"/>
      </w:pPr>
      <w:r>
        <w:rPr/>
        <w:t xml:space="preserve">La rúbrica califica este apartado con la nota máxima por su uso de fuentes de base y la síntesis que lo vincula con la pregunta. Los siguientes errores son adicionales y no fueron registrados en la rúbrica.</w:t>
      </w:r>
    </w:p>
    <w:p>
      <w:pPr>
        <w:pStyle w:val="Heading3"/>
        <w:spacing w:before="0" w:after="0" w:line="480" w:lineRule="auto"/>
      </w:pPr>
      <w:r>
        <w:rPr/>
        <w:t xml:space="preserve">Error 12. Definición de «presupuesto» incoherente entre el glosario y el marco conceptual (error adicional)</w:t>
      </w:r>
    </w:p>
    <w:p>
      <w:pPr>
        <w:spacing w:before="0" w:after="0" w:line="480" w:lineRule="auto"/>
        <w:ind w:firstLine="720"/>
      </w:pPr>
      <w:r>
        <w:rPr>
          <w:b/>
          <w:bCs/>
        </w:rPr>
        <w:t xml:space="preserve">Ubicación.</w:t>
      </w:r>
      <w:r>
        <w:rPr/>
        <w:t xml:space="preserve"> Glosario y apartado Marco conceptual.</w:t>
      </w:r>
    </w:p>
    <w:p>
      <w:pPr>
        <w:spacing w:before="0" w:after="0" w:line="480" w:lineRule="auto"/>
        <w:ind w:firstLine="720"/>
      </w:pPr>
      <w:r>
        <w:rPr>
          <w:b/>
          <w:bCs/>
        </w:rPr>
        <w:t xml:space="preserve">Indicador afectado.</w:t>
      </w:r>
      <w:r>
        <w:rPr/>
        <w:t xml:space="preserve"> M1 (definición de las categorías del problema). Prioridad media.</w:t>
      </w:r>
    </w:p>
    <w:p>
      <w:pPr>
        <w:spacing w:before="0" w:after="0" w:line="480" w:lineRule="auto"/>
        <w:ind w:firstLine="720"/>
      </w:pPr>
      <w:r>
        <w:rPr>
          <w:b/>
          <w:bCs/>
        </w:rPr>
        <w:t xml:space="preserve">Descripción.</w:t>
      </w:r>
      <w:r>
        <w:rPr/>
        <w:t xml:space="preserve"> El glosario define el presupuesto como una «estimación de ingresos y gastos» proyectada (definición ex ante, sin fuente). El marco conceptual lo define como «la relación entre activos, pasivos, patrimonio, ingresos, costos y gastos», que corresponde a los estados financieros, es decir, a la ejecución ex post. Son dos conceptos distintos, y la elección determina qué datos se buscarán en el capítulo 3.</w:t>
      </w:r>
    </w:p>
    <w:p>
      <w:pPr>
        <w:spacing w:before="0" w:after="0" w:line="480" w:lineRule="auto"/>
        <w:ind w:firstLine="720"/>
      </w:pPr>
      <w:r>
        <w:rPr>
          <w:b/>
          <w:bCs/>
        </w:rPr>
        <w:t xml:space="preserve">Corrección.</w:t>
      </w:r>
      <w:r>
        <w:rPr/>
        <w:t xml:space="preserve"> Distinguir ambos conceptos y declarar cuál se medirá. Ejemplo:</w:t>
      </w:r>
    </w:p>
    <w:p>
      <w:pPr>
        <w:spacing w:before="0" w:after="0" w:line="480" w:lineRule="auto"/>
        <w:ind w:left="720"/>
      </w:pPr>
      <w:r>
        <w:rPr/>
        <w:t xml:space="preserve">Se distingue entre presupuesto, entendido como la proyección de ingresos y gastos que un club aprueba para una temporada, y estados financieros, que registran lo efectivamente ejecutado. Dado que los clubes no publican sus presupuestos, este estudio empleará como indicador los estados financieros reportados al Ministerio del Deporte (Ministerio del Deporte, 2023b).</w:t>
      </w:r>
    </w:p>
    <w:p>
      <w:pPr>
        <w:pStyle w:val="Heading3"/>
        <w:spacing w:before="0" w:after="0" w:line="480" w:lineRule="auto"/>
      </w:pPr>
      <w:r>
        <w:rPr/>
        <w:t xml:space="preserve">Error 13. Ideas atribuidas a autores que no las sostienen o que no son su fuente original (error adicional)</w:t>
      </w:r>
    </w:p>
    <w:p>
      <w:pPr>
        <w:spacing w:before="0" w:after="0" w:line="480" w:lineRule="auto"/>
        <w:ind w:firstLine="720"/>
      </w:pPr>
      <w:r>
        <w:rPr>
          <w:b/>
          <w:bCs/>
        </w:rPr>
        <w:t xml:space="preserve">Ubicación.</w:t>
      </w:r>
      <w:r>
        <w:rPr/>
        <w:t xml:space="preserve"> Teoría del patrocinio deportivo; Economía del deporte; Síntesis de la referencia teórica.</w:t>
      </w:r>
    </w:p>
    <w:p>
      <w:pPr>
        <w:spacing w:before="0" w:after="0" w:line="480" w:lineRule="auto"/>
        <w:ind w:firstLine="720"/>
      </w:pPr>
      <w:r>
        <w:rPr>
          <w:b/>
          <w:bCs/>
        </w:rPr>
        <w:t xml:space="preserve">Indicador afectado.</w:t>
      </w:r>
      <w:r>
        <w:rPr/>
        <w:t xml:space="preserve"> M2 (fuentes primarias) y M4 (paráfrasis fiel). Prioridad media.</w:t>
      </w:r>
    </w:p>
    <w:p>
      <w:pPr>
        <w:spacing w:before="0" w:after="0" w:line="480" w:lineRule="auto"/>
        <w:ind w:firstLine="720"/>
      </w:pPr>
      <w:r>
        <w:rPr>
          <w:b/>
          <w:bCs/>
        </w:rPr>
        <w:t xml:space="preserve">Descripción.</w:t>
      </w:r>
      <w:r>
        <w:rPr/>
        <w:t xml:space="preserve"> En la síntesis se afirma que la inversión privada «se mueve más por responsabilidad social que por cálculo comercial» y se cita a Cornwell (1995) junto con Torres-Romay y García-Mirón (2020); sin embargo, Cornwell desarrolla el concepto de </w:t>
      </w:r>
      <w:r>
        <w:rPr>
          <w:i/>
          <w:iCs/>
        </w:rPr>
        <w:t xml:space="preserve">sponsorship-linked marketing</w:t>
      </w:r>
      <w:r>
        <w:rPr/>
        <w:t xml:space="preserve">, que trata la explotación comercial del patrocinio, no la responsabilidad social. De igual modo, la idea del club como maximizador de utilidad sujeto a una restricción financiera se atribuye solo a Szymanski (2003), cuyo artículo es una revisión del diseño de competiciones; el planteamiento original es de Sloane (1971). La necesidad de varios competidores viables, que se atribuye a Rodríguez Guerrero (2012), procede de Neale (1964).</w:t>
      </w:r>
    </w:p>
    <w:p>
      <w:pPr>
        <w:spacing w:before="0" w:after="0" w:line="480" w:lineRule="auto"/>
        <w:ind w:firstLine="720"/>
      </w:pPr>
      <w:r>
        <w:rPr>
          <w:b/>
          <w:bCs/>
        </w:rPr>
        <w:t xml:space="preserve">Corrección.</w:t>
      </w:r>
      <w:r>
        <w:rPr/>
        <w:t xml:space="preserve"> Citar a Cornwell (1995) solo para el concepto de explotación comercial del patrocinio y dejar la tesis de la responsabilidad social en Torres-Romay y García-Mirón (2020). Incorporar las fuentes originales: «… lo que Sloane (1971) describió como maximización de la utilidad sujeta a una restricción de equilibrio financiero, planteamiento que Szymanski (2003) retoma en su revisión».</w:t>
      </w:r>
    </w:p>
    <w:p>
      <w:pPr>
        <w:pStyle w:val="Heading3"/>
        <w:spacing w:before="0" w:after="0" w:line="480" w:lineRule="auto"/>
      </w:pPr>
      <w:r>
        <w:rPr/>
        <w:t xml:space="preserve">Error 14. Términos del glosario sin fuente y sin uso en el texto (error adicional)</w:t>
      </w:r>
    </w:p>
    <w:p>
      <w:pPr>
        <w:spacing w:before="0" w:after="0" w:line="480" w:lineRule="auto"/>
        <w:ind w:firstLine="720"/>
      </w:pPr>
      <w:r>
        <w:rPr>
          <w:b/>
          <w:bCs/>
        </w:rPr>
        <w:t xml:space="preserve">Ubicación.</w:t>
      </w:r>
      <w:r>
        <w:rPr/>
        <w:t xml:space="preserve"> Glosario.</w:t>
      </w:r>
    </w:p>
    <w:p>
      <w:pPr>
        <w:spacing w:before="0" w:after="0" w:line="480" w:lineRule="auto"/>
        <w:ind w:firstLine="720"/>
      </w:pPr>
      <w:r>
        <w:rPr>
          <w:b/>
          <w:bCs/>
        </w:rPr>
        <w:t xml:space="preserve">Indicador afectado.</w:t>
      </w:r>
      <w:r>
        <w:rPr/>
        <w:t xml:space="preserve"> M4 (sin fragmentos sin fuente). Prioridad baja.</w:t>
      </w:r>
    </w:p>
    <w:p>
      <w:pPr>
        <w:spacing w:before="0" w:after="0" w:line="480" w:lineRule="auto"/>
        <w:ind w:firstLine="720"/>
      </w:pPr>
      <w:r>
        <w:rPr>
          <w:b/>
          <w:bCs/>
        </w:rPr>
        <w:t xml:space="preserve">Descripción.</w:t>
      </w:r>
      <w:r>
        <w:rPr/>
        <w:t xml:space="preserve"> Los términos «Valor de marca» y «Modelo de negocio autosustentable» no tienen fuente y no vuelven a aparecer en el documento. «Presupuesto del club» tampoco tiene fuente (véase el Error 12).</w:t>
      </w:r>
    </w:p>
    <w:p>
      <w:pPr>
        <w:spacing w:before="0" w:after="0" w:line="480" w:lineRule="auto"/>
        <w:ind w:firstLine="720"/>
      </w:pPr>
      <w:r>
        <w:rPr>
          <w:b/>
          <w:bCs/>
        </w:rPr>
        <w:t xml:space="preserve">Corrección.</w:t>
      </w:r>
      <w:r>
        <w:rPr/>
        <w:t xml:space="preserve"> Eliminar los términos que no se usan o, si se conservan, sustentarlos con una fuente y emplearlos en el marco conceptual.</w:t>
      </w:r>
    </w:p>
    <w:p>
      <w:pPr>
        <w:pStyle w:val="Heading2"/>
        <w:spacing w:before="0" w:after="0" w:line="480" w:lineRule="auto"/>
      </w:pPr>
      <w:r>
        <w:rPr/>
        <w:t xml:space="preserve">APA 7 y Redacción (Nota 3,25)</w:t>
      </w:r>
    </w:p>
    <w:p>
      <w:pPr>
        <w:pStyle w:val="Heading3"/>
        <w:spacing w:before="0" w:after="0" w:line="480" w:lineRule="auto"/>
      </w:pPr>
      <w:r>
        <w:rPr/>
        <w:t xml:space="preserve">Error 15. Dos fuentes del mismo autor y año sin sufijo</w:t>
      </w:r>
    </w:p>
    <w:p>
      <w:pPr>
        <w:spacing w:before="0" w:after="0" w:line="480" w:lineRule="auto"/>
        <w:ind w:firstLine="720"/>
      </w:pPr>
      <w:r>
        <w:rPr>
          <w:b/>
          <w:bCs/>
        </w:rPr>
        <w:t xml:space="preserve">Ubicación.</w:t>
      </w:r>
      <w:r>
        <w:rPr/>
        <w:t xml:space="preserve"> Todo el documento y lista de referencias.</w:t>
      </w:r>
    </w:p>
    <w:p>
      <w:pPr>
        <w:spacing w:before="0" w:after="0" w:line="480" w:lineRule="auto"/>
        <w:ind w:firstLine="720"/>
      </w:pPr>
      <w:r>
        <w:rPr>
          <w:b/>
          <w:bCs/>
        </w:rPr>
        <w:t xml:space="preserve">Indicador afectado.</w:t>
      </w:r>
      <w:r>
        <w:rPr/>
        <w:t xml:space="preserve"> T1 (citas en texto). Prioridad alta.</w:t>
      </w:r>
    </w:p>
    <w:p>
      <w:pPr>
        <w:spacing w:before="0" w:after="0" w:line="480" w:lineRule="auto"/>
        <w:ind w:firstLine="720"/>
      </w:pPr>
      <w:r>
        <w:rPr>
          <w:b/>
          <w:bCs/>
        </w:rPr>
        <w:t xml:space="preserve">Descripción.</w:t>
      </w:r>
      <w:r>
        <w:rPr/>
        <w:t xml:space="preserve"> Hay dos referencias de Ministerio del Deporte (2023): la noticia del 23 de mayo y el informe </w:t>
      </w:r>
      <w:r>
        <w:rPr>
          <w:i/>
          <w:iCs/>
        </w:rPr>
        <w:t xml:space="preserve">Panorama financiero y laboral</w:t>
      </w:r>
      <w:r>
        <w:rPr/>
        <w:t xml:space="preserve"> de agosto. Ambas se citan como «Ministerio del Deporte (2023)», de modo que el lector no puede saber a cuál remite cada cita.</w:t>
      </w:r>
    </w:p>
    <w:p>
      <w:pPr>
        <w:spacing w:before="0" w:after="0" w:line="480" w:lineRule="auto"/>
        <w:ind w:firstLine="720"/>
      </w:pPr>
      <w:r>
        <w:rPr>
          <w:b/>
          <w:bCs/>
        </w:rPr>
        <w:t xml:space="preserve">Corrección.</w:t>
      </w:r>
      <w:r>
        <w:rPr/>
        <w:t xml:space="preserve"> Asignar sufijos en orden cronológico (American Psychological Association, 2020, sección 9.47): </w:t>
      </w:r>
      <w:r>
        <w:rPr>
          <w:i/>
          <w:iCs/>
        </w:rPr>
        <w:t xml:space="preserve">Ministerio del Deporte. (2023a, 23 de mayo)</w:t>
      </w:r>
      <w:r>
        <w:rPr/>
        <w:t xml:space="preserve"> para la noticia y </w:t>
      </w:r>
      <w:r>
        <w:rPr>
          <w:i/>
          <w:iCs/>
        </w:rPr>
        <w:t xml:space="preserve">Ministerio del Deporte. (2023b, agosto)</w:t>
      </w:r>
      <w:r>
        <w:rPr/>
        <w:t xml:space="preserve"> para el informe. En el texto, citar 2023a en la conferencia Centro del nivel local y en la nota de la Tabla 2, y 2023b en los antecedentes nacionales y en el marco teórico y conceptual. El grupo debe confirmar esta asignación contra el contenido de cada fuente.</w:t>
      </w:r>
    </w:p>
    <w:p>
      <w:pPr>
        <w:pStyle w:val="Heading3"/>
        <w:spacing w:before="0" w:after="0" w:line="480" w:lineRule="auto"/>
      </w:pPr>
      <w:r>
        <w:rPr/>
        <w:t xml:space="preserve">Error 16. Fuentes con sufijo en la lista citadas sin sufijo</w:t>
      </w:r>
    </w:p>
    <w:p>
      <w:pPr>
        <w:spacing w:before="0" w:after="0" w:line="480" w:lineRule="auto"/>
        <w:ind w:firstLine="720"/>
      </w:pPr>
      <w:r>
        <w:rPr>
          <w:b/>
          <w:bCs/>
        </w:rPr>
        <w:t xml:space="preserve">Ubicación.</w:t>
      </w:r>
      <w:r>
        <w:rPr/>
        <w:t xml:space="preserve"> Introducción y contextualización regional (cuatro citas).</w:t>
      </w:r>
    </w:p>
    <w:p>
      <w:pPr>
        <w:spacing w:before="0" w:after="0" w:line="480" w:lineRule="auto"/>
        <w:ind w:firstLine="720"/>
      </w:pPr>
      <w:r>
        <w:rPr>
          <w:b/>
          <w:bCs/>
        </w:rPr>
        <w:t xml:space="preserve">Indicador afectado.</w:t>
      </w:r>
      <w:r>
        <w:rPr/>
        <w:t xml:space="preserve"> T1. Prioridad media.</w:t>
      </w:r>
    </w:p>
    <w:p>
      <w:pPr>
        <w:spacing w:before="0" w:after="0" w:line="480" w:lineRule="auto"/>
        <w:ind w:firstLine="720"/>
      </w:pPr>
      <w:r>
        <w:rPr>
          <w:b/>
          <w:bCs/>
        </w:rPr>
        <w:t xml:space="preserve">Descripción.</w:t>
      </w:r>
      <w:r>
        <w:rPr/>
        <w:t xml:space="preserve"> La lista distingue FIBA (2025a) y FIBA (2025b), pero en el texto se cita siempre «FIBA, 2025».</w:t>
      </w:r>
    </w:p>
    <w:p>
      <w:pPr>
        <w:spacing w:before="0" w:after="0" w:line="480" w:lineRule="auto"/>
        <w:ind w:firstLine="720"/>
      </w:pPr>
      <w:r>
        <w:rPr>
          <w:b/>
          <w:bCs/>
        </w:rPr>
        <w:t xml:space="preserve">Corrección.</w:t>
      </w:r>
      <w:r>
        <w:rPr/>
        <w:t xml:space="preserve"> Citar FIBA (2025a), el perfil de equipo, para el ranking, los bronces sudamericanos y la trayectoria de la armadora; y FIBA (2025b) para la sede, las fechas y la clasificación a los torneos clasificatorios de la Copa del Mundo 2026, previa confirmación del contenido de cada página.</w:t>
      </w:r>
    </w:p>
    <w:p>
      <w:pPr>
        <w:pStyle w:val="Heading3"/>
        <w:spacing w:before="0" w:after="0" w:line="480" w:lineRule="auto"/>
      </w:pPr>
      <w:r>
        <w:rPr/>
        <w:t xml:space="preserve">Error 17. Noticias sin firma con el medio como autor y títulos sin cursiva (error adicional)</w:t>
      </w:r>
    </w:p>
    <w:p>
      <w:pPr>
        <w:spacing w:before="0" w:after="0" w:line="480" w:lineRule="auto"/>
        <w:ind w:firstLine="720"/>
      </w:pPr>
      <w:r>
        <w:rPr>
          <w:b/>
          <w:bCs/>
        </w:rPr>
        <w:t xml:space="preserve">Ubicación.</w:t>
      </w:r>
      <w:r>
        <w:rPr/>
        <w:t xml:space="preserve"> Lista de referencias.</w:t>
      </w:r>
    </w:p>
    <w:p>
      <w:pPr>
        <w:spacing w:before="0" w:after="0" w:line="480" w:lineRule="auto"/>
        <w:ind w:firstLine="720"/>
      </w:pPr>
      <w:r>
        <w:rPr>
          <w:b/>
          <w:bCs/>
        </w:rPr>
        <w:t xml:space="preserve">Indicador afectado.</w:t>
      </w:r>
      <w:r>
        <w:rPr/>
        <w:t xml:space="preserve"> T3 (formato de la lista de referencias). Prioridad media.</w:t>
      </w:r>
    </w:p>
    <w:p>
      <w:pPr>
        <w:spacing w:before="0" w:after="0" w:line="480" w:lineRule="auto"/>
        <w:ind w:firstLine="720"/>
      </w:pPr>
      <w:r>
        <w:rPr>
          <w:b/>
          <w:bCs/>
        </w:rPr>
        <w:t xml:space="preserve">Descripción.</w:t>
      </w:r>
      <w:r>
        <w:rPr/>
        <w:t xml:space="preserve"> Las notas de El Espectador, Semana, Vanguardia e Infobae se registran con el medio en la posición del autor. Según APA 7, si la nota no tiene autor, el título pasa a la posición del autor y el medio se escribe después de la fecha. Además, los títulos de páginas web y comunicados (Claro Sports, Deloitte, ESPN, FIBA, Infobae, Latinbasket, Vorágine, WNBA y la noticia del Ministerio del Deporte) no están en cursiva, y los nombres de periódicos y revistas (El Espectador, Semana, Vanguardia) tampoco.</w:t>
      </w:r>
    </w:p>
    <w:p>
      <w:pPr>
        <w:spacing w:before="0" w:after="0" w:line="480" w:lineRule="auto"/>
        <w:ind w:firstLine="720"/>
      </w:pPr>
      <w:r>
        <w:rPr>
          <w:b/>
          <w:bCs/>
        </w:rPr>
        <w:t xml:space="preserve">Corrección.</w:t>
      </w:r>
      <w:r>
        <w:rPr/>
        <w:t xml:space="preserve"> Verificar si cada nota tiene periodista firmante y, si lo tiene, usarlo como autor. Si no hay firma, aplicar el formato de obra sin autor. Ejemplos:</w:t>
      </w:r>
    </w:p>
    <w:p>
      <w:pPr>
        <w:spacing w:before="0" w:after="0" w:line="480" w:lineRule="auto"/>
        <w:ind w:left="720" w:hanging="720"/>
      </w:pPr>
      <w:r>
        <w:rPr/>
        <w:t xml:space="preserve">Así se jugará la Liga Superior Femenina de Baloncesto. (2023, 23 de mayo). </w:t>
      </w:r>
      <w:r>
        <w:rPr>
          <w:i/>
          <w:iCs/>
        </w:rPr>
        <w:t xml:space="preserve">El Espectador</w:t>
      </w:r>
      <w:r>
        <w:rPr/>
        <w:t xml:space="preserve">. https://www.elespectador.com/deportes/mas-deportes/asi-se-jugara-la-liga-superior-femenina-de-baloncesto/</w:t>
      </w:r>
    </w:p>
    <w:p>
      <w:pPr>
        <w:spacing w:before="0" w:after="0" w:line="480" w:lineRule="auto"/>
        <w:ind w:left="720" w:hanging="720"/>
      </w:pPr>
      <w:r>
        <w:rPr/>
        <w:t xml:space="preserve">Deloitte. (2025, 18 de marzo). </w:t>
      </w:r>
      <w:r>
        <w:rPr>
          <w:i/>
          <w:iCs/>
        </w:rPr>
        <w:t xml:space="preserve">Women’s elite sports exceed expectations as revenues forecasted to surpass $2.3 billion globally in 2025</w:t>
      </w:r>
      <w:r>
        <w:rPr/>
        <w:t xml:space="preserve"> [Comunicado de prensa]. https://www.deloitte.com/us/en/about/press-room/womens-elite-sports-exceed-expectations.html</w:t>
      </w:r>
    </w:p>
    <w:p>
      <w:pPr>
        <w:spacing w:before="0" w:after="0" w:line="480" w:lineRule="auto"/>
        <w:ind w:firstLine="720"/>
      </w:pPr>
      <w:r>
        <w:rPr>
          <w:b/>
          <w:bCs/>
        </w:rPr>
        <w:t xml:space="preserve">Cita en el texto.</w:t>
      </w:r>
      <w:r>
        <w:rPr/>
        <w:t xml:space="preserve"> En las obras sin autor se usa el título abreviado entre comillas: («Así se jugará», 2023).</w:t>
      </w:r>
    </w:p>
    <w:p>
      <w:pPr>
        <w:pStyle w:val="Heading3"/>
        <w:spacing w:before="0" w:after="0" w:line="480" w:lineRule="auto"/>
      </w:pPr>
      <w:r>
        <w:rPr/>
        <w:t xml:space="preserve">Error 18. Artículos académicos enlazados a ResearchGate en lugar del DOI</w:t>
      </w:r>
    </w:p>
    <w:p>
      <w:pPr>
        <w:spacing w:before="0" w:after="0" w:line="480" w:lineRule="auto"/>
        <w:ind w:firstLine="720"/>
      </w:pPr>
      <w:r>
        <w:rPr>
          <w:b/>
          <w:bCs/>
        </w:rPr>
        <w:t xml:space="preserve">Ubicación.</w:t>
      </w:r>
      <w:r>
        <w:rPr/>
        <w:t xml:space="preserve"> Lista de referencias.</w:t>
      </w:r>
    </w:p>
    <w:p>
      <w:pPr>
        <w:spacing w:before="0" w:after="0" w:line="480" w:lineRule="auto"/>
        <w:ind w:firstLine="720"/>
      </w:pPr>
      <w:r>
        <w:rPr>
          <w:b/>
          <w:bCs/>
        </w:rPr>
        <w:t xml:space="preserve">Indicador afectado.</w:t>
      </w:r>
      <w:r>
        <w:rPr/>
        <w:t xml:space="preserve"> T3. Prioridad baja.</w:t>
      </w:r>
    </w:p>
    <w:p>
      <w:pPr>
        <w:spacing w:before="0" w:after="0" w:line="480" w:lineRule="auto"/>
        <w:ind w:firstLine="720"/>
      </w:pPr>
      <w:r>
        <w:rPr>
          <w:b/>
          <w:bCs/>
        </w:rPr>
        <w:t xml:space="preserve">Descripción.</w:t>
      </w:r>
      <w:r>
        <w:rPr/>
        <w:t xml:space="preserve"> Szymanski (2003) y Cornwell (1995) se enlazan a ResearchGate. APA 7 pide el DOI cuando existe y, si no existe, la URL de la revista o la editorial; los sitios de redes académicas no son la fuente de publicación.</w:t>
      </w:r>
    </w:p>
    <w:p>
      <w:pPr>
        <w:spacing w:before="0" w:after="0" w:line="480" w:lineRule="auto"/>
        <w:ind w:firstLine="720"/>
      </w:pPr>
      <w:r>
        <w:rPr>
          <w:b/>
          <w:bCs/>
        </w:rPr>
        <w:t xml:space="preserve">Corrección.</w:t>
      </w:r>
      <w:r>
        <w:rPr/>
        <w:t xml:space="preserve"> Szymanski (2003) tiene DOI y debe registrarse así:</w:t>
      </w:r>
    </w:p>
    <w:p>
      <w:pPr>
        <w:spacing w:before="0" w:after="0" w:line="480" w:lineRule="auto"/>
        <w:ind w:left="720" w:hanging="720"/>
      </w:pPr>
      <w:r>
        <w:rPr/>
        <w:t xml:space="preserve">Szymanski, S. (2003). The economic design of sporting contests. </w:t>
      </w:r>
      <w:r>
        <w:rPr>
          <w:i/>
          <w:iCs/>
        </w:rPr>
        <w:t xml:space="preserve">Journal of Economic Literature, 41</w:t>
      </w:r>
      <w:r>
        <w:rPr/>
        <w:t xml:space="preserve">(4), 1137–1187. https://doi.org/10.1257/002205103771800004</w:t>
      </w:r>
    </w:p>
    <w:p>
      <w:pPr>
        <w:spacing w:before="0" w:after="0" w:line="480" w:lineRule="auto"/>
        <w:ind w:firstLine="720"/>
      </w:pPr>
      <w:r>
        <w:rPr>
          <w:b/>
          <w:bCs/>
        </w:rPr>
        <w:t xml:space="preserve">Para Cornwell (1995).</w:t>
      </w:r>
      <w:r>
        <w:rPr/>
        <w:t xml:space="preserve"> Si no se encuentra un DOI en el sitio de </w:t>
      </w:r>
      <w:r>
        <w:rPr>
          <w:i/>
          <w:iCs/>
        </w:rPr>
        <w:t xml:space="preserve">Sport Marketing Quarterly</w:t>
      </w:r>
      <w:r>
        <w:rPr/>
        <w:t xml:space="preserve">, se puede omitir la URL, porque es un artículo de revista impresa. Se recomienda verificar también si los artículos de Pérez Gázquez y Barquero-Ruiz (2024), Rodríguez Guerrero (2012) y Torres-Romay y García-Mirón (2020) tienen DOI, y preferirlo a la URL del visor o de Dialnet.</w:t>
      </w:r>
    </w:p>
    <w:p>
      <w:pPr>
        <w:pStyle w:val="Heading3"/>
        <w:spacing w:before="0" w:after="0" w:line="480" w:lineRule="auto"/>
      </w:pPr>
      <w:r>
        <w:rPr/>
        <w:t xml:space="preserve">Error 19. Normas sin cita formal o sin enlace</w:t>
      </w:r>
    </w:p>
    <w:p>
      <w:pPr>
        <w:spacing w:before="0" w:after="0" w:line="480" w:lineRule="auto"/>
        <w:ind w:firstLine="720"/>
      </w:pPr>
      <w:r>
        <w:rPr>
          <w:b/>
          <w:bCs/>
        </w:rPr>
        <w:t xml:space="preserve">Ubicación.</w:t>
      </w:r>
      <w:r>
        <w:rPr/>
        <w:t xml:space="preserve"> Pertinencia disciplinar y lista de referencias.</w:t>
      </w:r>
    </w:p>
    <w:p>
      <w:pPr>
        <w:spacing w:before="0" w:after="0" w:line="480" w:lineRule="auto"/>
        <w:ind w:firstLine="720"/>
      </w:pPr>
      <w:r>
        <w:rPr>
          <w:b/>
          <w:bCs/>
        </w:rPr>
        <w:t xml:space="preserve">Indicador afectado.</w:t>
      </w:r>
      <w:r>
        <w:rPr/>
        <w:t xml:space="preserve"> T2 (correspondencia entre citas y referencias) y T3. Prioridad baja.</w:t>
      </w:r>
    </w:p>
    <w:p>
      <w:pPr>
        <w:spacing w:before="0" w:after="0" w:line="480" w:lineRule="auto"/>
        <w:ind w:firstLine="720"/>
      </w:pPr>
      <w:r>
        <w:rPr>
          <w:b/>
          <w:bCs/>
        </w:rPr>
        <w:t xml:space="preserve">Descripción.</w:t>
      </w:r>
      <w:r>
        <w:rPr/>
        <w:t xml:space="preserve"> La Ley 181 de 1995 aparece en la lista de referencias, pero en el texto solo se menciona («que modificó la Ley 181 de 1995»), sin cita en formato autor-fecha. Esa referencia y el Decreto 1724 de 2021 no tienen URL, a diferencia de las demás normas.</w:t>
      </w:r>
    </w:p>
    <w:p>
      <w:pPr>
        <w:spacing w:before="0" w:after="0" w:line="480" w:lineRule="auto"/>
        <w:ind w:firstLine="720"/>
      </w:pPr>
      <w:r>
        <w:rPr>
          <w:b/>
          <w:bCs/>
        </w:rPr>
        <w:t xml:space="preserve">Corrección.</w:t>
      </w:r>
      <w:r>
        <w:rPr/>
        <w:t xml:space="preserve"> Citar la norma donde se menciona, por ejemplo: «… la Ley 1445 de 2011, que modificó la Ley 181 de 1995 (Congreso de la República de Colombia, 1995)…». Agregar a ambas referencias la URL del Gestor Normativo de Función Pública, como en las demás normas.</w:t>
      </w:r>
    </w:p>
    <w:p>
      <w:pPr>
        <w:pStyle w:val="Heading3"/>
        <w:spacing w:before="0" w:after="0" w:line="480" w:lineRule="auto"/>
      </w:pPr>
      <w:r>
        <w:rPr/>
        <w:t xml:space="preserve">Error 20. Resumen y abstract fuera de la extensión y el formato APA (error adicional)</w:t>
      </w:r>
    </w:p>
    <w:p>
      <w:pPr>
        <w:spacing w:before="0" w:after="0" w:line="480" w:lineRule="auto"/>
        <w:ind w:firstLine="720"/>
      </w:pPr>
      <w:r>
        <w:rPr>
          <w:b/>
          <w:bCs/>
        </w:rPr>
        <w:t xml:space="preserve">Ubicación.</w:t>
      </w:r>
      <w:r>
        <w:rPr/>
        <w:t xml:space="preserve"> Resumen y Abstract.</w:t>
      </w:r>
    </w:p>
    <w:p>
      <w:pPr>
        <w:spacing w:before="0" w:after="0" w:line="480" w:lineRule="auto"/>
        <w:ind w:firstLine="720"/>
      </w:pPr>
      <w:r>
        <w:rPr>
          <w:b/>
          <w:bCs/>
        </w:rPr>
        <w:t xml:space="preserve">Indicador afectado.</w:t>
      </w:r>
      <w:r>
        <w:rPr/>
        <w:t xml:space="preserve"> T4 (estilo y plantilla). Prioridad media.</w:t>
      </w:r>
    </w:p>
    <w:p>
      <w:pPr>
        <w:spacing w:before="0" w:after="0" w:line="480" w:lineRule="auto"/>
        <w:ind w:firstLine="720"/>
      </w:pPr>
      <w:r>
        <w:rPr>
          <w:b/>
          <w:bCs/>
        </w:rPr>
        <w:t xml:space="preserve">Descripción.</w:t>
      </w:r>
      <w:r>
        <w:rPr/>
        <w:t xml:space="preserve"> El resumen tiene unas 330 palabras distribuidas en tres párrafos con sangría, y el abstract unas 300. APA 7 establece un único párrafo sin sangría de hasta 250 palabras, salvo que la institución indique otro límite.</w:t>
      </w:r>
    </w:p>
    <w:p>
      <w:pPr>
        <w:spacing w:before="0" w:after="0" w:line="480" w:lineRule="auto"/>
        <w:ind w:firstLine="720"/>
      </w:pPr>
      <w:r>
        <w:rPr>
          <w:b/>
          <w:bCs/>
        </w:rPr>
        <w:t xml:space="preserve">Corrección.</w:t>
      </w:r>
      <w:r>
        <w:rPr/>
        <w:t xml:space="preserve"> Fusionar los tres párrafos en uno sin sangría y reducirlo a 250 palabras o menos. Suprimir el detalle de cifras secundarias (por ejemplo, la proyección de 2.350 millones) y conservar el problema, el objetivo, el diseño y el alcance.</w:t>
      </w:r>
    </w:p>
    <w:p>
      <w:pPr>
        <w:pStyle w:val="Heading3"/>
        <w:spacing w:before="0" w:after="0" w:line="480" w:lineRule="auto"/>
      </w:pPr>
      <w:r>
        <w:rPr/>
        <w:t xml:space="preserve">Error 21. Defectos de formato en la tabla de contenido, la lista de tablas y las tablas (error adicional)</w:t>
      </w:r>
    </w:p>
    <w:p>
      <w:pPr>
        <w:spacing w:before="0" w:after="0" w:line="480" w:lineRule="auto"/>
        <w:ind w:firstLine="720"/>
      </w:pPr>
      <w:r>
        <w:rPr>
          <w:b/>
          <w:bCs/>
        </w:rPr>
        <w:t xml:space="preserve">Ubicación.</w:t>
      </w:r>
      <w:r>
        <w:rPr/>
        <w:t xml:space="preserve"> Preliminares y Tablas 1 a 3.</w:t>
      </w:r>
    </w:p>
    <w:p>
      <w:pPr>
        <w:spacing w:before="0" w:after="0" w:line="480" w:lineRule="auto"/>
        <w:ind w:firstLine="720"/>
      </w:pPr>
      <w:r>
        <w:rPr>
          <w:b/>
          <w:bCs/>
        </w:rPr>
        <w:t xml:space="preserve">Indicador afectado.</w:t>
      </w:r>
      <w:r>
        <w:rPr/>
        <w:t xml:space="preserve"> T4. Prioridad baja.</w:t>
      </w:r>
    </w:p>
    <w:p>
      <w:pPr>
        <w:spacing w:before="0" w:after="0" w:line="480" w:lineRule="auto"/>
        <w:ind w:firstLine="720"/>
      </w:pPr>
      <w:r>
        <w:rPr>
          <w:b/>
          <w:bCs/>
        </w:rPr>
        <w:t xml:space="preserve">Descripción.</w:t>
      </w:r>
      <w:r>
        <w:rPr/>
        <w:t xml:space="preserve"> En la lista de tablas, los títulos aparecen truncados y unidos al número de página («… 2022–20», «… 2020–21», «… 2022–22»). La tabla de contenido usa Arial de 11 puntos, mientras que el cuerpo usa Times New Roman de 12. Las tablas tienen bordes en todas las celdas, aunque APA 7 recomienda solo líneas horizontales (encabezado y cierre). Las notas de las tablas dicen «Elaboración con ayuda de inteligencia artificial (IA) a partir de…», que no es la fórmula APA para indicar el origen de los datos.</w:t>
      </w:r>
    </w:p>
    <w:p>
      <w:pPr>
        <w:spacing w:before="0" w:after="0" w:line="480" w:lineRule="auto"/>
        <w:ind w:firstLine="720"/>
      </w:pPr>
      <w:r>
        <w:rPr>
          <w:b/>
          <w:bCs/>
        </w:rPr>
        <w:t xml:space="preserve">Corrección.</w:t>
      </w:r>
      <w:r>
        <w:rPr/>
        <w:t xml:space="preserve"> Insertar la lista de tablas con la función de tabla de ilustraciones de Word sobre los títulos completos y actualizar ambos índices. Aplicar la misma fuente a todo el documento y quitar los bordes verticales de las tablas. En las notas, indicar la fuente de los datos y declarar la IA aparte: «</w:t>
      </w:r>
      <w:r>
        <w:rPr>
          <w:i/>
          <w:iCs/>
        </w:rPr>
        <w:t xml:space="preserve">Nota.</w:t>
      </w:r>
      <w:r>
        <w:rPr/>
        <w:t xml:space="preserve"> Datos tomados de Deloitte (2025)».</w:t>
      </w:r>
    </w:p>
    <w:p>
      <w:pPr>
        <w:pStyle w:val="Heading3"/>
        <w:spacing w:before="0" w:after="0" w:line="480" w:lineRule="auto"/>
      </w:pPr>
      <w:r>
        <w:rPr/>
        <w:t xml:space="preserve">Error 22. Errores ortotipográficos y afirmaciones sin cita</w:t>
      </w:r>
    </w:p>
    <w:p>
      <w:pPr>
        <w:spacing w:before="0" w:after="0" w:line="480" w:lineRule="auto"/>
        <w:ind w:firstLine="720"/>
      </w:pPr>
      <w:r>
        <w:rPr>
          <w:b/>
          <w:bCs/>
        </w:rPr>
        <w:t xml:space="preserve">Ubicación.</w:t>
      </w:r>
      <w:r>
        <w:rPr/>
        <w:t xml:space="preserve"> Portada, Introducción y Vacío de conocimiento.</w:t>
      </w:r>
    </w:p>
    <w:p>
      <w:pPr>
        <w:spacing w:before="0" w:after="0" w:line="480" w:lineRule="auto"/>
        <w:ind w:firstLine="720"/>
      </w:pPr>
      <w:r>
        <w:rPr>
          <w:b/>
          <w:bCs/>
        </w:rPr>
        <w:t xml:space="preserve">Indicador afectado.</w:t>
      </w:r>
      <w:r>
        <w:rPr/>
        <w:t xml:space="preserve"> T4 y J4. Prioridad baja.</w:t>
      </w:r>
    </w:p>
    <w:p>
      <w:pPr>
        <w:spacing w:before="0" w:after="0" w:line="480" w:lineRule="auto"/>
        <w:ind w:firstLine="720"/>
      </w:pPr>
      <w:r>
        <w:rPr>
          <w:b/>
          <w:bCs/>
        </w:rPr>
        <w:t xml:space="preserve">Descripción.</w:t>
      </w:r>
      <w:r>
        <w:rPr/>
        <w:t xml:space="preserve"> En la portada, «30 de Septiembre de 2026» lleva mayúscula en el mes, que en español se escribe en minúscula. En el vacío de conocimiento hay un doble espacio («cualquier  política»). En la Introducción se menciona «la crisis financiera y de transparencia que los clubes profesionales masculinos denunciaron» sin cita.</w:t>
      </w:r>
    </w:p>
    <w:p>
      <w:pPr>
        <w:spacing w:before="0" w:after="0" w:line="480" w:lineRule="auto"/>
        <w:ind w:firstLine="720"/>
      </w:pPr>
      <w:r>
        <w:rPr>
          <w:b/>
          <w:bCs/>
        </w:rPr>
        <w:t xml:space="preserve">Corrección.</w:t>
      </w:r>
      <w:r>
        <w:rPr/>
        <w:t xml:space="preserve"> Escribir «30 de septiembre de 2026», eliminar el doble espacio y añadir la cita (Rengifo, 2024) a la afirmación de la Introducción.</w:t>
      </w:r>
    </w:p>
    <w:p>
      <w:pPr>
        <w:pStyle w:val="Heading3"/>
        <w:spacing w:before="0" w:after="0" w:line="480" w:lineRule="auto"/>
      </w:pPr>
      <w:r>
        <w:rPr/>
        <w:t xml:space="preserve">Error 23. Dedicatoria con redacción idéntica a la de otro grupo</w:t>
      </w:r>
    </w:p>
    <w:p>
      <w:pPr>
        <w:spacing w:before="0" w:after="0" w:line="480" w:lineRule="auto"/>
        <w:ind w:firstLine="720"/>
      </w:pPr>
      <w:r>
        <w:rPr>
          <w:b/>
          <w:bCs/>
        </w:rPr>
        <w:t xml:space="preserve">Ubicación.</w:t>
      </w:r>
      <w:r>
        <w:rPr/>
        <w:t xml:space="preserve"> Dedicatoria.</w:t>
      </w:r>
    </w:p>
    <w:p>
      <w:pPr>
        <w:spacing w:before="0" w:after="0" w:line="480" w:lineRule="auto"/>
        <w:ind w:firstLine="720"/>
      </w:pPr>
      <w:r>
        <w:rPr>
          <w:b/>
          <w:bCs/>
        </w:rPr>
        <w:t xml:space="preserve">Indicador afectado.</w:t>
      </w:r>
      <w:r>
        <w:rPr/>
        <w:t xml:space="preserve"> T4 (originalidad). Prioridad baja.</w:t>
      </w:r>
    </w:p>
    <w:p>
      <w:pPr>
        <w:spacing w:before="0" w:after="0" w:line="480" w:lineRule="auto"/>
        <w:ind w:firstLine="720"/>
      </w:pPr>
      <w:r>
        <w:rPr>
          <w:b/>
          <w:bCs/>
        </w:rPr>
        <w:t xml:space="preserve">Descripción.</w:t>
      </w:r>
      <w:r>
        <w:rPr/>
        <w:t xml:space="preserve"> La rúbrica registra que la dedicatoria del Grupo 10 tiene una redacción idéntica a la del Grupo 8 («Dedicamos este proyecto, en primer lugar, a nuestras familias…»).</w:t>
      </w:r>
    </w:p>
    <w:p>
      <w:pPr>
        <w:spacing w:before="0" w:after="0" w:line="480" w:lineRule="auto"/>
        <w:ind w:firstLine="720"/>
      </w:pPr>
      <w:r>
        <w:rPr>
          <w:b/>
          <w:bCs/>
        </w:rPr>
        <w:t xml:space="preserve">Corrección.</w:t>
      </w:r>
      <w:r>
        <w:rPr/>
        <w:t xml:space="preserve"> Redactar una dedicatoria propia del grupo. Aunque no es parte evaluable del contenido, la coincidencia literal puede activar alertas en el software de similitud institucional.</w:t>
      </w:r>
    </w:p>
    <w:p>
      <w:pPr>
        <w:pStyle w:val="Heading3"/>
        <w:spacing w:before="0" w:after="0" w:line="480" w:lineRule="auto"/>
      </w:pPr>
      <w:r>
        <w:rPr/>
        <w:t xml:space="preserve">Error 24. Declaración de uso de IA incompleta y mal ubicada</w:t>
      </w:r>
    </w:p>
    <w:p>
      <w:pPr>
        <w:spacing w:before="0" w:after="0" w:line="480" w:lineRule="auto"/>
        <w:ind w:firstLine="720"/>
      </w:pPr>
      <w:r>
        <w:rPr>
          <w:b/>
          <w:bCs/>
        </w:rPr>
        <w:t xml:space="preserve">Ubicación.</w:t>
      </w:r>
      <w:r>
        <w:rPr/>
        <w:t xml:space="preserve"> Subapartado final de «Referencia Teórica y Conceptual» y notas de las Tablas 1 a 3.</w:t>
      </w:r>
    </w:p>
    <w:p>
      <w:pPr>
        <w:spacing w:before="0" w:after="0" w:line="480" w:lineRule="auto"/>
        <w:ind w:firstLine="720"/>
      </w:pPr>
      <w:r>
        <w:rPr>
          <w:b/>
          <w:bCs/>
        </w:rPr>
        <w:t xml:space="preserve">Indicador afectado.</w:t>
      </w:r>
      <w:r>
        <w:rPr/>
        <w:t xml:space="preserve"> T4 (declaración de uso de IA). Prioridad alta.</w:t>
      </w:r>
    </w:p>
    <w:p>
      <w:pPr>
        <w:spacing w:before="0" w:after="0" w:line="480" w:lineRule="auto"/>
        <w:ind w:firstLine="720"/>
      </w:pPr>
      <w:r>
        <w:rPr>
          <w:b/>
          <w:bCs/>
        </w:rPr>
        <w:t xml:space="preserve">Descripción.</w:t>
      </w:r>
      <w:r>
        <w:rPr/>
        <w:t xml:space="preserve"> La rúbrica, que evaluó otra versión del archivo, registró la ausencia de la declaración. La versión revisada la incluye, pero (a) está ubicada como subtítulo de nivel 2 del marco teórico y no como sección independiente; (b) no identifica la herramienta, la versión ni las fechas de uso; y (c) no precisa en qué partes se usó, mientras que las notas de las tres tablas indican que estas se elaboraron con ayuda de IA. APA recomienda describir cómo se usó la herramienta y citarla como software (McAdoo, 2023).</w:t>
      </w:r>
    </w:p>
    <w:p>
      <w:pPr>
        <w:spacing w:before="0" w:after="0" w:line="480" w:lineRule="auto"/>
        <w:ind w:firstLine="720"/>
      </w:pPr>
      <w:r>
        <w:rPr>
          <w:b/>
          <w:bCs/>
        </w:rPr>
        <w:t xml:space="preserve">Corrección.</w:t>
      </w:r>
      <w:r>
        <w:rPr/>
        <w:t xml:space="preserve"> Ubicar la declaración como sección de nivel 1 antes de las referencias y completarla. Ejemplo (los corchetes deben llenarse con los datos reales):</w:t>
      </w:r>
    </w:p>
    <w:p>
      <w:pPr>
        <w:spacing w:before="0" w:after="0" w:line="480" w:lineRule="auto"/>
        <w:ind w:left="720"/>
      </w:pPr>
      <w:r>
        <w:rPr/>
        <w:t xml:space="preserve">En la elaboración de este documento se utilizó [nombre de la herramienta] ([empresa], versión o modelo [x], consultada entre el [fecha] y el [fecha]) para [organizar la información, proponer estructuras de síntesis y elaborar el borrador de las Tablas 1 a 3 a partir de las fuentes citadas]. Los datos de las tablas fueron verificados por el grupo frente a las fuentes originales. La herramienta no se empleó como fuente de información.</w:t>
      </w:r>
    </w:p>
    <w:p>
      <w:pPr>
        <w:spacing w:before="0" w:after="0" w:line="480" w:lineRule="auto"/>
        <w:ind w:firstLine="720"/>
      </w:pPr>
      <w:r>
        <w:rPr>
          <w:b/>
          <w:bCs/>
        </w:rPr>
        <w:t xml:space="preserve">Referencia de la herramienta.</w:t>
      </w:r>
      <w:r>
        <w:rPr/>
        <w:t xml:space="preserve"> Debe agregarse a la lista, por ejemplo: </w:t>
      </w:r>
      <w:r>
        <w:rPr>
          <w:i/>
          <w:iCs/>
        </w:rPr>
        <w:t xml:space="preserve">[Empresa]. (año). [Nombre de la herramienta] (versión) [Modelo de lenguaje grande]. URL</w:t>
      </w:r>
      <w:r>
        <w:rPr/>
        <w:t xml:space="preserve">.</w:t>
      </w:r>
    </w:p>
    <w:p>
      <w:pPr>
        <w:pStyle w:val="Heading1"/>
        <w:spacing w:before="0" w:after="0" w:line="480" w:lineRule="auto"/>
      </w:pPr>
      <w:r>
        <w:rPr/>
        <w:t xml:space="preserve">Plan de Corrección Priorizado</w:t>
      </w:r>
    </w:p>
    <w:p>
      <w:pPr>
        <w:spacing w:before="0" w:after="0" w:line="480" w:lineRule="auto"/>
        <w:ind w:firstLine="720"/>
      </w:pPr>
      <w:r>
        <w:rPr/>
        <w:t xml:space="preserve">La Tabla 2 ordena los errores por prioridad para que el grupo atienda primero los que comprometen la coherencia y la viabilidad del proyecto.</w:t>
      </w:r>
    </w:p>
    <w:p>
      <w:pPr>
        <w:keepNext/>
        <w:spacing w:before="0" w:after="0" w:line="480" w:lineRule="auto"/>
      </w:pPr>
      <w:r>
        <w:rPr>
          <w:b/>
          <w:bCs/>
        </w:rPr>
        <w:t xml:space="preserve">Tabla 2</w:t>
      </w:r>
    </w:p>
    <w:p>
      <w:pPr>
        <w:keepNext/>
        <w:spacing w:before="0" w:after="0" w:line="480" w:lineRule="auto"/>
      </w:pPr>
      <w:r>
        <w:rPr>
          <w:i/>
          <w:iCs/>
        </w:rPr>
        <w:t xml:space="preserve">Matriz de errores del Grupo 8 por prioridad e indicador de la rúbrica</w:t>
      </w:r>
    </w:p>
    <w:tbl>
      <w:tblPr>
        <w:tblW w:w="9360" w:type="dxa"/>
        <w:tblLayout w:type="fixed"/>
        <w:tblCellMar>
          <w:left w:w="80" w:type="dxa"/>
          <w:right w:w="80" w:type="dxa"/>
        </w:tblCellMar>
      </w:tblPr>
      <w:tblGrid>
        <w:gridCol w:w="700"/>
        <w:gridCol w:w="5160"/>
        <w:gridCol w:w="1700"/>
        <w:gridCol w:w="1800"/>
      </w:tblGrid>
      <w:tr>
        <w:trPr>
          <w:tblHeader/>
          <w:cantSplit/>
        </w:trPr>
        <w:tc>
          <w:tcPr>
            <w:tcW w:w="700" w:type="dxa"/>
            <w:tcBorders>
              <w:top w:val="single" w:sz="8" w:space="0" w:color="000000"/>
              <w:bottom w:val="single" w:sz="8" w:space="0" w:color="000000"/>
            </w:tcBorders>
          </w:tcPr>
          <w:p>
            <w:pPr>
              <w:spacing w:before="40" w:after="40" w:line="240" w:lineRule="auto"/>
            </w:pPr>
            <w:r>
              <w:rPr>
                <w:b/>
                <w:bCs/>
                <w:sz w:val="22"/>
                <w:szCs w:val="22"/>
              </w:rPr>
              <w:t xml:space="preserve">N.º</w:t>
            </w:r>
          </w:p>
        </w:tc>
        <w:tc>
          <w:tcPr>
            <w:tcW w:w="5160" w:type="dxa"/>
            <w:tcBorders>
              <w:top w:val="single" w:sz="8" w:space="0" w:color="000000"/>
              <w:bottom w:val="single" w:sz="8" w:space="0" w:color="000000"/>
            </w:tcBorders>
          </w:tcPr>
          <w:p>
            <w:pPr>
              <w:spacing w:before="40" w:after="40" w:line="240" w:lineRule="auto"/>
            </w:pPr>
            <w:r>
              <w:rPr>
                <w:b/>
                <w:bCs/>
                <w:sz w:val="22"/>
                <w:szCs w:val="22"/>
              </w:rPr>
              <w:t xml:space="preserve">Error</w:t>
            </w:r>
          </w:p>
        </w:tc>
        <w:tc>
          <w:tcPr>
            <w:tcW w:w="1700" w:type="dxa"/>
            <w:tcBorders>
              <w:top w:val="single" w:sz="8" w:space="0" w:color="000000"/>
              <w:bottom w:val="single" w:sz="8" w:space="0" w:color="000000"/>
            </w:tcBorders>
          </w:tcPr>
          <w:p>
            <w:pPr>
              <w:spacing w:before="40" w:after="40" w:line="240" w:lineRule="auto"/>
            </w:pPr>
            <w:r>
              <w:rPr>
                <w:b/>
                <w:bCs/>
                <w:sz w:val="22"/>
                <w:szCs w:val="22"/>
              </w:rPr>
              <w:t xml:space="preserve">Indicador</w:t>
            </w:r>
          </w:p>
        </w:tc>
        <w:tc>
          <w:tcPr>
            <w:tcW w:w="1800" w:type="dxa"/>
            <w:tcBorders>
              <w:top w:val="single" w:sz="8" w:space="0" w:color="000000"/>
              <w:bottom w:val="single" w:sz="8" w:space="0" w:color="000000"/>
            </w:tcBorders>
          </w:tcPr>
          <w:p>
            <w:pPr>
              <w:spacing w:before="40" w:after="40" w:line="240" w:lineRule="auto"/>
            </w:pPr>
            <w:r>
              <w:rPr>
                <w:b/>
                <w:bCs/>
                <w:sz w:val="22"/>
                <w:szCs w:val="22"/>
              </w:rPr>
              <w:t xml:space="preserve">Prioridad</w:t>
            </w:r>
          </w:p>
        </w:tc>
      </w:tr>
      <w:tr>
        <w:trPr>
          <w:cantSplit/>
        </w:trPr>
        <w:tc>
          <w:tcPr>
            <w:tcW w:w="700" w:type="dxa"/>
          </w:tcPr>
          <w:p>
            <w:pPr>
              <w:spacing w:before="40" w:after="40" w:line="240" w:lineRule="auto"/>
            </w:pPr>
            <w:r>
              <w:rPr>
                <w:sz w:val="22"/>
                <w:szCs w:val="22"/>
              </w:rPr>
              <w:t xml:space="preserve">4</w:t>
            </w:r>
          </w:p>
        </w:tc>
        <w:tc>
          <w:tcPr>
            <w:tcW w:w="5160" w:type="dxa"/>
          </w:tcPr>
          <w:p>
            <w:pPr>
              <w:spacing w:before="40" w:after="40" w:line="240" w:lineRule="auto"/>
            </w:pPr>
            <w:r>
              <w:rPr>
                <w:sz w:val="22"/>
                <w:szCs w:val="22"/>
              </w:rPr>
              <w:t xml:space="preserve">Existencia no demostrada de la población «profesional»</w:t>
            </w:r>
          </w:p>
        </w:tc>
        <w:tc>
          <w:tcPr>
            <w:tcW w:w="1700" w:type="dxa"/>
          </w:tcPr>
          <w:p>
            <w:pPr>
              <w:spacing w:before="40" w:after="40" w:line="240" w:lineRule="auto"/>
            </w:pPr>
            <w:r>
              <w:rPr>
                <w:sz w:val="22"/>
                <w:szCs w:val="22"/>
              </w:rPr>
              <w:t xml:space="preserve">P4, Q4</w:t>
            </w:r>
          </w:p>
        </w:tc>
        <w:tc>
          <w:tcPr>
            <w:tcW w:w="1800" w:type="dxa"/>
          </w:tcPr>
          <w:p>
            <w:pPr>
              <w:spacing w:before="40" w:after="40" w:line="240" w:lineRule="auto"/>
            </w:pPr>
            <w:r>
              <w:rPr>
                <w:sz w:val="22"/>
                <w:szCs w:val="22"/>
              </w:rPr>
              <w:t xml:space="preserve">Alta</w:t>
            </w:r>
          </w:p>
        </w:tc>
      </w:tr>
      <w:tr>
        <w:trPr>
          <w:cantSplit/>
        </w:trPr>
        <w:tc>
          <w:tcPr>
            <w:tcW w:w="700" w:type="dxa"/>
          </w:tcPr>
          <w:p>
            <w:pPr>
              <w:spacing w:before="40" w:after="40" w:line="240" w:lineRule="auto"/>
            </w:pPr>
            <w:r>
              <w:rPr>
                <w:sz w:val="22"/>
                <w:szCs w:val="22"/>
              </w:rPr>
              <w:t xml:space="preserve">5</w:t>
            </w:r>
          </w:p>
        </w:tc>
        <w:tc>
          <w:tcPr>
            <w:tcW w:w="5160" w:type="dxa"/>
          </w:tcPr>
          <w:p>
            <w:pPr>
              <w:spacing w:before="40" w:after="40" w:line="240" w:lineRule="auto"/>
            </w:pPr>
            <w:r>
              <w:rPr>
                <w:sz w:val="22"/>
                <w:szCs w:val="22"/>
              </w:rPr>
              <w:t xml:space="preserve">Viabilidad incierta de la pregunta</w:t>
            </w:r>
          </w:p>
        </w:tc>
        <w:tc>
          <w:tcPr>
            <w:tcW w:w="1700" w:type="dxa"/>
          </w:tcPr>
          <w:p>
            <w:pPr>
              <w:spacing w:before="40" w:after="40" w:line="240" w:lineRule="auto"/>
            </w:pPr>
            <w:r>
              <w:rPr>
                <w:sz w:val="22"/>
                <w:szCs w:val="22"/>
              </w:rPr>
              <w:t xml:space="preserve">Q4</w:t>
            </w:r>
          </w:p>
        </w:tc>
        <w:tc>
          <w:tcPr>
            <w:tcW w:w="1800" w:type="dxa"/>
          </w:tcPr>
          <w:p>
            <w:pPr>
              <w:spacing w:before="40" w:after="40" w:line="240" w:lineRule="auto"/>
            </w:pPr>
            <w:r>
              <w:rPr>
                <w:sz w:val="22"/>
                <w:szCs w:val="22"/>
              </w:rPr>
              <w:t xml:space="preserve">Alta</w:t>
            </w:r>
          </w:p>
        </w:tc>
      </w:tr>
      <w:tr>
        <w:trPr>
          <w:cantSplit/>
        </w:trPr>
        <w:tc>
          <w:tcPr>
            <w:tcW w:w="700" w:type="dxa"/>
          </w:tcPr>
          <w:p>
            <w:pPr>
              <w:spacing w:before="40" w:after="40" w:line="240" w:lineRule="auto"/>
            </w:pPr>
            <w:r>
              <w:rPr>
                <w:sz w:val="22"/>
                <w:szCs w:val="22"/>
              </w:rPr>
              <w:t xml:space="preserve">7</w:t>
            </w:r>
          </w:p>
        </w:tc>
        <w:tc>
          <w:tcPr>
            <w:tcW w:w="5160" w:type="dxa"/>
          </w:tcPr>
          <w:p>
            <w:pPr>
              <w:spacing w:before="40" w:after="40" w:line="240" w:lineRule="auto"/>
            </w:pPr>
            <w:r>
              <w:rPr>
                <w:sz w:val="22"/>
                <w:szCs w:val="22"/>
              </w:rPr>
              <w:t xml:space="preserve">OE4 excede el objetivo general</w:t>
            </w:r>
          </w:p>
        </w:tc>
        <w:tc>
          <w:tcPr>
            <w:tcW w:w="1700" w:type="dxa"/>
          </w:tcPr>
          <w:p>
            <w:pPr>
              <w:spacing w:before="40" w:after="40" w:line="240" w:lineRule="auto"/>
            </w:pPr>
            <w:r>
              <w:rPr>
                <w:sz w:val="22"/>
                <w:szCs w:val="22"/>
              </w:rPr>
              <w:t xml:space="preserve">E2</w:t>
            </w:r>
          </w:p>
        </w:tc>
        <w:tc>
          <w:tcPr>
            <w:tcW w:w="1800" w:type="dxa"/>
          </w:tcPr>
          <w:p>
            <w:pPr>
              <w:spacing w:before="40" w:after="40" w:line="240" w:lineRule="auto"/>
            </w:pPr>
            <w:r>
              <w:rPr>
                <w:sz w:val="22"/>
                <w:szCs w:val="22"/>
              </w:rPr>
              <w:t xml:space="preserve">Alta</w:t>
            </w:r>
          </w:p>
        </w:tc>
      </w:tr>
      <w:tr>
        <w:trPr>
          <w:cantSplit/>
        </w:trPr>
        <w:tc>
          <w:tcPr>
            <w:tcW w:w="700" w:type="dxa"/>
          </w:tcPr>
          <w:p>
            <w:pPr>
              <w:spacing w:before="40" w:after="40" w:line="240" w:lineRule="auto"/>
            </w:pPr>
            <w:r>
              <w:rPr>
                <w:sz w:val="22"/>
                <w:szCs w:val="22"/>
              </w:rPr>
              <w:t xml:space="preserve">2</w:t>
            </w:r>
          </w:p>
        </w:tc>
        <w:tc>
          <w:tcPr>
            <w:tcW w:w="5160" w:type="dxa"/>
          </w:tcPr>
          <w:p>
            <w:pPr>
              <w:spacing w:before="40" w:after="40" w:line="240" w:lineRule="auto"/>
            </w:pPr>
            <w:r>
              <w:rPr>
                <w:sz w:val="22"/>
                <w:szCs w:val="22"/>
              </w:rPr>
              <w:t xml:space="preserve">Dato de la SIC mal atribuido y reinterpretado</w:t>
            </w:r>
          </w:p>
        </w:tc>
        <w:tc>
          <w:tcPr>
            <w:tcW w:w="1700" w:type="dxa"/>
          </w:tcPr>
          <w:p>
            <w:pPr>
              <w:spacing w:before="40" w:after="40" w:line="240" w:lineRule="auto"/>
            </w:pPr>
            <w:r>
              <w:rPr>
                <w:sz w:val="22"/>
                <w:szCs w:val="22"/>
              </w:rPr>
              <w:t xml:space="preserve">P2, J4</w:t>
            </w:r>
          </w:p>
        </w:tc>
        <w:tc>
          <w:tcPr>
            <w:tcW w:w="1800" w:type="dxa"/>
          </w:tcPr>
          <w:p>
            <w:pPr>
              <w:spacing w:before="40" w:after="40" w:line="240" w:lineRule="auto"/>
            </w:pPr>
            <w:r>
              <w:rPr>
                <w:sz w:val="22"/>
                <w:szCs w:val="22"/>
              </w:rPr>
              <w:t xml:space="preserve">Alta</w:t>
            </w:r>
          </w:p>
        </w:tc>
      </w:tr>
      <w:tr>
        <w:trPr>
          <w:cantSplit/>
        </w:trPr>
        <w:tc>
          <w:tcPr>
            <w:tcW w:w="700" w:type="dxa"/>
          </w:tcPr>
          <w:p>
            <w:pPr>
              <w:spacing w:before="40" w:after="40" w:line="240" w:lineRule="auto"/>
            </w:pPr>
            <w:r>
              <w:rPr>
                <w:sz w:val="22"/>
                <w:szCs w:val="22"/>
              </w:rPr>
              <w:t xml:space="preserve">10</w:t>
            </w:r>
          </w:p>
        </w:tc>
        <w:tc>
          <w:tcPr>
            <w:tcW w:w="5160" w:type="dxa"/>
          </w:tcPr>
          <w:p>
            <w:pPr>
              <w:spacing w:before="40" w:after="40" w:line="240" w:lineRule="auto"/>
            </w:pPr>
            <w:r>
              <w:rPr>
                <w:sz w:val="22"/>
                <w:szCs w:val="22"/>
              </w:rPr>
              <w:t xml:space="preserve">Sin antecedentes de baloncesto femenino, regionales ni locales</w:t>
            </w:r>
          </w:p>
        </w:tc>
        <w:tc>
          <w:tcPr>
            <w:tcW w:w="1700" w:type="dxa"/>
          </w:tcPr>
          <w:p>
            <w:pPr>
              <w:spacing w:before="40" w:after="40" w:line="240" w:lineRule="auto"/>
            </w:pPr>
            <w:r>
              <w:rPr>
                <w:sz w:val="22"/>
                <w:szCs w:val="22"/>
              </w:rPr>
              <w:t xml:space="preserve">A1, A4</w:t>
            </w:r>
          </w:p>
        </w:tc>
        <w:tc>
          <w:tcPr>
            <w:tcW w:w="1800" w:type="dxa"/>
          </w:tcPr>
          <w:p>
            <w:pPr>
              <w:spacing w:before="40" w:after="40" w:line="240" w:lineRule="auto"/>
            </w:pPr>
            <w:r>
              <w:rPr>
                <w:sz w:val="22"/>
                <w:szCs w:val="22"/>
              </w:rPr>
              <w:t xml:space="preserve">Alta</w:t>
            </w:r>
          </w:p>
        </w:tc>
      </w:tr>
      <w:tr>
        <w:trPr>
          <w:cantSplit/>
        </w:trPr>
        <w:tc>
          <w:tcPr>
            <w:tcW w:w="700" w:type="dxa"/>
          </w:tcPr>
          <w:p>
            <w:pPr>
              <w:spacing w:before="40" w:after="40" w:line="240" w:lineRule="auto"/>
            </w:pPr>
            <w:r>
              <w:rPr>
                <w:sz w:val="22"/>
                <w:szCs w:val="22"/>
              </w:rPr>
              <w:t xml:space="preserve">15</w:t>
            </w:r>
          </w:p>
        </w:tc>
        <w:tc>
          <w:tcPr>
            <w:tcW w:w="5160" w:type="dxa"/>
          </w:tcPr>
          <w:p>
            <w:pPr>
              <w:spacing w:before="40" w:after="40" w:line="240" w:lineRule="auto"/>
            </w:pPr>
            <w:r>
              <w:rPr>
                <w:sz w:val="22"/>
                <w:szCs w:val="22"/>
              </w:rPr>
              <w:t xml:space="preserve">Ministerio del Deporte (2023) sin sufijos a y b</w:t>
            </w:r>
          </w:p>
        </w:tc>
        <w:tc>
          <w:tcPr>
            <w:tcW w:w="1700" w:type="dxa"/>
          </w:tcPr>
          <w:p>
            <w:pPr>
              <w:spacing w:before="40" w:after="40" w:line="240" w:lineRule="auto"/>
            </w:pPr>
            <w:r>
              <w:rPr>
                <w:sz w:val="22"/>
                <w:szCs w:val="22"/>
              </w:rPr>
              <w:t xml:space="preserve">T1</w:t>
            </w:r>
          </w:p>
        </w:tc>
        <w:tc>
          <w:tcPr>
            <w:tcW w:w="1800" w:type="dxa"/>
          </w:tcPr>
          <w:p>
            <w:pPr>
              <w:spacing w:before="40" w:after="40" w:line="240" w:lineRule="auto"/>
            </w:pPr>
            <w:r>
              <w:rPr>
                <w:sz w:val="22"/>
                <w:szCs w:val="22"/>
              </w:rPr>
              <w:t xml:space="preserve">Alta</w:t>
            </w:r>
          </w:p>
        </w:tc>
      </w:tr>
      <w:tr>
        <w:trPr>
          <w:cantSplit/>
        </w:trPr>
        <w:tc>
          <w:tcPr>
            <w:tcW w:w="700" w:type="dxa"/>
          </w:tcPr>
          <w:p>
            <w:pPr>
              <w:spacing w:before="40" w:after="40" w:line="240" w:lineRule="auto"/>
            </w:pPr>
            <w:r>
              <w:rPr>
                <w:sz w:val="22"/>
                <w:szCs w:val="22"/>
              </w:rPr>
              <w:t xml:space="preserve">24</w:t>
            </w:r>
          </w:p>
        </w:tc>
        <w:tc>
          <w:tcPr>
            <w:tcW w:w="5160" w:type="dxa"/>
          </w:tcPr>
          <w:p>
            <w:pPr>
              <w:spacing w:before="40" w:after="40" w:line="240" w:lineRule="auto"/>
            </w:pPr>
            <w:r>
              <w:rPr>
                <w:sz w:val="22"/>
                <w:szCs w:val="22"/>
              </w:rPr>
              <w:t xml:space="preserve">Declaración de uso de IA incompleta</w:t>
            </w:r>
          </w:p>
        </w:tc>
        <w:tc>
          <w:tcPr>
            <w:tcW w:w="1700" w:type="dxa"/>
          </w:tcPr>
          <w:p>
            <w:pPr>
              <w:spacing w:before="40" w:after="40" w:line="240" w:lineRule="auto"/>
            </w:pPr>
            <w:r>
              <w:rPr>
                <w:sz w:val="22"/>
                <w:szCs w:val="22"/>
              </w:rPr>
              <w:t xml:space="preserve">T4</w:t>
            </w:r>
          </w:p>
        </w:tc>
        <w:tc>
          <w:tcPr>
            <w:tcW w:w="1800" w:type="dxa"/>
          </w:tcPr>
          <w:p>
            <w:pPr>
              <w:spacing w:before="40" w:after="40" w:line="240" w:lineRule="auto"/>
            </w:pPr>
            <w:r>
              <w:rPr>
                <w:sz w:val="22"/>
                <w:szCs w:val="22"/>
              </w:rPr>
              <w:t xml:space="preserve">Alta</w:t>
            </w:r>
          </w:p>
        </w:tc>
      </w:tr>
      <w:tr>
        <w:trPr>
          <w:cantSplit/>
        </w:trPr>
        <w:tc>
          <w:tcPr>
            <w:tcW w:w="700" w:type="dxa"/>
          </w:tcPr>
          <w:p>
            <w:pPr>
              <w:spacing w:before="40" w:after="40" w:line="240" w:lineRule="auto"/>
            </w:pPr>
            <w:r>
              <w:rPr>
                <w:sz w:val="22"/>
                <w:szCs w:val="22"/>
              </w:rPr>
              <w:t xml:space="preserve">6</w:t>
            </w:r>
          </w:p>
        </w:tc>
        <w:tc>
          <w:tcPr>
            <w:tcW w:w="5160" w:type="dxa"/>
          </w:tcPr>
          <w:p>
            <w:pPr>
              <w:spacing w:before="40" w:after="40" w:line="240" w:lineRule="auto"/>
            </w:pPr>
            <w:r>
              <w:rPr>
                <w:sz w:val="22"/>
                <w:szCs w:val="22"/>
              </w:rPr>
              <w:t xml:space="preserve">Método incluido en el objetivo general</w:t>
            </w:r>
          </w:p>
        </w:tc>
        <w:tc>
          <w:tcPr>
            <w:tcW w:w="1700" w:type="dxa"/>
          </w:tcPr>
          <w:p>
            <w:pPr>
              <w:spacing w:before="40" w:after="40" w:line="240" w:lineRule="auto"/>
            </w:pPr>
            <w:r>
              <w:rPr>
                <w:sz w:val="22"/>
                <w:szCs w:val="22"/>
              </w:rPr>
              <w:t xml:space="preserve">G1</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8</w:t>
            </w:r>
          </w:p>
        </w:tc>
        <w:tc>
          <w:tcPr>
            <w:tcW w:w="5160" w:type="dxa"/>
          </w:tcPr>
          <w:p>
            <w:pPr>
              <w:spacing w:before="40" w:after="40" w:line="240" w:lineRule="auto"/>
            </w:pPr>
            <w:r>
              <w:rPr>
                <w:sz w:val="22"/>
                <w:szCs w:val="22"/>
              </w:rPr>
              <w:t xml:space="preserve">Objetivos como pasos del procedimiento</w:t>
            </w:r>
          </w:p>
        </w:tc>
        <w:tc>
          <w:tcPr>
            <w:tcW w:w="1700" w:type="dxa"/>
          </w:tcPr>
          <w:p>
            <w:pPr>
              <w:spacing w:before="40" w:after="40" w:line="240" w:lineRule="auto"/>
            </w:pPr>
            <w:r>
              <w:rPr>
                <w:sz w:val="22"/>
                <w:szCs w:val="22"/>
              </w:rPr>
              <w:t xml:space="preserve">E1, E3</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1</w:t>
            </w:r>
          </w:p>
        </w:tc>
        <w:tc>
          <w:tcPr>
            <w:tcW w:w="5160" w:type="dxa"/>
          </w:tcPr>
          <w:p>
            <w:pPr>
              <w:spacing w:before="40" w:after="40" w:line="240" w:lineRule="auto"/>
            </w:pPr>
            <w:r>
              <w:rPr>
                <w:sz w:val="22"/>
                <w:szCs w:val="22"/>
              </w:rPr>
              <w:t xml:space="preserve">Predominio de prensa como evidencia</w:t>
            </w:r>
          </w:p>
        </w:tc>
        <w:tc>
          <w:tcPr>
            <w:tcW w:w="1700" w:type="dxa"/>
          </w:tcPr>
          <w:p>
            <w:pPr>
              <w:spacing w:before="40" w:after="40" w:line="240" w:lineRule="auto"/>
            </w:pPr>
            <w:r>
              <w:rPr>
                <w:sz w:val="22"/>
                <w:szCs w:val="22"/>
              </w:rPr>
              <w:t xml:space="preserve">P2, A1</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11</w:t>
            </w:r>
          </w:p>
        </w:tc>
        <w:tc>
          <w:tcPr>
            <w:tcW w:w="5160" w:type="dxa"/>
          </w:tcPr>
          <w:p>
            <w:pPr>
              <w:spacing w:before="40" w:after="40" w:line="240" w:lineRule="auto"/>
            </w:pPr>
            <w:r>
              <w:rPr>
                <w:sz w:val="22"/>
                <w:szCs w:val="22"/>
              </w:rPr>
              <w:t xml:space="preserve">Reseñas sin método ni muestra</w:t>
            </w:r>
          </w:p>
        </w:tc>
        <w:tc>
          <w:tcPr>
            <w:tcW w:w="1700" w:type="dxa"/>
          </w:tcPr>
          <w:p>
            <w:pPr>
              <w:spacing w:before="40" w:after="40" w:line="240" w:lineRule="auto"/>
            </w:pPr>
            <w:r>
              <w:rPr>
                <w:sz w:val="22"/>
                <w:szCs w:val="22"/>
              </w:rPr>
              <w:t xml:space="preserve">A2</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12</w:t>
            </w:r>
          </w:p>
        </w:tc>
        <w:tc>
          <w:tcPr>
            <w:tcW w:w="5160" w:type="dxa"/>
          </w:tcPr>
          <w:p>
            <w:pPr>
              <w:spacing w:before="40" w:after="40" w:line="240" w:lineRule="auto"/>
            </w:pPr>
            <w:r>
              <w:rPr>
                <w:sz w:val="22"/>
                <w:szCs w:val="22"/>
              </w:rPr>
              <w:t xml:space="preserve">Definición incoherente de presupuesto</w:t>
            </w:r>
          </w:p>
        </w:tc>
        <w:tc>
          <w:tcPr>
            <w:tcW w:w="1700" w:type="dxa"/>
          </w:tcPr>
          <w:p>
            <w:pPr>
              <w:spacing w:before="40" w:after="40" w:line="240" w:lineRule="auto"/>
            </w:pPr>
            <w:r>
              <w:rPr>
                <w:sz w:val="22"/>
                <w:szCs w:val="22"/>
              </w:rPr>
              <w:t xml:space="preserve">M1</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13</w:t>
            </w:r>
          </w:p>
        </w:tc>
        <w:tc>
          <w:tcPr>
            <w:tcW w:w="5160" w:type="dxa"/>
          </w:tcPr>
          <w:p>
            <w:pPr>
              <w:spacing w:before="40" w:after="40" w:line="240" w:lineRule="auto"/>
            </w:pPr>
            <w:r>
              <w:rPr>
                <w:sz w:val="22"/>
                <w:szCs w:val="22"/>
              </w:rPr>
              <w:t xml:space="preserve">Atribución a autores que no son la fuente original</w:t>
            </w:r>
          </w:p>
        </w:tc>
        <w:tc>
          <w:tcPr>
            <w:tcW w:w="1700" w:type="dxa"/>
          </w:tcPr>
          <w:p>
            <w:pPr>
              <w:spacing w:before="40" w:after="40" w:line="240" w:lineRule="auto"/>
            </w:pPr>
            <w:r>
              <w:rPr>
                <w:sz w:val="22"/>
                <w:szCs w:val="22"/>
              </w:rPr>
              <w:t xml:space="preserve">M2, M4</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16</w:t>
            </w:r>
          </w:p>
        </w:tc>
        <w:tc>
          <w:tcPr>
            <w:tcW w:w="5160" w:type="dxa"/>
          </w:tcPr>
          <w:p>
            <w:pPr>
              <w:spacing w:before="40" w:after="40" w:line="240" w:lineRule="auto"/>
            </w:pPr>
            <w:r>
              <w:rPr>
                <w:sz w:val="22"/>
                <w:szCs w:val="22"/>
              </w:rPr>
              <w:t xml:space="preserve">FIBA (2025a, 2025b) citada sin sufijo</w:t>
            </w:r>
          </w:p>
        </w:tc>
        <w:tc>
          <w:tcPr>
            <w:tcW w:w="1700" w:type="dxa"/>
          </w:tcPr>
          <w:p>
            <w:pPr>
              <w:spacing w:before="40" w:after="40" w:line="240" w:lineRule="auto"/>
            </w:pPr>
            <w:r>
              <w:rPr>
                <w:sz w:val="22"/>
                <w:szCs w:val="22"/>
              </w:rPr>
              <w:t xml:space="preserve">T1</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17</w:t>
            </w:r>
          </w:p>
        </w:tc>
        <w:tc>
          <w:tcPr>
            <w:tcW w:w="5160" w:type="dxa"/>
          </w:tcPr>
          <w:p>
            <w:pPr>
              <w:spacing w:before="40" w:after="40" w:line="240" w:lineRule="auto"/>
            </w:pPr>
            <w:r>
              <w:rPr>
                <w:sz w:val="22"/>
                <w:szCs w:val="22"/>
              </w:rPr>
              <w:t xml:space="preserve">Formato de noticias y páginas web</w:t>
            </w:r>
          </w:p>
        </w:tc>
        <w:tc>
          <w:tcPr>
            <w:tcW w:w="1700" w:type="dxa"/>
          </w:tcPr>
          <w:p>
            <w:pPr>
              <w:spacing w:before="40" w:after="40" w:line="240" w:lineRule="auto"/>
            </w:pPr>
            <w:r>
              <w:rPr>
                <w:sz w:val="22"/>
                <w:szCs w:val="22"/>
              </w:rPr>
              <w:t xml:space="preserve">T3</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20</w:t>
            </w:r>
          </w:p>
        </w:tc>
        <w:tc>
          <w:tcPr>
            <w:tcW w:w="5160" w:type="dxa"/>
          </w:tcPr>
          <w:p>
            <w:pPr>
              <w:spacing w:before="40" w:after="40" w:line="240" w:lineRule="auto"/>
            </w:pPr>
            <w:r>
              <w:rPr>
                <w:sz w:val="22"/>
                <w:szCs w:val="22"/>
              </w:rPr>
              <w:t xml:space="preserve">Resumen y abstract fuera de norma</w:t>
            </w:r>
          </w:p>
        </w:tc>
        <w:tc>
          <w:tcPr>
            <w:tcW w:w="1700" w:type="dxa"/>
          </w:tcPr>
          <w:p>
            <w:pPr>
              <w:spacing w:before="40" w:after="40" w:line="240" w:lineRule="auto"/>
            </w:pPr>
            <w:r>
              <w:rPr>
                <w:sz w:val="22"/>
                <w:szCs w:val="22"/>
              </w:rPr>
              <w:t xml:space="preserve">T4</w:t>
            </w:r>
          </w:p>
        </w:tc>
        <w:tc>
          <w:tcPr>
            <w:tcW w:w="1800" w:type="dxa"/>
          </w:tcPr>
          <w:p>
            <w:pPr>
              <w:spacing w:before="40" w:after="40" w:line="240" w:lineRule="auto"/>
            </w:pPr>
            <w:r>
              <w:rPr>
                <w:sz w:val="22"/>
                <w:szCs w:val="22"/>
              </w:rPr>
              <w:t xml:space="preserve">Media</w:t>
            </w:r>
          </w:p>
        </w:tc>
      </w:tr>
      <w:tr>
        <w:trPr>
          <w:cantSplit/>
        </w:trPr>
        <w:tc>
          <w:tcPr>
            <w:tcW w:w="700" w:type="dxa"/>
          </w:tcPr>
          <w:p>
            <w:pPr>
              <w:spacing w:before="40" w:after="40" w:line="240" w:lineRule="auto"/>
            </w:pPr>
            <w:r>
              <w:rPr>
                <w:sz w:val="22"/>
                <w:szCs w:val="22"/>
              </w:rPr>
              <w:t xml:space="preserve">3</w:t>
            </w:r>
          </w:p>
        </w:tc>
        <w:tc>
          <w:tcPr>
            <w:tcW w:w="5160" w:type="dxa"/>
          </w:tcPr>
          <w:p>
            <w:pPr>
              <w:spacing w:before="40" w:after="40" w:line="240" w:lineRule="auto"/>
            </w:pPr>
            <w:r>
              <w:rPr>
                <w:sz w:val="22"/>
                <w:szCs w:val="22"/>
              </w:rPr>
              <w:t xml:space="preserve">Extensión y detalles accesorios</w:t>
            </w:r>
          </w:p>
        </w:tc>
        <w:tc>
          <w:tcPr>
            <w:tcW w:w="1700" w:type="dxa"/>
          </w:tcPr>
          <w:p>
            <w:pPr>
              <w:spacing w:before="40" w:after="40" w:line="240" w:lineRule="auto"/>
            </w:pPr>
            <w:r>
              <w:rPr>
                <w:sz w:val="22"/>
                <w:szCs w:val="22"/>
              </w:rPr>
              <w:t xml:space="preserve">P5</w:t>
            </w:r>
          </w:p>
        </w:tc>
        <w:tc>
          <w:tcPr>
            <w:tcW w:w="1800" w:type="dxa"/>
          </w:tcPr>
          <w:p>
            <w:pPr>
              <w:spacing w:before="40" w:after="40" w:line="240" w:lineRule="auto"/>
            </w:pPr>
            <w:r>
              <w:rPr>
                <w:sz w:val="22"/>
                <w:szCs w:val="22"/>
              </w:rPr>
              <w:t xml:space="preserve">Baja</w:t>
            </w:r>
          </w:p>
        </w:tc>
      </w:tr>
      <w:tr>
        <w:trPr>
          <w:cantSplit/>
        </w:trPr>
        <w:tc>
          <w:tcPr>
            <w:tcW w:w="700" w:type="dxa"/>
          </w:tcPr>
          <w:p>
            <w:pPr>
              <w:spacing w:before="40" w:after="40" w:line="240" w:lineRule="auto"/>
            </w:pPr>
            <w:r>
              <w:rPr>
                <w:sz w:val="22"/>
                <w:szCs w:val="22"/>
              </w:rPr>
              <w:t xml:space="preserve">9</w:t>
            </w:r>
          </w:p>
        </w:tc>
        <w:tc>
          <w:tcPr>
            <w:tcW w:w="5160" w:type="dxa"/>
          </w:tcPr>
          <w:p>
            <w:pPr>
              <w:spacing w:before="40" w:after="40" w:line="240" w:lineRule="auto"/>
            </w:pPr>
            <w:r>
              <w:rPr>
                <w:sz w:val="22"/>
                <w:szCs w:val="22"/>
              </w:rPr>
              <w:t xml:space="preserve">Repetición en la justificación; viabilidad sin plan</w:t>
            </w:r>
          </w:p>
        </w:tc>
        <w:tc>
          <w:tcPr>
            <w:tcW w:w="1700" w:type="dxa"/>
          </w:tcPr>
          <w:p>
            <w:pPr>
              <w:spacing w:before="40" w:after="40" w:line="240" w:lineRule="auto"/>
            </w:pPr>
            <w:r>
              <w:rPr>
                <w:sz w:val="22"/>
                <w:szCs w:val="22"/>
              </w:rPr>
              <w:t xml:space="preserve">J3, J4</w:t>
            </w:r>
          </w:p>
        </w:tc>
        <w:tc>
          <w:tcPr>
            <w:tcW w:w="1800" w:type="dxa"/>
          </w:tcPr>
          <w:p>
            <w:pPr>
              <w:spacing w:before="40" w:after="40" w:line="240" w:lineRule="auto"/>
            </w:pPr>
            <w:r>
              <w:rPr>
                <w:sz w:val="22"/>
                <w:szCs w:val="22"/>
              </w:rPr>
              <w:t xml:space="preserve">Baja</w:t>
            </w:r>
          </w:p>
        </w:tc>
      </w:tr>
      <w:tr>
        <w:trPr>
          <w:cantSplit/>
        </w:trPr>
        <w:tc>
          <w:tcPr>
            <w:tcW w:w="700" w:type="dxa"/>
          </w:tcPr>
          <w:p>
            <w:pPr>
              <w:spacing w:before="40" w:after="40" w:line="240" w:lineRule="auto"/>
            </w:pPr>
            <w:r>
              <w:rPr>
                <w:sz w:val="22"/>
                <w:szCs w:val="22"/>
              </w:rPr>
              <w:t xml:space="preserve">14</w:t>
            </w:r>
          </w:p>
        </w:tc>
        <w:tc>
          <w:tcPr>
            <w:tcW w:w="5160" w:type="dxa"/>
          </w:tcPr>
          <w:p>
            <w:pPr>
              <w:spacing w:before="40" w:after="40" w:line="240" w:lineRule="auto"/>
            </w:pPr>
            <w:r>
              <w:rPr>
                <w:sz w:val="22"/>
                <w:szCs w:val="22"/>
              </w:rPr>
              <w:t xml:space="preserve">Glosario sin fuente ni uso</w:t>
            </w:r>
          </w:p>
        </w:tc>
        <w:tc>
          <w:tcPr>
            <w:tcW w:w="1700" w:type="dxa"/>
          </w:tcPr>
          <w:p>
            <w:pPr>
              <w:spacing w:before="40" w:after="40" w:line="240" w:lineRule="auto"/>
            </w:pPr>
            <w:r>
              <w:rPr>
                <w:sz w:val="22"/>
                <w:szCs w:val="22"/>
              </w:rPr>
              <w:t xml:space="preserve">M4</w:t>
            </w:r>
          </w:p>
        </w:tc>
        <w:tc>
          <w:tcPr>
            <w:tcW w:w="1800" w:type="dxa"/>
          </w:tcPr>
          <w:p>
            <w:pPr>
              <w:spacing w:before="40" w:after="40" w:line="240" w:lineRule="auto"/>
            </w:pPr>
            <w:r>
              <w:rPr>
                <w:sz w:val="22"/>
                <w:szCs w:val="22"/>
              </w:rPr>
              <w:t xml:space="preserve">Baja</w:t>
            </w:r>
          </w:p>
        </w:tc>
      </w:tr>
      <w:tr>
        <w:trPr>
          <w:cantSplit/>
        </w:trPr>
        <w:tc>
          <w:tcPr>
            <w:tcW w:w="700" w:type="dxa"/>
          </w:tcPr>
          <w:p>
            <w:pPr>
              <w:spacing w:before="40" w:after="40" w:line="240" w:lineRule="auto"/>
            </w:pPr>
            <w:r>
              <w:rPr>
                <w:sz w:val="22"/>
                <w:szCs w:val="22"/>
              </w:rPr>
              <w:t xml:space="preserve">18</w:t>
            </w:r>
          </w:p>
        </w:tc>
        <w:tc>
          <w:tcPr>
            <w:tcW w:w="5160" w:type="dxa"/>
          </w:tcPr>
          <w:p>
            <w:pPr>
              <w:spacing w:before="40" w:after="40" w:line="240" w:lineRule="auto"/>
            </w:pPr>
            <w:r>
              <w:rPr>
                <w:sz w:val="22"/>
                <w:szCs w:val="22"/>
              </w:rPr>
              <w:t xml:space="preserve">Enlaces a ResearchGate</w:t>
            </w:r>
          </w:p>
        </w:tc>
        <w:tc>
          <w:tcPr>
            <w:tcW w:w="1700" w:type="dxa"/>
          </w:tcPr>
          <w:p>
            <w:pPr>
              <w:spacing w:before="40" w:after="40" w:line="240" w:lineRule="auto"/>
            </w:pPr>
            <w:r>
              <w:rPr>
                <w:sz w:val="22"/>
                <w:szCs w:val="22"/>
              </w:rPr>
              <w:t xml:space="preserve">T3</w:t>
            </w:r>
          </w:p>
        </w:tc>
        <w:tc>
          <w:tcPr>
            <w:tcW w:w="1800" w:type="dxa"/>
          </w:tcPr>
          <w:p>
            <w:pPr>
              <w:spacing w:before="40" w:after="40" w:line="240" w:lineRule="auto"/>
            </w:pPr>
            <w:r>
              <w:rPr>
                <w:sz w:val="22"/>
                <w:szCs w:val="22"/>
              </w:rPr>
              <w:t xml:space="preserve">Baja</w:t>
            </w:r>
          </w:p>
        </w:tc>
      </w:tr>
      <w:tr>
        <w:trPr>
          <w:cantSplit/>
        </w:trPr>
        <w:tc>
          <w:tcPr>
            <w:tcW w:w="700" w:type="dxa"/>
          </w:tcPr>
          <w:p>
            <w:pPr>
              <w:spacing w:before="40" w:after="40" w:line="240" w:lineRule="auto"/>
            </w:pPr>
            <w:r>
              <w:rPr>
                <w:sz w:val="22"/>
                <w:szCs w:val="22"/>
              </w:rPr>
              <w:t xml:space="preserve">19</w:t>
            </w:r>
          </w:p>
        </w:tc>
        <w:tc>
          <w:tcPr>
            <w:tcW w:w="5160" w:type="dxa"/>
          </w:tcPr>
          <w:p>
            <w:pPr>
              <w:spacing w:before="40" w:after="40" w:line="240" w:lineRule="auto"/>
            </w:pPr>
            <w:r>
              <w:rPr>
                <w:sz w:val="22"/>
                <w:szCs w:val="22"/>
              </w:rPr>
              <w:t xml:space="preserve">Normas sin cita o sin URL</w:t>
            </w:r>
          </w:p>
        </w:tc>
        <w:tc>
          <w:tcPr>
            <w:tcW w:w="1700" w:type="dxa"/>
          </w:tcPr>
          <w:p>
            <w:pPr>
              <w:spacing w:before="40" w:after="40" w:line="240" w:lineRule="auto"/>
            </w:pPr>
            <w:r>
              <w:rPr>
                <w:sz w:val="22"/>
                <w:szCs w:val="22"/>
              </w:rPr>
              <w:t xml:space="preserve">T2, T3</w:t>
            </w:r>
          </w:p>
        </w:tc>
        <w:tc>
          <w:tcPr>
            <w:tcW w:w="1800" w:type="dxa"/>
          </w:tcPr>
          <w:p>
            <w:pPr>
              <w:spacing w:before="40" w:after="40" w:line="240" w:lineRule="auto"/>
            </w:pPr>
            <w:r>
              <w:rPr>
                <w:sz w:val="22"/>
                <w:szCs w:val="22"/>
              </w:rPr>
              <w:t xml:space="preserve">Baja</w:t>
            </w:r>
          </w:p>
        </w:tc>
      </w:tr>
      <w:tr>
        <w:trPr>
          <w:cantSplit/>
        </w:trPr>
        <w:tc>
          <w:tcPr>
            <w:tcW w:w="700" w:type="dxa"/>
          </w:tcPr>
          <w:p>
            <w:pPr>
              <w:spacing w:before="40" w:after="40" w:line="240" w:lineRule="auto"/>
            </w:pPr>
            <w:r>
              <w:rPr>
                <w:sz w:val="22"/>
                <w:szCs w:val="22"/>
              </w:rPr>
              <w:t xml:space="preserve">21</w:t>
            </w:r>
          </w:p>
        </w:tc>
        <w:tc>
          <w:tcPr>
            <w:tcW w:w="5160" w:type="dxa"/>
          </w:tcPr>
          <w:p>
            <w:pPr>
              <w:spacing w:before="40" w:after="40" w:line="240" w:lineRule="auto"/>
            </w:pPr>
            <w:r>
              <w:rPr>
                <w:sz w:val="22"/>
                <w:szCs w:val="22"/>
              </w:rPr>
              <w:t xml:space="preserve">Formato de índices y tablas</w:t>
            </w:r>
          </w:p>
        </w:tc>
        <w:tc>
          <w:tcPr>
            <w:tcW w:w="1700" w:type="dxa"/>
          </w:tcPr>
          <w:p>
            <w:pPr>
              <w:spacing w:before="40" w:after="40" w:line="240" w:lineRule="auto"/>
            </w:pPr>
            <w:r>
              <w:rPr>
                <w:sz w:val="22"/>
                <w:szCs w:val="22"/>
              </w:rPr>
              <w:t xml:space="preserve">T4</w:t>
            </w:r>
          </w:p>
        </w:tc>
        <w:tc>
          <w:tcPr>
            <w:tcW w:w="1800" w:type="dxa"/>
          </w:tcPr>
          <w:p>
            <w:pPr>
              <w:spacing w:before="40" w:after="40" w:line="240" w:lineRule="auto"/>
            </w:pPr>
            <w:r>
              <w:rPr>
                <w:sz w:val="22"/>
                <w:szCs w:val="22"/>
              </w:rPr>
              <w:t xml:space="preserve">Baja</w:t>
            </w:r>
          </w:p>
        </w:tc>
      </w:tr>
      <w:tr>
        <w:trPr>
          <w:cantSplit/>
        </w:trPr>
        <w:tc>
          <w:tcPr>
            <w:tcW w:w="700" w:type="dxa"/>
          </w:tcPr>
          <w:p>
            <w:pPr>
              <w:spacing w:before="40" w:after="40" w:line="240" w:lineRule="auto"/>
            </w:pPr>
            <w:r>
              <w:rPr>
                <w:sz w:val="22"/>
                <w:szCs w:val="22"/>
              </w:rPr>
              <w:t xml:space="preserve">22</w:t>
            </w:r>
          </w:p>
        </w:tc>
        <w:tc>
          <w:tcPr>
            <w:tcW w:w="5160" w:type="dxa"/>
          </w:tcPr>
          <w:p>
            <w:pPr>
              <w:spacing w:before="40" w:after="40" w:line="240" w:lineRule="auto"/>
            </w:pPr>
            <w:r>
              <w:rPr>
                <w:sz w:val="22"/>
                <w:szCs w:val="22"/>
              </w:rPr>
              <w:t xml:space="preserve">Ortotipografía y afirmación sin cita</w:t>
            </w:r>
          </w:p>
        </w:tc>
        <w:tc>
          <w:tcPr>
            <w:tcW w:w="1700" w:type="dxa"/>
          </w:tcPr>
          <w:p>
            <w:pPr>
              <w:spacing w:before="40" w:after="40" w:line="240" w:lineRule="auto"/>
            </w:pPr>
            <w:r>
              <w:rPr>
                <w:sz w:val="22"/>
                <w:szCs w:val="22"/>
              </w:rPr>
              <w:t xml:space="preserve">T4, J4</w:t>
            </w:r>
          </w:p>
        </w:tc>
        <w:tc>
          <w:tcPr>
            <w:tcW w:w="1800" w:type="dxa"/>
          </w:tcPr>
          <w:p>
            <w:pPr>
              <w:spacing w:before="40" w:after="40" w:line="240" w:lineRule="auto"/>
            </w:pPr>
            <w:r>
              <w:rPr>
                <w:sz w:val="22"/>
                <w:szCs w:val="22"/>
              </w:rPr>
              <w:t xml:space="preserve">Baja</w:t>
            </w:r>
          </w:p>
        </w:tc>
      </w:tr>
      <w:tr>
        <w:trPr>
          <w:cantSplit/>
        </w:trPr>
        <w:tc>
          <w:tcPr>
            <w:tcW w:w="700" w:type="dxa"/>
            <w:tcBorders>
              <w:bottom w:val="single" w:sz="8" w:space="0" w:color="000000"/>
            </w:tcBorders>
          </w:tcPr>
          <w:p>
            <w:pPr>
              <w:spacing w:before="40" w:after="40" w:line="240" w:lineRule="auto"/>
            </w:pPr>
            <w:r>
              <w:rPr>
                <w:sz w:val="22"/>
                <w:szCs w:val="22"/>
              </w:rPr>
              <w:t xml:space="preserve">23</w:t>
            </w:r>
          </w:p>
        </w:tc>
        <w:tc>
          <w:tcPr>
            <w:tcW w:w="5160" w:type="dxa"/>
            <w:tcBorders>
              <w:bottom w:val="single" w:sz="8" w:space="0" w:color="000000"/>
            </w:tcBorders>
          </w:tcPr>
          <w:p>
            <w:pPr>
              <w:spacing w:before="40" w:after="40" w:line="240" w:lineRule="auto"/>
            </w:pPr>
            <w:r>
              <w:rPr>
                <w:sz w:val="22"/>
                <w:szCs w:val="22"/>
              </w:rPr>
              <w:t xml:space="preserve">Dedicatoria idéntica a otro grupo</w:t>
            </w:r>
          </w:p>
        </w:tc>
        <w:tc>
          <w:tcPr>
            <w:tcW w:w="1700" w:type="dxa"/>
            <w:tcBorders>
              <w:bottom w:val="single" w:sz="8" w:space="0" w:color="000000"/>
            </w:tcBorders>
          </w:tcPr>
          <w:p>
            <w:pPr>
              <w:spacing w:before="40" w:after="40" w:line="240" w:lineRule="auto"/>
            </w:pPr>
            <w:r>
              <w:rPr>
                <w:sz w:val="22"/>
                <w:szCs w:val="22"/>
              </w:rPr>
              <w:t xml:space="preserve">T4</w:t>
            </w:r>
          </w:p>
        </w:tc>
        <w:tc>
          <w:tcPr>
            <w:tcW w:w="1800" w:type="dxa"/>
            <w:tcBorders>
              <w:bottom w:val="single" w:sz="8" w:space="0" w:color="000000"/>
            </w:tcBorders>
          </w:tcPr>
          <w:p>
            <w:pPr>
              <w:spacing w:before="40" w:after="40" w:line="240" w:lineRule="auto"/>
            </w:pPr>
            <w:r>
              <w:rPr>
                <w:sz w:val="22"/>
                <w:szCs w:val="22"/>
              </w:rPr>
              <w:t xml:space="preserve">Baja</w:t>
            </w:r>
          </w:p>
        </w:tc>
      </w:tr>
    </w:tbl>
    <w:p>
      <w:pPr>
        <w:spacing w:before="120" w:after="0" w:line="480" w:lineRule="auto"/>
      </w:pPr>
      <w:r>
        <w:rPr>
          <w:i/>
          <w:iCs/>
        </w:rPr>
        <w:t xml:space="preserve">Nota.</w:t>
      </w:r>
      <w:r>
        <w:rPr/>
        <w:t xml:space="preserve"> Los errores 4, 12, 13, 14, 17, 20, 21 y 22 son adicionales a los registrados en la rúbrica y no modifican la nota asignada.</w:t>
      </w:r>
    </w:p>
    <w:p>
      <w:pPr>
        <w:pStyle w:val="Heading1"/>
        <w:spacing w:before="0" w:after="0" w:line="480" w:lineRule="auto"/>
      </w:pPr>
      <w:r>
        <w:rPr/>
        <w:t xml:space="preserve">Conclusiones</w:t>
      </w:r>
    </w:p>
    <w:p>
      <w:pPr>
        <w:spacing w:before="0" w:after="0" w:line="480" w:lineRule="auto"/>
        <w:ind w:firstLine="720"/>
      </w:pPr>
      <w:r>
        <w:rPr/>
        <w:t xml:space="preserve">El trabajo del Grupo 8 alcanza un nivel alto (4,36) y presenta el planteamiento del problema más documentado del curso, con una justificación completa y un marco teórico articulado con la pregunta. Sus fallos principales no son de forma sino de viabilidad: el propio documento aporta evidencia de que la población «profesional» podría no existir formalmente y de que faltan datos para describir una evolución en 2024 y 2025. Por ello, la corrección más importante es verificar la disponibilidad de los datos y, según el resultado, ajustar la definición de la población, la pregunta y los objetivos (Errores 4, 5, 7 y 8).</w:t>
      </w:r>
    </w:p>
    <w:p>
      <w:pPr>
        <w:spacing w:before="0" w:after="0" w:line="480" w:lineRule="auto"/>
        <w:ind w:firstLine="720"/>
      </w:pPr>
      <w:r>
        <w:rPr/>
        <w:t xml:space="preserve">En segundo lugar, el grupo debe reforzar la calidad de la evidencia, sustituyendo la prensa por fuentes primarias y ampliando los antecedentes al baloncesto femenino y al contexto latinoamericano y local. Por último, las correcciones de APA son puntuales y de rápida ejecución: sufijos en las citas del mismo autor y año, formato de noticias y páginas web, DOI en lugar de ResearchGate, extensión del resumen y una declaración de uso de IA completa. Atenderlas elevaría los ítems de objetivos específicos y de APA y redacción, que hoy son los de menor nota.</w:t>
      </w:r>
    </w:p>
    <w:p>
      <w:pPr>
        <w:pStyle w:val="Heading1"/>
        <w:pageBreakBefore/>
        <w:spacing w:before="0" w:after="0" w:line="480" w:lineRule="auto"/>
      </w:pPr>
      <w:r>
        <w:rPr/>
        <w:t xml:space="preserve">Referencias</w:t>
      </w:r>
    </w:p>
    <w:p>
      <w:pPr>
        <w:spacing w:before="0" w:after="0" w:line="480" w:lineRule="auto"/>
        <w:ind w:left="720" w:hanging="720"/>
      </w:pPr>
      <w:r>
        <w:rPr/>
        <w:t xml:space="preserve">American Psychological Association. (2020). </w:t>
      </w:r>
      <w:r>
        <w:rPr>
          <w:i/>
          <w:iCs/>
        </w:rPr>
        <w:t xml:space="preserve">Publication manual of the American Psychological Association</w:t>
      </w:r>
      <w:r>
        <w:rPr/>
        <w:t xml:space="preserve"> (7.ª ed.). https://doi.org/10.1037/0000165-000</w:t>
      </w:r>
    </w:p>
    <w:p>
      <w:pPr>
        <w:spacing w:before="0" w:after="0" w:line="480" w:lineRule="auto"/>
        <w:ind w:left="720" w:hanging="720"/>
      </w:pPr>
      <w:r>
        <w:rPr/>
        <w:t xml:space="preserve">Congreso de la República de Colombia. (2015, 30 de junio). </w:t>
      </w:r>
      <w:r>
        <w:rPr>
          <w:i/>
          <w:iCs/>
        </w:rPr>
        <w:t xml:space="preserve">Ley 1755 de 2015. Por medio de la cual se regula el derecho fundamental de petición y se sustituye un título del Código de Procedimiento Administrativo y de lo Contencioso Administrativo</w:t>
      </w:r>
      <w:r>
        <w:rPr/>
        <w:t xml:space="preserve">. Diario Oficial No. 49.559.</w:t>
      </w:r>
    </w:p>
    <w:p>
      <w:pPr>
        <w:spacing w:before="0" w:after="0" w:line="480" w:lineRule="auto"/>
        <w:ind w:left="720" w:hanging="720"/>
      </w:pPr>
      <w:r>
        <w:rPr/>
        <w:t xml:space="preserve">Cornwell, T. B. (1995). Sponsorship-linked marketing development. </w:t>
      </w:r>
      <w:r>
        <w:rPr>
          <w:i/>
          <w:iCs/>
        </w:rPr>
        <w:t xml:space="preserve">Sport Marketing Quarterly, 4</w:t>
      </w:r>
      <w:r>
        <w:rPr/>
        <w:t xml:space="preserve">(4), 13–24.</w:t>
      </w:r>
    </w:p>
    <w:p>
      <w:pPr>
        <w:spacing w:before="0" w:after="0" w:line="480" w:lineRule="auto"/>
        <w:ind w:left="720" w:hanging="720"/>
      </w:pPr>
      <w:r>
        <w:rPr/>
        <w:t xml:space="preserve">McAdoo, T. (2023, 7 de abril). </w:t>
      </w:r>
      <w:r>
        <w:rPr>
          <w:i/>
          <w:iCs/>
        </w:rPr>
        <w:t xml:space="preserve">How to cite ChatGPT</w:t>
      </w:r>
      <w:r>
        <w:rPr/>
        <w:t xml:space="preserve">. APA Style. https://apastyle.apa.org/blog/how-to-cite-chatgpt</w:t>
      </w:r>
    </w:p>
    <w:p>
      <w:pPr>
        <w:spacing w:before="0" w:after="0" w:line="480" w:lineRule="auto"/>
        <w:ind w:left="720" w:hanging="720"/>
      </w:pPr>
      <w:r>
        <w:rPr/>
        <w:t xml:space="preserve">Neale, W. C. (1964). The peculiar economics of professional sports. </w:t>
      </w:r>
      <w:r>
        <w:rPr>
          <w:i/>
          <w:iCs/>
        </w:rPr>
        <w:t xml:space="preserve">The Quarterly Journal of Economics, 78</w:t>
      </w:r>
      <w:r>
        <w:rPr/>
        <w:t xml:space="preserve">(1), 1–14. https://academic.oup.com/qje/article/78/1/1/1854464</w:t>
      </w:r>
    </w:p>
    <w:p>
      <w:pPr>
        <w:spacing w:before="0" w:after="0" w:line="480" w:lineRule="auto"/>
        <w:ind w:left="720" w:hanging="720"/>
      </w:pPr>
      <w:r>
        <w:rPr/>
        <w:t xml:space="preserve">Quiroga Rodríguez, C. E., Pardo Cubides, D. E., y Pérez Cuestas, H. D. (2026). </w:t>
      </w:r>
      <w:r>
        <w:rPr>
          <w:i/>
          <w:iCs/>
        </w:rPr>
        <w:t xml:space="preserve">Evolución económica del baloncesto profesional femenino en Colombia (2022–2025)</w:t>
      </w:r>
      <w:r>
        <w:rPr/>
        <w:t xml:space="preserve"> [Manuscrito inédito, capítulos 1 y 2]. Programa de Administración Deportiva, Universidad Distrital Francisco José de Caldas.</w:t>
      </w:r>
    </w:p>
    <w:p>
      <w:pPr>
        <w:spacing w:before="0" w:after="0" w:line="480" w:lineRule="auto"/>
        <w:ind w:left="720" w:hanging="720"/>
      </w:pPr>
      <w:r>
        <w:rPr/>
        <w:t xml:space="preserve">Sloane, P. J. (1971). The economics of professional football: The football club as a utility maximiser. </w:t>
      </w:r>
      <w:r>
        <w:rPr>
          <w:i/>
          <w:iCs/>
        </w:rPr>
        <w:t xml:space="preserve">Scottish Journal of Political Economy, 18</w:t>
      </w:r>
      <w:r>
        <w:rPr/>
        <w:t xml:space="preserve">(2), 121–146.</w:t>
      </w:r>
    </w:p>
    <w:p>
      <w:pPr>
        <w:spacing w:before="0" w:after="0" w:line="480" w:lineRule="auto"/>
        <w:ind w:left="720" w:hanging="720"/>
      </w:pPr>
      <w:r>
        <w:rPr/>
        <w:t xml:space="preserve">Szymanski, S. (2003). The economic design of sporting contests. </w:t>
      </w:r>
      <w:r>
        <w:rPr>
          <w:i/>
          <w:iCs/>
        </w:rPr>
        <w:t xml:space="preserve">Journal of Economic Literature, 41</w:t>
      </w:r>
      <w:r>
        <w:rPr/>
        <w:t xml:space="preserve">(4), 1137–1187. https://doi.org/10.1257/002205103771800004</w:t>
      </w:r>
    </w:p>
    <w:p>
      <w:pPr>
        <w:spacing w:before="0" w:after="0" w:line="480" w:lineRule="auto"/>
        <w:ind w:left="720" w:hanging="720"/>
      </w:pPr>
      <w:r>
        <w:rPr/>
        <w:t xml:space="preserve">Torres-Romay, E., y García-Mirón, S. (2020). Patrocinio deportivo femenino. Situación actual y tendencias. </w:t>
      </w:r>
      <w:r>
        <w:rPr>
          <w:i/>
          <w:iCs/>
        </w:rPr>
        <w:t xml:space="preserve">Comunicación y Género, 3</w:t>
      </w:r>
      <w:r>
        <w:rPr/>
        <w:t xml:space="preserve">(2), 125–137. https://revistas.ucm.es/index.php/CGEN/article/view/70373</w:t>
      </w:r>
    </w:p>
    <w:p>
      <w:pPr>
        <w:spacing w:before="0" w:after="0" w:line="480" w:lineRule="auto"/>
        <w:ind w:left="720" w:hanging="720"/>
      </w:pPr>
      <w:r>
        <w:rPr/>
        <w:t xml:space="preserve">Universidad Distrital Francisco José de Caldas. (2026). </w:t>
      </w:r>
      <w:r>
        <w:rPr>
          <w:i/>
          <w:iCs/>
        </w:rPr>
        <w:t xml:space="preserve">Evaluación de trabajos de grado – Capítulos 1 y 2, MI131 Metodología de Investigación</w:t>
      </w:r>
      <w:r>
        <w:rPr/>
        <w:t xml:space="preserve"> [Rúbrica y libro de cálculo inédito]. Programa de Administración Deportiva.</w:t>
      </w:r>
    </w:p>
    <w:p>
      <w:pPr>
        <w:pStyle w:val="Heading2"/>
        <w:spacing w:before="0" w:after="0" w:line="480" w:lineRule="auto"/>
      </w:pPr>
      <w:r>
        <w:rPr/>
        <w:t xml:space="preserve">Declaración de Uso de Inteligencia Artificial</w:t>
      </w:r>
    </w:p>
    <w:p>
      <w:pPr>
        <w:spacing w:before="0" w:after="0" w:line="480" w:lineRule="auto"/>
        <w:ind w:firstLine="720"/>
      </w:pPr>
      <w:r>
        <w:rPr/>
        <w:t xml:space="preserve">Este informe se elaboró con apoyo de Kiro, asistente de programación basado en IA, el 20 de octubre de 2026. La herramienta se usó para extraer el texto de los archivos de la rúbrica y del trabajo de grado, contrastar las citas con la lista de referencias, verificar en línea los datos bibliográficos de Szymanski (2003), Sloane (1971) y Neale (1964) y redactar el borrador de los hallazgos y las correcciones. Las notas provienen de la rúbrica del curso. El contenido debe ser revisado y validado por el evaluador antes de entregarse al grupo.</w:t>
      </w:r>
    </w:p>
    <w:sectPr>
      <w:headerReference w:type="default" r:id="rIdHeader1"/>
      <w:pgSz w:w="12240" w:h="15840"/>
      <w:pgMar w:top="1440" w:right="1440" w:bottom="1440" w:left="1440" w:header="720" w:footer="720" w:gutter="0"/>
    </w:sectPr>
  </w:body>
</w:document>
</file>

<file path=word/header1.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xmlns:r="http://schemas.openxmlformats.org/officeDocument/2006/relationships">
  <w:updateFields w:val="false"/>
  <w:defaultTabStop w:val="720"/>
  <w:themeFontLang w:val="es-CO"/>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CO" w:eastAsia="es-CO" w:bidi="ar-SA"/>
      </w:rPr>
    </w:rPrDefault>
    <w:pPrDefault>
      <w:pPr>
        <w:spacing w:after="0" w:line="480" w:lineRule="auto"/>
      </w:pPr>
    </w:pPrDefault>
  </w:docDefaults>
  <w:style w:type="paragraph" w:default="1" w:styleId="Normal">
    <w:name w:val="Normal"/>
    <w:qFormat/>
  </w:style>
  <w:style w:type="paragraph" w:styleId="Heading1">
    <w:name w:val="heading 1"/>
    <w:basedOn w:val="Normal"/>
    <w:next w:val="Normal"/>
    <w:qFormat/>
    <w:pPr>
      <w:keepNext/>
      <w:keepLines/>
      <w:jc w:val="center"/>
      <w:outlineLvl w:val="0"/>
    </w:pPr>
    <w:rPr>
      <w:b/>
      <w:bCs/>
    </w:rPr>
  </w:style>
  <w:style w:type="paragraph" w:styleId="Heading2">
    <w:name w:val="heading 2"/>
    <w:basedOn w:val="Normal"/>
    <w:next w:val="Normal"/>
    <w:qFormat/>
    <w:pPr>
      <w:keepNext/>
      <w:keepLines/>
      <w:outlineLvl w:val="1"/>
    </w:pPr>
    <w:rPr>
      <w:b/>
      <w:bCs/>
    </w:rPr>
  </w:style>
  <w:style w:type="paragraph" w:styleId="Heading3">
    <w:name w:val="heading 3"/>
    <w:basedOn w:val="Normal"/>
    <w:next w:val="Normal"/>
    <w:qFormat/>
    <w:pPr>
      <w:keepNext/>
      <w:keepLines/>
      <w:outlineLvl w:val="2"/>
    </w:pPr>
    <w:rPr>
      <w:b/>
      <w:bCs/>
      <w:i/>
      <w:iCs/>
    </w:rPr>
  </w:style>
  <w:style w:type="paragraph" w:styleId="Header">
    <w:name w:val="header"/>
    <w:basedOn w:val="Normal"/>
    <w:pPr>
      <w:spacing w:line="240" w:lineRule="auto"/>
      <w:jc w:val="right"/>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1"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Errores y correcciones del trabajo de grado del Grupo 8</dc:title>
  <dc:language>es-CO</dc:language>
  <dcterms:created xsi:type="dcterms:W3CDTF">2026-10-20T00:00:00Z</dcterms:created>
</cp:coreProperties>
</file>