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b/>
          <w:bCs/>
        </w:rPr>
        <w:t xml:space="preserve">Errores del Trabajo de Grado del Grupo 8 y sus Posibles Correcciones</w:t>
      </w:r>
    </w:p>
    <w:p>
      <w:pPr>
        <w:spacing w:before="0" w:after="0" w:line="480" w:lineRule="auto"/>
      </w:pPr>
    </w:p>
    <w:p>
      <w:pPr>
        <w:spacing w:before="0" w:after="0" w:line="480" w:lineRule="auto"/>
        <w:jc w:val="center"/>
      </w:pPr>
      <w:r>
        <w:rPr/>
        <w:t xml:space="preserve">[Nombre del evaluador]</w:t>
      </w:r>
    </w:p>
    <w:p>
      <w:pPr>
        <w:spacing w:before="0" w:after="0" w:line="480" w:lineRule="auto"/>
        <w:jc w:val="center"/>
      </w:pPr>
      <w:r>
        <w:rPr/>
        <w:t xml:space="preserve">Programa de Administración Deportiva, Universidad Distrital Francisco José de Caldas</w:t>
      </w:r>
    </w:p>
    <w:p>
      <w:pPr>
        <w:spacing w:before="0" w:after="0" w:line="480" w:lineRule="auto"/>
        <w:jc w:val="center"/>
      </w:pPr>
      <w:r>
        <w:rPr/>
        <w:t xml:space="preserve">MI131: Metodología de Investigación</w:t>
      </w:r>
    </w:p>
    <w:p>
      <w:pPr>
        <w:spacing w:before="0" w:after="0" w:line="480" w:lineRule="auto"/>
        <w:jc w:val="center"/>
      </w:pPr>
      <w:r>
        <w:rPr/>
        <w:t xml:space="preserve">Mg. Kilderman Mendoza Moreno</w:t>
      </w:r>
    </w:p>
    <w:p>
      <w:pPr>
        <w:spacing w:before="0" w:after="0" w:line="480" w:lineRule="auto"/>
        <w:jc w:val="center"/>
      </w:pPr>
      <w:r>
        <w:rPr/>
        <w:t xml:space="preserve">20 de octubre de 2026</w:t>
      </w:r>
    </w:p>
    <w:p>
      <w:pPr>
        <w:pStyle w:val="Heading1"/>
        <w:pageBreakBefore/>
        <w:spacing w:before="0" w:after="0" w:line="480" w:lineRule="auto"/>
      </w:pPr>
      <w:r>
        <w:rPr/>
        <w:t xml:space="preserve">Errores del Trabajo de Grado del Grupo 8 y sus Posibles Correcciones</w:t>
      </w:r>
    </w:p>
    <w:p>
      <w:pPr>
        <w:spacing w:before="0" w:after="0" w:line="480" w:lineRule="auto"/>
        <w:ind w:firstLine="720"/>
      </w:pPr>
      <w:r>
        <w:rPr/>
        <w:t xml:space="preserve">A continuación se presentan los errores encontrados en el trabajo de grado del Grupo 8, </w:t>
      </w:r>
      <w:r>
        <w:rPr>
          <w:i/>
          <w:iCs/>
        </w:rPr>
        <w:t xml:space="preserve">Evolución económica del baloncesto profesional femenino en Colombia (2022–2025)</w:t>
      </w:r>
      <w:r>
        <w:rPr/>
        <w:t xml:space="preserve">, revisado con la rúbrica del curso. Para cada error se explica qué está mal y cómo corregirlo.</w:t>
      </w:r>
    </w:p>
    <w:p>
      <w:pPr>
        <w:pStyle w:val="Heading2"/>
        <w:spacing w:before="0" w:after="0" w:line="480" w:lineRule="auto"/>
      </w:pPr>
      <w:r>
        <w:rPr/>
        <w:t xml:space="preserve">1. No está claro que exista el baloncesto femenino «profesional»</w:t>
      </w:r>
    </w:p>
    <w:p>
      <w:pPr>
        <w:spacing w:before="0" w:after="0" w:line="480" w:lineRule="auto"/>
        <w:ind w:firstLine="720"/>
      </w:pPr>
      <w:r>
        <w:rPr>
          <w:b/>
          <w:bCs/>
        </w:rPr>
        <w:t xml:space="preserve">Error.</w:t>
      </w:r>
      <w:r>
        <w:rPr/>
        <w:t xml:space="preserve"> El trabajo dice estudiar el baloncesto femenino profesional, pero el mismo texto reconoce que, según el Ministerio del Deporte, no hay jugadoras de baloncesto con contrato profesional formal. Si esa población no existe como tal, el estudio queda sin base.</w:t>
      </w:r>
    </w:p>
    <w:p>
      <w:pPr>
        <w:spacing w:before="0" w:after="0" w:line="480" w:lineRule="auto"/>
        <w:ind w:firstLine="720"/>
      </w:pPr>
      <w:r>
        <w:rPr>
          <w:b/>
          <w:bCs/>
        </w:rPr>
        <w:t xml:space="preserve">Corrección.</w:t>
      </w:r>
      <w:r>
        <w:rPr/>
        <w:t xml:space="preserve"> Explicar qué se entiende por «profesional» en este trabajo o cambiar el término. Por ejemplo: «baloncesto femenino de máxima categoría», refiriéndose a los equipos y jugadoras de la Liga Superior Femenina.</w:t>
      </w:r>
    </w:p>
    <w:p>
      <w:pPr>
        <w:pStyle w:val="Heading2"/>
        <w:spacing w:before="0" w:after="0" w:line="480" w:lineRule="auto"/>
      </w:pPr>
      <w:r>
        <w:rPr/>
        <w:t xml:space="preserve">2. Puede que no haya datos para responder la pregunta</w:t>
      </w:r>
    </w:p>
    <w:p>
      <w:pPr>
        <w:spacing w:before="0" w:after="0" w:line="480" w:lineRule="auto"/>
        <w:ind w:firstLine="720"/>
      </w:pPr>
      <w:r>
        <w:rPr>
          <w:b/>
          <w:bCs/>
        </w:rPr>
        <w:t xml:space="preserve">Error.</w:t>
      </w:r>
      <w:r>
        <w:rPr/>
        <w:t xml:space="preserve"> La pregunta busca saber cómo cambiaron los patrocinios, presupuestos y salarios entre 2022 y 2025. Pero el trabajo muestra que no hay registro de la liga en 2024 ni 2025 y que los clubes no publican sus cuentas. Sin datos, no se puede describir un cambio en el tiempo.</w:t>
      </w:r>
    </w:p>
    <w:p>
      <w:pPr>
        <w:spacing w:before="0" w:after="0" w:line="480" w:lineRule="auto"/>
        <w:ind w:firstLine="720"/>
      </w:pPr>
      <w:r>
        <w:rPr>
          <w:b/>
          <w:bCs/>
        </w:rPr>
        <w:t xml:space="preserve">Corrección.</w:t>
      </w:r>
      <w:r>
        <w:rPr/>
        <w:t xml:space="preserve"> Confirmar primero qué información existe, por ejemplo pidiéndola por escrito a la Federación y al Ministerio. Si no alcanza, ajustar la pregunta a lo que sí se puede averiguar, como: «¿Qué información sobre financiación, presupuestos y salarios puede documentarse entre 2022 y 2025?».</w:t>
      </w:r>
    </w:p>
    <w:p>
      <w:pPr>
        <w:pStyle w:val="Heading2"/>
        <w:spacing w:before="0" w:after="0" w:line="480" w:lineRule="auto"/>
      </w:pPr>
      <w:r>
        <w:rPr/>
        <w:t xml:space="preserve">3. El objetivo general incluye la forma de hacer el estudio</w:t>
      </w:r>
    </w:p>
    <w:p>
      <w:pPr>
        <w:spacing w:before="0" w:after="0" w:line="480" w:lineRule="auto"/>
        <w:ind w:firstLine="720"/>
      </w:pPr>
      <w:r>
        <w:rPr>
          <w:b/>
          <w:bCs/>
        </w:rPr>
        <w:t xml:space="preserve">Error.</w:t>
      </w:r>
      <w:r>
        <w:rPr/>
        <w:t xml:space="preserve"> El objetivo general termina con «mediante la revisión documental de fuentes…». Eso explica cómo se hará el trabajo, y esa parte corresponde a la metodología, no al objetivo.</w:t>
      </w:r>
    </w:p>
    <w:p>
      <w:pPr>
        <w:spacing w:before="0" w:after="0" w:line="480" w:lineRule="auto"/>
        <w:ind w:firstLine="720"/>
      </w:pPr>
      <w:r>
        <w:rPr>
          <w:b/>
          <w:bCs/>
        </w:rPr>
        <w:t xml:space="preserve">Corrección.</w:t>
      </w:r>
      <w:r>
        <w:rPr/>
        <w:t xml:space="preserve"> Quitar esa frase del objetivo. Ejemplo: «Analizar la evolución de los ingresos por patrocinio, los presupuestos de los clubes y los salarios de las jugadoras del baloncesto profesional femenino en Colombia entre 2022 y 2025».</w:t>
      </w:r>
    </w:p>
    <w:p>
      <w:pPr>
        <w:pStyle w:val="Heading2"/>
        <w:spacing w:before="0" w:after="0" w:line="480" w:lineRule="auto"/>
      </w:pPr>
      <w:r>
        <w:rPr/>
        <w:t xml:space="preserve">4. El cuarto objetivo específico va más allá del objetivo general</w:t>
      </w:r>
    </w:p>
    <w:p>
      <w:pPr>
        <w:spacing w:before="0" w:after="0" w:line="480" w:lineRule="auto"/>
        <w:ind w:firstLine="720"/>
      </w:pPr>
      <w:r>
        <w:rPr>
          <w:b/>
          <w:bCs/>
        </w:rPr>
        <w:t xml:space="preserve">Error.</w:t>
      </w:r>
      <w:r>
        <w:rPr/>
        <w:t xml:space="preserve"> El objetivo 4 propone comparar con el baloncesto masculino y con otros países, pero el objetivo general no habla de comparaciones. Además, el trabajo dice que la rama masculina queda fuera del estudio.</w:t>
      </w:r>
    </w:p>
    <w:p>
      <w:pPr>
        <w:spacing w:before="0" w:after="0" w:line="480" w:lineRule="auto"/>
        <w:ind w:firstLine="720"/>
      </w:pPr>
      <w:r>
        <w:rPr>
          <w:b/>
          <w:bCs/>
        </w:rPr>
        <w:t xml:space="preserve">Corrección.</w:t>
      </w:r>
      <w:r>
        <w:rPr/>
        <w:t xml:space="preserve"> Eliminar el objetivo 4, o bien agregar la comparación al objetivo general y explicar qué datos masculinos se usarán.</w:t>
      </w:r>
    </w:p>
    <w:p>
      <w:pPr>
        <w:pStyle w:val="Heading2"/>
        <w:spacing w:before="0" w:after="0" w:line="480" w:lineRule="auto"/>
      </w:pPr>
      <w:r>
        <w:rPr/>
        <w:t xml:space="preserve">5. Algunos objetivos específicos son tareas y no resultados</w:t>
      </w:r>
    </w:p>
    <w:p>
      <w:pPr>
        <w:spacing w:before="0" w:after="0" w:line="480" w:lineRule="auto"/>
        <w:ind w:firstLine="720"/>
      </w:pPr>
      <w:r>
        <w:rPr>
          <w:b/>
          <w:bCs/>
        </w:rPr>
        <w:t xml:space="preserve">Error.</w:t>
      </w:r>
      <w:r>
        <w:rPr/>
        <w:t xml:space="preserve"> El objetivo 1 (hacer una lista de torneos y clubes) es un paso previo del trabajo, no un resultado. El objetivo 3 incluye cómo se medirá (con el salario mínimo), lo cual es parte del método.</w:t>
      </w:r>
    </w:p>
    <w:p>
      <w:pPr>
        <w:spacing w:before="0" w:after="0" w:line="480" w:lineRule="auto"/>
        <w:ind w:firstLine="720"/>
      </w:pPr>
      <w:r>
        <w:rPr>
          <w:b/>
          <w:bCs/>
        </w:rPr>
        <w:t xml:space="preserve">Corrección.</w:t>
      </w:r>
      <w:r>
        <w:rPr/>
        <w:t xml:space="preserve"> Redactar los objetivos como lo que se quiere conocer. Por ejemplo: «Determinar de dónde provienen los recursos de los torneos» y «Caracterizar las condiciones de pago de las jugadoras». Pasar la lista de torneos y el uso del salario mínimo a la metodología.</w:t>
      </w:r>
    </w:p>
    <w:p>
      <w:pPr>
        <w:pStyle w:val="Heading2"/>
        <w:spacing w:before="0" w:after="0" w:line="480" w:lineRule="auto"/>
      </w:pPr>
      <w:r>
        <w:rPr/>
        <w:t xml:space="preserve">6. Un dato importante está mal atribuido y cambia de sentido</w:t>
      </w:r>
    </w:p>
    <w:p>
      <w:pPr>
        <w:spacing w:before="0" w:after="0" w:line="480" w:lineRule="auto"/>
        <w:ind w:firstLine="720"/>
      </w:pPr>
      <w:r>
        <w:rPr>
          <w:b/>
          <w:bCs/>
        </w:rPr>
        <w:t xml:space="preserve">Error.</w:t>
      </w:r>
      <w:r>
        <w:rPr/>
        <w:t xml:space="preserve"> El dato de los 1.274 contratos de futbolistas se atribuye a una noticia de Vorágine que trata otro tema. Además, en un apartado se habla de «futbolistas» en general y en otro de «futbolistas mujeres», como si fuera lo mismo.</w:t>
      </w:r>
    </w:p>
    <w:p>
      <w:pPr>
        <w:spacing w:before="0" w:after="0" w:line="480" w:lineRule="auto"/>
        <w:ind w:firstLine="720"/>
      </w:pPr>
      <w:r>
        <w:rPr>
          <w:b/>
          <w:bCs/>
        </w:rPr>
        <w:t xml:space="preserve">Corrección.</w:t>
      </w:r>
      <w:r>
        <w:rPr/>
        <w:t xml:space="preserve"> Buscar el informe original de la Superintendencia de Industria y Comercio y citarlo. Escribir el dato con las mismas palabras en todo el documento y confirmar si se refiere solo a mujeres.</w:t>
      </w:r>
    </w:p>
    <w:p>
      <w:pPr>
        <w:pStyle w:val="Heading2"/>
        <w:spacing w:before="0" w:after="0" w:line="480" w:lineRule="auto"/>
      </w:pPr>
      <w:r>
        <w:rPr/>
        <w:t xml:space="preserve">7. Se usan demasiadas noticias como prueba</w:t>
      </w:r>
    </w:p>
    <w:p>
      <w:pPr>
        <w:spacing w:before="0" w:after="0" w:line="480" w:lineRule="auto"/>
        <w:ind w:firstLine="720"/>
      </w:pPr>
      <w:r>
        <w:rPr>
          <w:b/>
          <w:bCs/>
        </w:rPr>
        <w:t xml:space="preserve">Error.</w:t>
      </w:r>
      <w:r>
        <w:rPr/>
        <w:t xml:space="preserve"> Muchas cifras del problema vienen de periódicos y páginas web, que pueden tener errores. El propio trabajo encontró una noticia que dice 15 equipos en un párrafo y 17 en otro.</w:t>
      </w:r>
    </w:p>
    <w:p>
      <w:pPr>
        <w:spacing w:before="0" w:after="0" w:line="480" w:lineRule="auto"/>
        <w:ind w:firstLine="720"/>
      </w:pPr>
      <w:r>
        <w:rPr>
          <w:b/>
          <w:bCs/>
        </w:rPr>
        <w:t xml:space="preserve">Corrección.</w:t>
      </w:r>
      <w:r>
        <w:rPr/>
        <w:t xml:space="preserve"> Usar, siempre que sea posible, documentos oficiales: informes del Ministerio del Deporte, de la Federación o de las superintendencias. Dejar las noticias solo para hechos puntuales, como declaraciones o fechas.</w:t>
      </w:r>
    </w:p>
    <w:p>
      <w:pPr>
        <w:pStyle w:val="Heading2"/>
        <w:spacing w:before="0" w:after="0" w:line="480" w:lineRule="auto"/>
      </w:pPr>
      <w:r>
        <w:rPr/>
        <w:t xml:space="preserve">8. La descripción del problema es demasiado larga y repetitiva</w:t>
      </w:r>
    </w:p>
    <w:p>
      <w:pPr>
        <w:spacing w:before="0" w:after="0" w:line="480" w:lineRule="auto"/>
        <w:ind w:firstLine="720"/>
      </w:pPr>
      <w:r>
        <w:rPr>
          <w:b/>
          <w:bCs/>
        </w:rPr>
        <w:t xml:space="preserve">Error.</w:t>
      </w:r>
      <w:r>
        <w:rPr/>
        <w:t xml:space="preserve"> Ocupa unas 11 páginas e incluye detalles que no ayudan a entender el problema, como el marcador de una final o el club donde juega una jugadora. Además, varias cifras se repiten en la introducción, la justificación y el capítulo 2.</w:t>
      </w:r>
    </w:p>
    <w:p>
      <w:pPr>
        <w:spacing w:before="0" w:after="0" w:line="480" w:lineRule="auto"/>
        <w:ind w:firstLine="720"/>
      </w:pPr>
      <w:r>
        <w:rPr>
          <w:b/>
          <w:bCs/>
        </w:rPr>
        <w:t xml:space="preserve">Corrección.</w:t>
      </w:r>
      <w:r>
        <w:rPr/>
        <w:t xml:space="preserve"> Reducirla a unas cinco o seis páginas, dejando solo los datos que muestran el problema. No repetir las mismas cifras en otras secciones; basta con mencionarlas una vez.</w:t>
      </w:r>
    </w:p>
    <w:p>
      <w:pPr>
        <w:pStyle w:val="Heading2"/>
        <w:spacing w:before="0" w:after="0" w:line="480" w:lineRule="auto"/>
      </w:pPr>
      <w:r>
        <w:rPr/>
        <w:t xml:space="preserve">9. La justificación no dice cómo se conseguirán los datos</w:t>
      </w:r>
    </w:p>
    <w:p>
      <w:pPr>
        <w:spacing w:before="0" w:after="0" w:line="480" w:lineRule="auto"/>
        <w:ind w:firstLine="720"/>
      </w:pPr>
      <w:r>
        <w:rPr>
          <w:b/>
          <w:bCs/>
        </w:rPr>
        <w:t xml:space="preserve">Error.</w:t>
      </w:r>
      <w:r>
        <w:rPr/>
        <w:t xml:space="preserve"> Se reconoce que los clubes no están obligados a publicar sus cuentas, pero no se explica cómo se obtendrá esa información.</w:t>
      </w:r>
    </w:p>
    <w:p>
      <w:pPr>
        <w:spacing w:before="0" w:after="0" w:line="480" w:lineRule="auto"/>
        <w:ind w:firstLine="720"/>
      </w:pPr>
      <w:r>
        <w:rPr>
          <w:b/>
          <w:bCs/>
        </w:rPr>
        <w:t xml:space="preserve">Corrección.</w:t>
      </w:r>
      <w:r>
        <w:rPr/>
        <w:t xml:space="preserve"> Indicar qué fuentes se consultarán, cómo se pedirá la información (por ejemplo, con un derecho de petición) y en cuánto tiempo se espera la respuesta.</w:t>
      </w:r>
    </w:p>
    <w:p>
      <w:pPr>
        <w:pStyle w:val="Heading2"/>
        <w:spacing w:before="0" w:after="0" w:line="480" w:lineRule="auto"/>
      </w:pPr>
      <w:r>
        <w:rPr/>
        <w:t xml:space="preserve">10. Los antecedentes no incluyen estudios sobre baloncesto femenino ni locales</w:t>
      </w:r>
    </w:p>
    <w:p>
      <w:pPr>
        <w:spacing w:before="0" w:after="0" w:line="480" w:lineRule="auto"/>
        <w:ind w:firstLine="720"/>
      </w:pPr>
      <w:r>
        <w:rPr>
          <w:b/>
          <w:bCs/>
        </w:rPr>
        <w:t xml:space="preserve">Error.</w:t>
      </w:r>
      <w:r>
        <w:rPr/>
        <w:t xml:space="preserve"> Los estudios revisados tratan de fútbol o de deporte femenino en general. Ninguno estudia el baloncesto femenino, y no hay estudios de Latinoamérica ni de Bogotá, aunque el subtítulo dice «Nacionales y Regionales».</w:t>
      </w:r>
    </w:p>
    <w:p>
      <w:pPr>
        <w:spacing w:before="0" w:after="0" w:line="480" w:lineRule="auto"/>
        <w:ind w:firstLine="720"/>
      </w:pPr>
      <w:r>
        <w:rPr>
          <w:b/>
          <w:bCs/>
        </w:rPr>
        <w:t xml:space="preserve">Corrección.</w:t>
      </w:r>
      <w:r>
        <w:rPr/>
        <w:t xml:space="preserve"> Buscar en bases de datos académicas estudios sobre baloncesto femenino en Latinoamérica y Colombia. Si no se encuentran, decir dónde y cómo se buscó, porque eso también demuestra el vacío.</w:t>
      </w:r>
    </w:p>
    <w:p>
      <w:pPr>
        <w:pStyle w:val="Heading2"/>
        <w:spacing w:before="0" w:after="0" w:line="480" w:lineRule="auto"/>
      </w:pPr>
      <w:r>
        <w:rPr/>
        <w:t xml:space="preserve">11. Algunos antecedentes no explican cómo se hizo el estudio</w:t>
      </w:r>
    </w:p>
    <w:p>
      <w:pPr>
        <w:spacing w:before="0" w:after="0" w:line="480" w:lineRule="auto"/>
        <w:ind w:firstLine="720"/>
      </w:pPr>
      <w:r>
        <w:rPr>
          <w:b/>
          <w:bCs/>
        </w:rPr>
        <w:t xml:space="preserve">Error.</w:t>
      </w:r>
      <w:r>
        <w:rPr/>
        <w:t xml:space="preserve"> En varios antecedentes solo se cuenta la conclusión, sin decir qué tipo de estudio fue ni con quién o con qué datos se hizo.</w:t>
      </w:r>
    </w:p>
    <w:p>
      <w:pPr>
        <w:spacing w:before="0" w:after="0" w:line="480" w:lineRule="auto"/>
        <w:ind w:firstLine="720"/>
      </w:pPr>
      <w:r>
        <w:rPr>
          <w:b/>
          <w:bCs/>
        </w:rPr>
        <w:t xml:space="preserve">Corrección.</w:t>
      </w:r>
      <w:r>
        <w:rPr/>
        <w:t xml:space="preserve"> Presentar todos los antecedentes con el mismo esquema: quién lo hizo, qué buscaba, cómo lo hizo, qué encontró y en qué ayuda a este trabajo.</w:t>
      </w:r>
    </w:p>
    <w:p>
      <w:pPr>
        <w:pStyle w:val="Heading2"/>
        <w:spacing w:before="0" w:after="0" w:line="480" w:lineRule="auto"/>
      </w:pPr>
      <w:r>
        <w:rPr/>
        <w:t xml:space="preserve">12. La palabra «presupuesto» se define de dos maneras distintas</w:t>
      </w:r>
    </w:p>
    <w:p>
      <w:pPr>
        <w:spacing w:before="0" w:after="0" w:line="480" w:lineRule="auto"/>
        <w:ind w:firstLine="720"/>
      </w:pPr>
      <w:r>
        <w:rPr>
          <w:b/>
          <w:bCs/>
        </w:rPr>
        <w:t xml:space="preserve">Error.</w:t>
      </w:r>
      <w:r>
        <w:rPr/>
        <w:t xml:space="preserve"> En el glosario, presupuesto es lo que el club planea gastar. En el marco conceptual, es lo que el club ya gastó según sus estados financieros. Son cosas diferentes y cambian los datos que se deben buscar.</w:t>
      </w:r>
    </w:p>
    <w:p>
      <w:pPr>
        <w:spacing w:before="0" w:after="0" w:line="480" w:lineRule="auto"/>
        <w:ind w:firstLine="720"/>
      </w:pPr>
      <w:r>
        <w:rPr>
          <w:b/>
          <w:bCs/>
        </w:rPr>
        <w:t xml:space="preserve">Corrección.</w:t>
      </w:r>
      <w:r>
        <w:rPr/>
        <w:t xml:space="preserve"> Elegir una sola definición y usarla en todo el documento. Como los clubes no publican sus presupuestos, lo más práctico es trabajar con los estados financieros y decirlo así.</w:t>
      </w:r>
    </w:p>
    <w:p>
      <w:pPr>
        <w:pStyle w:val="Heading2"/>
        <w:spacing w:before="0" w:after="0" w:line="480" w:lineRule="auto"/>
      </w:pPr>
      <w:r>
        <w:rPr/>
        <w:t xml:space="preserve">13. Algunas ideas se atribuyen al autor equivocado</w:t>
      </w:r>
    </w:p>
    <w:p>
      <w:pPr>
        <w:spacing w:before="0" w:after="0" w:line="480" w:lineRule="auto"/>
        <w:ind w:firstLine="720"/>
      </w:pPr>
      <w:r>
        <w:rPr>
          <w:b/>
          <w:bCs/>
        </w:rPr>
        <w:t xml:space="preserve">Error.</w:t>
      </w:r>
      <w:r>
        <w:rPr/>
        <w:t xml:space="preserve"> Se cita a Cornwell para decir que el patrocinio femenino se hace por responsabilidad social, pero ese autor habla de otra cosa: de cómo las empresas aprovechan comercialmente el patrocinio.</w:t>
      </w:r>
    </w:p>
    <w:p>
      <w:pPr>
        <w:spacing w:before="0" w:after="0" w:line="480" w:lineRule="auto"/>
        <w:ind w:firstLine="720"/>
      </w:pPr>
      <w:r>
        <w:rPr>
          <w:b/>
          <w:bCs/>
        </w:rPr>
        <w:t xml:space="preserve">Corrección.</w:t>
      </w:r>
      <w:r>
        <w:rPr/>
        <w:t xml:space="preserve"> Citar a cada autor solo por lo que realmente dice. Revisar la fuente antes de atribuirle una idea.</w:t>
      </w:r>
    </w:p>
    <w:p>
      <w:pPr>
        <w:pStyle w:val="Heading2"/>
        <w:spacing w:before="0" w:after="0" w:line="480" w:lineRule="auto"/>
      </w:pPr>
      <w:r>
        <w:rPr/>
        <w:t xml:space="preserve">14. El glosario tiene términos que no se usan</w:t>
      </w:r>
    </w:p>
    <w:p>
      <w:pPr>
        <w:spacing w:before="0" w:after="0" w:line="480" w:lineRule="auto"/>
        <w:ind w:firstLine="720"/>
      </w:pPr>
      <w:r>
        <w:rPr>
          <w:b/>
          <w:bCs/>
        </w:rPr>
        <w:t xml:space="preserve">Error.</w:t>
      </w:r>
      <w:r>
        <w:rPr/>
        <w:t xml:space="preserve"> «Valor de marca» y «Modelo de negocio autosustentable» aparecen en el glosario, pero no tienen fuente ni se mencionan en el resto del trabajo.</w:t>
      </w:r>
    </w:p>
    <w:p>
      <w:pPr>
        <w:spacing w:before="0" w:after="0" w:line="480" w:lineRule="auto"/>
        <w:ind w:firstLine="720"/>
      </w:pPr>
      <w:r>
        <w:rPr>
          <w:b/>
          <w:bCs/>
        </w:rPr>
        <w:t xml:space="preserve">Corrección.</w:t>
      </w:r>
      <w:r>
        <w:rPr/>
        <w:t xml:space="preserve"> Eliminarlos o, si son necesarios, explicarlos con una fuente y usarlos en el texto.</w:t>
      </w:r>
    </w:p>
    <w:p>
      <w:pPr>
        <w:pStyle w:val="Heading2"/>
        <w:spacing w:before="0" w:after="0" w:line="480" w:lineRule="auto"/>
      </w:pPr>
      <w:r>
        <w:rPr/>
        <w:t xml:space="preserve">15. Dos fuentes del mismo autor y año no se distinguen</w:t>
      </w:r>
    </w:p>
    <w:p>
      <w:pPr>
        <w:spacing w:before="0" w:after="0" w:line="480" w:lineRule="auto"/>
        <w:ind w:firstLine="720"/>
      </w:pPr>
      <w:r>
        <w:rPr>
          <w:b/>
          <w:bCs/>
        </w:rPr>
        <w:t xml:space="preserve">Error.</w:t>
      </w:r>
      <w:r>
        <w:rPr/>
        <w:t xml:space="preserve"> Hay dos documentos del Ministerio del Deporte de 2023 y dos de FIBA de 2025, pero en el texto todos se citan igual. El lector no sabe a cuál se refiere cada cita.</w:t>
      </w:r>
    </w:p>
    <w:p>
      <w:pPr>
        <w:spacing w:before="0" w:after="0" w:line="480" w:lineRule="auto"/>
        <w:ind w:firstLine="720"/>
      </w:pPr>
      <w:r>
        <w:rPr>
          <w:b/>
          <w:bCs/>
        </w:rPr>
        <w:t xml:space="preserve">Corrección.</w:t>
      </w:r>
      <w:r>
        <w:rPr/>
        <w:t xml:space="preserve"> Agregar una letra después del año, según APA: «Ministerio del Deporte (2023a)» y «(2023b)», y «FIBA (2025a)» y «(2025b)», tanto en el texto como en la lista de referencias.</w:t>
      </w:r>
    </w:p>
    <w:p>
      <w:pPr>
        <w:pStyle w:val="Heading2"/>
        <w:spacing w:before="0" w:after="0" w:line="480" w:lineRule="auto"/>
      </w:pPr>
      <w:r>
        <w:rPr/>
        <w:t xml:space="preserve">16. Las referencias no siguen bien el formato APA</w:t>
      </w:r>
    </w:p>
    <w:p>
      <w:pPr>
        <w:spacing w:before="0" w:after="0" w:line="480" w:lineRule="auto"/>
        <w:ind w:firstLine="720"/>
      </w:pPr>
      <w:r>
        <w:rPr>
          <w:b/>
          <w:bCs/>
        </w:rPr>
        <w:t xml:space="preserve">Error.</w:t>
      </w:r>
      <w:r>
        <w:rPr/>
        <w:t xml:space="preserve"> Las noticias sin autor ponen el nombre del periódico como autor. Varios títulos de páginas web y periódicos no están en cursiva. Dos artículos llevan enlaces a ResearchGate, una red social académica, en lugar de su enlace oficial. Dos normas no tienen enlace y la Ley 181 de 1995 aparece en la lista, pero no se cita en el texto.</w:t>
      </w:r>
    </w:p>
    <w:p>
      <w:pPr>
        <w:spacing w:before="0" w:after="0" w:line="480" w:lineRule="auto"/>
        <w:ind w:firstLine="720"/>
      </w:pPr>
      <w:r>
        <w:rPr>
          <w:b/>
          <w:bCs/>
        </w:rPr>
        <w:t xml:space="preserve">Corrección.</w:t>
      </w:r>
      <w:r>
        <w:rPr/>
        <w:t xml:space="preserve"> Si la noticia no tiene autor, empezar la referencia por el título. Poner en cursiva los títulos de páginas web y los nombres de periódicos y revistas. Usar el enlace oficial del artículo (DOI). Agregar el enlace de las normas y citar en el texto la Ley 181 o quitarla de la lista.</w:t>
      </w:r>
    </w:p>
    <w:p>
      <w:pPr>
        <w:pStyle w:val="Heading2"/>
        <w:spacing w:before="0" w:after="0" w:line="480" w:lineRule="auto"/>
      </w:pPr>
      <w:r>
        <w:rPr/>
        <w:t xml:space="preserve">17. El resumen y el abstract son demasiado largos</w:t>
      </w:r>
    </w:p>
    <w:p>
      <w:pPr>
        <w:spacing w:before="0" w:after="0" w:line="480" w:lineRule="auto"/>
        <w:ind w:firstLine="720"/>
      </w:pPr>
      <w:r>
        <w:rPr>
          <w:b/>
          <w:bCs/>
        </w:rPr>
        <w:t xml:space="preserve">Error.</w:t>
      </w:r>
      <w:r>
        <w:rPr/>
        <w:t xml:space="preserve"> El resumen tiene unas 330 palabras en tres párrafos. APA pide un solo párrafo, sin sangría, de máximo 250 palabras.</w:t>
      </w:r>
    </w:p>
    <w:p>
      <w:pPr>
        <w:spacing w:before="0" w:after="0" w:line="480" w:lineRule="auto"/>
        <w:ind w:firstLine="720"/>
      </w:pPr>
      <w:r>
        <w:rPr>
          <w:b/>
          <w:bCs/>
        </w:rPr>
        <w:t xml:space="preserve">Corrección.</w:t>
      </w:r>
      <w:r>
        <w:rPr/>
        <w:t xml:space="preserve"> Unir los párrafos y recortar hasta 250 palabras, dejando el problema, el objetivo, el tipo de estudio y su alcance.</w:t>
      </w:r>
    </w:p>
    <w:p>
      <w:pPr>
        <w:pStyle w:val="Heading2"/>
        <w:spacing w:before="0" w:after="0" w:line="480" w:lineRule="auto"/>
      </w:pPr>
      <w:r>
        <w:rPr/>
        <w:t xml:space="preserve">18. Hay fallas de formato en los índices y las tablas</w:t>
      </w:r>
    </w:p>
    <w:p>
      <w:pPr>
        <w:spacing w:before="0" w:after="0" w:line="480" w:lineRule="auto"/>
        <w:ind w:firstLine="720"/>
      </w:pPr>
      <w:r>
        <w:rPr>
          <w:b/>
          <w:bCs/>
        </w:rPr>
        <w:t xml:space="preserve">Error.</w:t>
      </w:r>
      <w:r>
        <w:rPr/>
        <w:t xml:space="preserve"> En la lista de tablas los títulos aparecen cortados. La tabla de contenido usa otra letra (Arial) distinta al resto del documento. Las tablas tienen líneas en todas las celdas, y APA recomienda solo líneas horizontales.</w:t>
      </w:r>
    </w:p>
    <w:p>
      <w:pPr>
        <w:spacing w:before="0" w:after="0" w:line="480" w:lineRule="auto"/>
        <w:ind w:firstLine="720"/>
      </w:pPr>
      <w:r>
        <w:rPr>
          <w:b/>
          <w:bCs/>
        </w:rPr>
        <w:t xml:space="preserve">Corrección.</w:t>
      </w:r>
      <w:r>
        <w:rPr/>
        <w:t xml:space="preserve"> Generar los índices automáticamente con Word, usar la misma letra en todo el documento y dejar en las tablas solo las líneas horizontales de arriba, del encabezado y de abajo.</w:t>
      </w:r>
    </w:p>
    <w:p>
      <w:pPr>
        <w:pStyle w:val="Heading2"/>
        <w:spacing w:before="0" w:after="0" w:line="480" w:lineRule="auto"/>
      </w:pPr>
      <w:r>
        <w:rPr/>
        <w:t xml:space="preserve">19. Pequeños errores de escritura</w:t>
      </w:r>
    </w:p>
    <w:p>
      <w:pPr>
        <w:spacing w:before="0" w:after="0" w:line="480" w:lineRule="auto"/>
        <w:ind w:firstLine="720"/>
      </w:pPr>
      <w:r>
        <w:rPr>
          <w:b/>
          <w:bCs/>
        </w:rPr>
        <w:t xml:space="preserve">Error.</w:t>
      </w:r>
      <w:r>
        <w:rPr/>
        <w:t xml:space="preserve"> En la portada dice «Septiembre» con mayúscula; en español los meses van en minúscula. Hay un doble espacio en «cualquier  política». En la introducción se menciona una crisis de los clubes sin indicar la fuente.</w:t>
      </w:r>
    </w:p>
    <w:p>
      <w:pPr>
        <w:spacing w:before="0" w:after="0" w:line="480" w:lineRule="auto"/>
        <w:ind w:firstLine="720"/>
      </w:pPr>
      <w:r>
        <w:rPr>
          <w:b/>
          <w:bCs/>
        </w:rPr>
        <w:t xml:space="preserve">Corrección.</w:t>
      </w:r>
      <w:r>
        <w:rPr/>
        <w:t xml:space="preserve"> Escribir «30 de septiembre de 2026», borrar el espacio de más y agregar la cita correspondiente (Rengifo, 2024).</w:t>
      </w:r>
    </w:p>
    <w:p>
      <w:pPr>
        <w:pStyle w:val="Heading2"/>
        <w:spacing w:before="0" w:after="0" w:line="480" w:lineRule="auto"/>
      </w:pPr>
      <w:r>
        <w:rPr/>
        <w:t xml:space="preserve">20. La dedicatoria es igual a la de otro grupo</w:t>
      </w:r>
    </w:p>
    <w:p>
      <w:pPr>
        <w:spacing w:before="0" w:after="0" w:line="480" w:lineRule="auto"/>
        <w:ind w:firstLine="720"/>
      </w:pPr>
      <w:r>
        <w:rPr>
          <w:b/>
          <w:bCs/>
        </w:rPr>
        <w:t xml:space="preserve">Error.</w:t>
      </w:r>
      <w:r>
        <w:rPr/>
        <w:t xml:space="preserve"> La dedicatoria tiene exactamente el mismo texto que la del Grupo 10. Esto puede aparecer como copia en el programa de detección de plagio.</w:t>
      </w:r>
    </w:p>
    <w:p>
      <w:pPr>
        <w:spacing w:before="0" w:after="0" w:line="480" w:lineRule="auto"/>
        <w:ind w:firstLine="720"/>
      </w:pPr>
      <w:r>
        <w:rPr>
          <w:b/>
          <w:bCs/>
        </w:rPr>
        <w:t xml:space="preserve">Corrección.</w:t>
      </w:r>
      <w:r>
        <w:rPr/>
        <w:t xml:space="preserve"> Escribir una dedicatoria propia del grupo.</w:t>
      </w:r>
    </w:p>
    <w:p>
      <w:pPr>
        <w:pStyle w:val="Heading2"/>
        <w:spacing w:before="0" w:after="0" w:line="480" w:lineRule="auto"/>
      </w:pPr>
      <w:r>
        <w:rPr/>
        <w:t xml:space="preserve">21. La declaración de uso de inteligencia artificial está incompleta</w:t>
      </w:r>
    </w:p>
    <w:p>
      <w:pPr>
        <w:spacing w:before="0" w:after="0" w:line="480" w:lineRule="auto"/>
        <w:ind w:firstLine="720"/>
      </w:pPr>
      <w:r>
        <w:rPr>
          <w:b/>
          <w:bCs/>
        </w:rPr>
        <w:t xml:space="preserve">Error.</w:t>
      </w:r>
      <w:r>
        <w:rPr/>
        <w:t xml:space="preserve"> Está escondida como un subtítulo dentro del marco teórico y no dice qué herramienta se usó, cuándo ni para qué. Además, las tablas dicen que se hicieron «con ayuda de IA», pero eso no se explica en la declaración.</w:t>
      </w:r>
    </w:p>
    <w:p>
      <w:pPr>
        <w:spacing w:before="0" w:after="0" w:line="480" w:lineRule="auto"/>
        <w:ind w:firstLine="720"/>
      </w:pPr>
      <w:r>
        <w:rPr>
          <w:b/>
          <w:bCs/>
        </w:rPr>
        <w:t xml:space="preserve">Corrección.</w:t>
      </w:r>
      <w:r>
        <w:rPr/>
        <w:t xml:space="preserve"> Ponerla como una sección propia antes de las referencias e indicar el nombre de la herramienta, la versión, las fechas de uso y en qué partes del trabajo se usó, incluidas las tablas.</w:t>
      </w:r>
    </w:p>
    <w:sectPr>
      <w:headerReference w:type="default" r:id="rIdHeader1"/>
      <w:pgSz w:w="12240" w:h="15840"/>
      <w:pgMar w:top="1440" w:right="1440" w:bottom="1440" w:left="1440" w:header="720" w:footer="720" w:gutter="0"/>
    </w:sectPr>
  </w:body>
</w:document>
</file>

<file path=word/header1.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xmlns:r="http://schemas.openxmlformats.org/officeDocument/2006/relationships">
  <w:updateFields w:val="false"/>
  <w:defaultTabStop w:val="720"/>
  <w:themeFontLang w:val="es-CO"/>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CO" w:eastAsia="es-CO" w:bidi="ar-SA"/>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keepLines/>
      <w:jc w:val="center"/>
      <w:outlineLvl w:val="0"/>
    </w:pPr>
    <w:rPr>
      <w:b/>
      <w:bCs/>
    </w:rPr>
  </w:style>
  <w:style w:type="paragraph" w:styleId="Heading2">
    <w:name w:val="heading 2"/>
    <w:basedOn w:val="Normal"/>
    <w:next w:val="Normal"/>
    <w:qFormat/>
    <w:pPr>
      <w:keepNext/>
      <w:keepLines/>
      <w:outlineLvl w:val="1"/>
    </w:pPr>
    <w:rPr>
      <w:b/>
      <w:bCs/>
    </w:rPr>
  </w:style>
  <w:style w:type="paragraph" w:styleId="Heading3">
    <w:name w:val="heading 3"/>
    <w:basedOn w:val="Normal"/>
    <w:next w:val="Normal"/>
    <w:qFormat/>
    <w:pPr>
      <w:keepNext/>
      <w:keepLines/>
      <w:outlineLvl w:val="2"/>
    </w:pPr>
    <w:rPr>
      <w:b/>
      <w:bCs/>
      <w:i/>
      <w:iCs/>
    </w:rPr>
  </w:style>
  <w:style w:type="paragraph" w:styleId="Header">
    <w:name w:val="header"/>
    <w:basedOn w:val="Normal"/>
    <w:pPr>
      <w:spacing w:line="240" w:lineRule="auto"/>
      <w:jc w:val="right"/>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1"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Errores y correcciones del trabajo de grado del Grupo 8</dc:title>
  <dc:language>es-CO</dc:language>
  <dcterms:created xsi:type="dcterms:W3CDTF">2026-10-20T00:00:00Z</dcterms:created>
</cp:coreProperties>
</file>