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662" w:rsidRPr="00221662" w:rsidRDefault="00221662" w:rsidP="00221662">
      <w:pPr>
        <w:spacing w:before="100" w:beforeAutospacing="1" w:after="100" w:afterAutospacing="1" w:line="240" w:lineRule="auto"/>
        <w:jc w:val="center"/>
        <w:rPr>
          <w:rFonts w:ascii="Times New Roman" w:eastAsia="Times New Roman" w:hAnsi="Times New Roman" w:cs="Times New Roman"/>
          <w:sz w:val="28"/>
          <w:szCs w:val="24"/>
          <w:u w:val="single"/>
          <w:lang w:eastAsia="fr-FR"/>
        </w:rPr>
      </w:pPr>
      <w:r w:rsidRPr="00221662">
        <w:rPr>
          <w:rFonts w:ascii="Times New Roman" w:eastAsia="Times New Roman" w:hAnsi="Times New Roman" w:cs="Times New Roman"/>
          <w:b/>
          <w:bCs/>
          <w:sz w:val="28"/>
          <w:szCs w:val="24"/>
          <w:u w:val="single"/>
          <w:lang w:eastAsia="fr-FR"/>
        </w:rPr>
        <w:t>CAHIER DES CHARGES DE L'APPLICATION GESTBUDGET</w:t>
      </w:r>
    </w:p>
    <w:p w:rsidR="00221662" w:rsidRDefault="00221662" w:rsidP="00221662">
      <w:p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La présentation GestBudget_OLOUOMO_v3.pptx décrit une plateforme web de gestion budgétaire institutionnelle développée par OLOUOMO LAB pour résoudre les problèmes de visibilité, de dépassements et d'audits dans les organisations. Elle cible les institutions gabonaises avec une interface sécurisée et intuitive, incluant tableaux de bord en temps réel et workflows validés.</w:t>
      </w:r>
      <w:r w:rsidR="001D54D5">
        <w:rPr>
          <w:rFonts w:ascii="Times New Roman" w:eastAsia="Times New Roman" w:hAnsi="Times New Roman" w:cs="Times New Roman"/>
          <w:sz w:val="28"/>
          <w:szCs w:val="24"/>
          <w:lang w:eastAsia="fr-FR"/>
        </w:rPr>
        <w:t xml:space="preserve"> </w:t>
      </w:r>
    </w:p>
    <w:p w:rsidR="00221662" w:rsidRPr="00221662" w:rsidRDefault="00221662" w:rsidP="00221662">
      <w:pPr>
        <w:spacing w:before="100" w:beforeAutospacing="1" w:after="100" w:afterAutospacing="1" w:line="240" w:lineRule="auto"/>
        <w:rPr>
          <w:rFonts w:ascii="Times New Roman" w:eastAsia="Times New Roman" w:hAnsi="Times New Roman" w:cs="Times New Roman"/>
          <w:sz w:val="28"/>
          <w:szCs w:val="24"/>
          <w:lang w:eastAsia="fr-FR"/>
        </w:rPr>
      </w:pPr>
    </w:p>
    <w:p w:rsidR="00221662" w:rsidRPr="00221662" w:rsidRDefault="00221662" w:rsidP="00221662">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221662">
        <w:rPr>
          <w:rFonts w:ascii="Times New Roman" w:eastAsia="Times New Roman" w:hAnsi="Times New Roman" w:cs="Times New Roman"/>
          <w:b/>
          <w:bCs/>
          <w:sz w:val="36"/>
          <w:szCs w:val="36"/>
          <w:u w:val="single"/>
          <w:lang w:eastAsia="fr-FR"/>
        </w:rPr>
        <w:t>Contexte et Problématique</w:t>
      </w:r>
    </w:p>
    <w:p w:rsidR="00221662" w:rsidRDefault="00221662" w:rsidP="00221662">
      <w:p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 xml:space="preserve">Les </w:t>
      </w:r>
      <w:r>
        <w:rPr>
          <w:rFonts w:ascii="Times New Roman" w:eastAsia="Times New Roman" w:hAnsi="Times New Roman" w:cs="Times New Roman"/>
          <w:sz w:val="28"/>
          <w:szCs w:val="24"/>
          <w:lang w:eastAsia="fr-FR"/>
        </w:rPr>
        <w:t>administrateurs</w:t>
      </w:r>
      <w:r w:rsidRPr="00221662">
        <w:rPr>
          <w:rFonts w:ascii="Times New Roman" w:eastAsia="Times New Roman" w:hAnsi="Times New Roman" w:cs="Times New Roman"/>
          <w:sz w:val="28"/>
          <w:szCs w:val="24"/>
          <w:lang w:eastAsia="fr-FR"/>
        </w:rPr>
        <w:t xml:space="preserve"> manquent de visibilité en temps réel sur les budgets par département ou projet, ce qui entraîne des risques de dépassement non détectés à temps</w:t>
      </w:r>
      <w:r>
        <w:rPr>
          <w:rFonts w:ascii="Times New Roman" w:eastAsia="Times New Roman" w:hAnsi="Times New Roman" w:cs="Times New Roman"/>
          <w:sz w:val="28"/>
          <w:szCs w:val="24"/>
          <w:lang w:eastAsia="fr-FR"/>
        </w:rPr>
        <w:t xml:space="preserve"> ainsi que des manipulations des fonds alloués pour une mission précise</w:t>
      </w:r>
      <w:r w:rsidRPr="00221662">
        <w:rPr>
          <w:rFonts w:ascii="Times New Roman" w:eastAsia="Times New Roman" w:hAnsi="Times New Roman" w:cs="Times New Roman"/>
          <w:sz w:val="28"/>
          <w:szCs w:val="24"/>
          <w:lang w:eastAsia="fr-FR"/>
        </w:rPr>
        <w:t xml:space="preserve">. Les audits sont compliqués par l'absence de traçabilité et de justificatifs liés, rendant les processus longs et coûteux. </w:t>
      </w:r>
      <w:proofErr w:type="spellStart"/>
      <w:r w:rsidRPr="00221662">
        <w:rPr>
          <w:rFonts w:ascii="Times New Roman" w:eastAsia="Times New Roman" w:hAnsi="Times New Roman" w:cs="Times New Roman"/>
          <w:b/>
          <w:color w:val="2E74B5" w:themeColor="accent1" w:themeShade="BF"/>
          <w:sz w:val="28"/>
          <w:szCs w:val="24"/>
          <w:lang w:eastAsia="fr-FR"/>
        </w:rPr>
        <w:t>GestBudget</w:t>
      </w:r>
      <w:proofErr w:type="spellEnd"/>
      <w:r w:rsidRPr="00221662">
        <w:rPr>
          <w:rFonts w:ascii="Times New Roman" w:eastAsia="Times New Roman" w:hAnsi="Times New Roman" w:cs="Times New Roman"/>
          <w:sz w:val="28"/>
          <w:szCs w:val="24"/>
          <w:lang w:eastAsia="fr-FR"/>
        </w:rPr>
        <w:t xml:space="preserve"> offre une solution complète pour planifier, contrôler et auditer les budgets efficacement. </w:t>
      </w:r>
    </w:p>
    <w:p w:rsidR="00221662" w:rsidRPr="00221662" w:rsidRDefault="00221662" w:rsidP="00221662">
      <w:pPr>
        <w:spacing w:before="100" w:beforeAutospacing="1" w:after="100" w:afterAutospacing="1" w:line="240" w:lineRule="auto"/>
        <w:rPr>
          <w:rFonts w:ascii="Times New Roman" w:eastAsia="Times New Roman" w:hAnsi="Times New Roman" w:cs="Times New Roman"/>
          <w:sz w:val="28"/>
          <w:szCs w:val="24"/>
          <w:lang w:eastAsia="fr-FR"/>
        </w:rPr>
      </w:pPr>
    </w:p>
    <w:p w:rsidR="00221662" w:rsidRPr="00221662" w:rsidRDefault="00221662" w:rsidP="00221662">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221662">
        <w:rPr>
          <w:rFonts w:ascii="Times New Roman" w:eastAsia="Times New Roman" w:hAnsi="Times New Roman" w:cs="Times New Roman"/>
          <w:b/>
          <w:bCs/>
          <w:sz w:val="36"/>
          <w:szCs w:val="36"/>
          <w:u w:val="single"/>
          <w:lang w:eastAsia="fr-FR"/>
        </w:rPr>
        <w:t>Fonctionnalités Principales</w:t>
      </w:r>
    </w:p>
    <w:p w:rsidR="00221662" w:rsidRPr="00221662" w:rsidRDefault="00221662" w:rsidP="00221662">
      <w:pPr>
        <w:numPr>
          <w:ilvl w:val="0"/>
          <w:numId w:val="2"/>
        </w:num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Planification budgétaire avec enveloppes par département et comparaison prévisions vs réalisé.</w:t>
      </w:r>
    </w:p>
    <w:p w:rsidR="00221662" w:rsidRPr="00221662" w:rsidRDefault="00221662" w:rsidP="00221662">
      <w:pPr>
        <w:numPr>
          <w:ilvl w:val="0"/>
          <w:numId w:val="2"/>
        </w:num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 xml:space="preserve"> </w:t>
      </w:r>
      <w:r>
        <w:rPr>
          <w:rFonts w:ascii="Times New Roman" w:eastAsia="Times New Roman" w:hAnsi="Times New Roman" w:cs="Times New Roman"/>
          <w:sz w:val="28"/>
          <w:szCs w:val="24"/>
          <w:lang w:eastAsia="fr-FR"/>
        </w:rPr>
        <w:t>Téléchargement</w:t>
      </w:r>
      <w:r w:rsidRPr="00221662">
        <w:rPr>
          <w:rFonts w:ascii="Times New Roman" w:eastAsia="Times New Roman" w:hAnsi="Times New Roman" w:cs="Times New Roman"/>
          <w:sz w:val="28"/>
          <w:szCs w:val="24"/>
          <w:lang w:eastAsia="fr-FR"/>
        </w:rPr>
        <w:t xml:space="preserve"> sécurisé de factures justificatives (PDF, images) obligatoire pour chaque dépense, avec validation. </w:t>
      </w:r>
    </w:p>
    <w:p w:rsidR="00221662" w:rsidRPr="00221662" w:rsidRDefault="00221662" w:rsidP="00221662">
      <w:pPr>
        <w:numPr>
          <w:ilvl w:val="0"/>
          <w:numId w:val="2"/>
        </w:num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 xml:space="preserve">Suivi en temps réel via tableaux de bord, alertes automatiques pour dépassements (ex. : 70% consommé = vigilance, 100% = dépassement). </w:t>
      </w:r>
    </w:p>
    <w:p w:rsidR="00221662" w:rsidRPr="00221662" w:rsidRDefault="00221662" w:rsidP="00221662">
      <w:pPr>
        <w:numPr>
          <w:ilvl w:val="0"/>
          <w:numId w:val="2"/>
        </w:num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 xml:space="preserve">Contrôle des engagements avec validation multi-niveaux et workflow institutionnel. </w:t>
      </w:r>
    </w:p>
    <w:p w:rsidR="00221662" w:rsidRDefault="00221662" w:rsidP="00221662">
      <w:pPr>
        <w:numPr>
          <w:ilvl w:val="0"/>
          <w:numId w:val="2"/>
        </w:num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 xml:space="preserve">Rapports exportables en PDF/Excel : global, écarts, historique, audit (réduction de temps d'audit de 60-80%). </w:t>
      </w:r>
    </w:p>
    <w:p w:rsidR="001D54D5" w:rsidRDefault="001D54D5" w:rsidP="001D54D5">
      <w:pPr>
        <w:spacing w:before="100" w:beforeAutospacing="1" w:after="100" w:afterAutospacing="1" w:line="240" w:lineRule="auto"/>
        <w:ind w:left="720"/>
        <w:rPr>
          <w:rFonts w:ascii="Times New Roman" w:eastAsia="Times New Roman" w:hAnsi="Times New Roman" w:cs="Times New Roman"/>
          <w:sz w:val="28"/>
          <w:szCs w:val="24"/>
          <w:lang w:eastAsia="fr-FR"/>
        </w:rPr>
      </w:pPr>
    </w:p>
    <w:p w:rsidR="001D54D5" w:rsidRDefault="001D54D5" w:rsidP="001D54D5">
      <w:pPr>
        <w:pStyle w:val="Titre2"/>
      </w:pPr>
      <w:r>
        <w:t xml:space="preserve"> </w:t>
      </w:r>
      <w:r w:rsidRPr="001D54D5">
        <w:rPr>
          <w:u w:val="single"/>
        </w:rPr>
        <w:t xml:space="preserve">Bénéfices </w:t>
      </w:r>
      <w:r>
        <w:rPr>
          <w:u w:val="single"/>
        </w:rPr>
        <w:t>de la solution</w:t>
      </w:r>
    </w:p>
    <w:p w:rsidR="001D54D5" w:rsidRDefault="001D54D5" w:rsidP="001D54D5">
      <w:pPr>
        <w:pStyle w:val="NormalWeb"/>
        <w:numPr>
          <w:ilvl w:val="0"/>
          <w:numId w:val="3"/>
        </w:numPr>
      </w:pPr>
      <w:r>
        <w:rPr>
          <w:rStyle w:val="lev"/>
        </w:rPr>
        <w:t>Gain de temps</w:t>
      </w:r>
      <w:r>
        <w:t xml:space="preserve"> : centralisation et automatisation des processus budgétaires.</w:t>
      </w:r>
    </w:p>
    <w:p w:rsidR="001D54D5" w:rsidRDefault="001D54D5" w:rsidP="001D54D5">
      <w:pPr>
        <w:pStyle w:val="NormalWeb"/>
        <w:numPr>
          <w:ilvl w:val="0"/>
          <w:numId w:val="3"/>
        </w:numPr>
      </w:pPr>
      <w:r>
        <w:rPr>
          <w:rStyle w:val="lev"/>
        </w:rPr>
        <w:t>Transparence</w:t>
      </w:r>
      <w:r>
        <w:t xml:space="preserve"> : suivi clair et traçable des validations et rejets.</w:t>
      </w:r>
    </w:p>
    <w:p w:rsidR="001D54D5" w:rsidRDefault="001D54D5" w:rsidP="001D54D5">
      <w:pPr>
        <w:pStyle w:val="NormalWeb"/>
        <w:numPr>
          <w:ilvl w:val="0"/>
          <w:numId w:val="3"/>
        </w:numPr>
      </w:pPr>
      <w:r>
        <w:rPr>
          <w:rStyle w:val="lev"/>
        </w:rPr>
        <w:t>Conformité</w:t>
      </w:r>
      <w:r>
        <w:t xml:space="preserve"> : respect des standards institutionnels et séparation des rôles.</w:t>
      </w:r>
    </w:p>
    <w:p w:rsidR="001D54D5" w:rsidRDefault="001D54D5" w:rsidP="001D54D5">
      <w:pPr>
        <w:pStyle w:val="NormalWeb"/>
        <w:numPr>
          <w:ilvl w:val="0"/>
          <w:numId w:val="3"/>
        </w:numPr>
      </w:pPr>
      <w:r>
        <w:rPr>
          <w:rStyle w:val="lev"/>
        </w:rPr>
        <w:t>Image premium</w:t>
      </w:r>
      <w:r>
        <w:t xml:space="preserve"> : interface harmonisée valorisant l’identité de l’organisation.</w:t>
      </w:r>
    </w:p>
    <w:p w:rsidR="00221662" w:rsidRPr="001D54D5" w:rsidRDefault="001D54D5" w:rsidP="00221662">
      <w:pPr>
        <w:pStyle w:val="NormalWeb"/>
        <w:numPr>
          <w:ilvl w:val="0"/>
          <w:numId w:val="3"/>
        </w:numPr>
      </w:pPr>
      <w:r>
        <w:rPr>
          <w:rStyle w:val="lev"/>
        </w:rPr>
        <w:t>Fiabilité</w:t>
      </w:r>
      <w:r>
        <w:t xml:space="preserve"> : déploiement cloud stable et sécurisé, prêt pour l’évolution future.</w:t>
      </w:r>
    </w:p>
    <w:p w:rsidR="00221662" w:rsidRPr="00221662" w:rsidRDefault="00221662" w:rsidP="00221662">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221662">
        <w:rPr>
          <w:rFonts w:ascii="Times New Roman" w:eastAsia="Times New Roman" w:hAnsi="Times New Roman" w:cs="Times New Roman"/>
          <w:b/>
          <w:bCs/>
          <w:sz w:val="36"/>
          <w:szCs w:val="36"/>
          <w:u w:val="single"/>
          <w:lang w:eastAsia="fr-FR"/>
        </w:rPr>
        <w:lastRenderedPageBreak/>
        <w:t>Rôles et Workflow</w:t>
      </w:r>
    </w:p>
    <w:tbl>
      <w:tblPr>
        <w:tblStyle w:val="Grilledutableau"/>
        <w:tblW w:w="9691" w:type="dxa"/>
        <w:tblLook w:val="04A0" w:firstRow="1" w:lastRow="0" w:firstColumn="1" w:lastColumn="0" w:noHBand="0" w:noVBand="1"/>
      </w:tblPr>
      <w:tblGrid>
        <w:gridCol w:w="3229"/>
        <w:gridCol w:w="3231"/>
        <w:gridCol w:w="3231"/>
      </w:tblGrid>
      <w:tr w:rsidR="00221662" w:rsidTr="00221662">
        <w:trPr>
          <w:trHeight w:val="459"/>
        </w:trPr>
        <w:tc>
          <w:tcPr>
            <w:tcW w:w="3229" w:type="dxa"/>
            <w:shd w:val="clear" w:color="auto" w:fill="BDD6EE" w:themeFill="accent1" w:themeFillTint="66"/>
          </w:tcPr>
          <w:p w:rsidR="00221662" w:rsidRDefault="00221662"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Administrateur</w:t>
            </w:r>
          </w:p>
        </w:tc>
        <w:tc>
          <w:tcPr>
            <w:tcW w:w="3231" w:type="dxa"/>
            <w:shd w:val="clear" w:color="auto" w:fill="BDD6EE" w:themeFill="accent1" w:themeFillTint="66"/>
          </w:tcPr>
          <w:p w:rsidR="00221662" w:rsidRDefault="00221662"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Controleur</w:t>
            </w:r>
          </w:p>
        </w:tc>
        <w:tc>
          <w:tcPr>
            <w:tcW w:w="3231" w:type="dxa"/>
            <w:shd w:val="clear" w:color="auto" w:fill="BDD6EE" w:themeFill="accent1" w:themeFillTint="66"/>
          </w:tcPr>
          <w:p w:rsidR="00221662" w:rsidRDefault="00221662"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Agent</w:t>
            </w:r>
          </w:p>
        </w:tc>
      </w:tr>
      <w:tr w:rsidR="00221662" w:rsidTr="00221662">
        <w:trPr>
          <w:trHeight w:val="459"/>
        </w:trPr>
        <w:tc>
          <w:tcPr>
            <w:tcW w:w="3229" w:type="dxa"/>
          </w:tcPr>
          <w:p w:rsidR="00221662" w:rsidRPr="00221662" w:rsidRDefault="00221662" w:rsidP="00221662">
            <w:pPr>
              <w:spacing w:before="100" w:beforeAutospacing="1" w:after="100" w:afterAutospacing="1"/>
              <w:rPr>
                <w:rFonts w:ascii="Times New Roman" w:eastAsia="Times New Roman" w:hAnsi="Times New Roman" w:cs="Times New Roman"/>
                <w:sz w:val="24"/>
                <w:szCs w:val="24"/>
                <w:lang w:eastAsia="fr-FR"/>
              </w:rPr>
            </w:pPr>
            <w:r w:rsidRPr="00221662">
              <w:rPr>
                <w:rFonts w:ascii="Cambria Math" w:eastAsia="Times New Roman" w:hAnsi="Cambria Math" w:cs="Cambria Math"/>
                <w:b/>
                <w:bCs/>
                <w:sz w:val="24"/>
                <w:szCs w:val="24"/>
                <w:lang w:val="en-US" w:eastAsia="fr-FR"/>
              </w:rPr>
              <w:t>▸</w:t>
            </w:r>
            <w:r w:rsidRPr="00221662">
              <w:rPr>
                <w:rFonts w:ascii="Times New Roman" w:eastAsia="Times New Roman" w:hAnsi="Times New Roman" w:cs="Times New Roman"/>
                <w:b/>
                <w:bCs/>
                <w:sz w:val="24"/>
                <w:szCs w:val="24"/>
                <w:lang w:val="en-US" w:eastAsia="fr-FR"/>
              </w:rPr>
              <w:t xml:space="preserve">  </w:t>
            </w:r>
            <w:proofErr w:type="spellStart"/>
            <w:r w:rsidRPr="00221662">
              <w:rPr>
                <w:rFonts w:ascii="Times New Roman" w:eastAsia="Times New Roman" w:hAnsi="Times New Roman" w:cs="Times New Roman"/>
                <w:sz w:val="24"/>
                <w:szCs w:val="24"/>
                <w:lang w:val="en-US" w:eastAsia="fr-FR"/>
              </w:rPr>
              <w:t>Configurer</w:t>
            </w:r>
            <w:proofErr w:type="spellEnd"/>
            <w:r w:rsidRPr="00221662">
              <w:rPr>
                <w:rFonts w:ascii="Times New Roman" w:eastAsia="Times New Roman" w:hAnsi="Times New Roman" w:cs="Times New Roman"/>
                <w:sz w:val="24"/>
                <w:szCs w:val="24"/>
                <w:lang w:val="en-US" w:eastAsia="fr-FR"/>
              </w:rPr>
              <w:t xml:space="preserve"> les </w:t>
            </w:r>
            <w:proofErr w:type="spellStart"/>
            <w:r w:rsidRPr="00221662">
              <w:rPr>
                <w:rFonts w:ascii="Times New Roman" w:eastAsia="Times New Roman" w:hAnsi="Times New Roman" w:cs="Times New Roman"/>
                <w:sz w:val="24"/>
                <w:szCs w:val="24"/>
                <w:lang w:val="en-US" w:eastAsia="fr-FR"/>
              </w:rPr>
              <w:t>enveloppes</w:t>
            </w:r>
            <w:proofErr w:type="spellEnd"/>
            <w:r w:rsidRPr="00221662">
              <w:rPr>
                <w:rFonts w:ascii="Times New Roman" w:eastAsia="Times New Roman" w:hAnsi="Times New Roman" w:cs="Times New Roman"/>
                <w:sz w:val="24"/>
                <w:szCs w:val="24"/>
                <w:lang w:val="en-US" w:eastAsia="fr-FR"/>
              </w:rPr>
              <w:t xml:space="preserve"> </w:t>
            </w:r>
            <w:proofErr w:type="spellStart"/>
            <w:r w:rsidRPr="00221662">
              <w:rPr>
                <w:rFonts w:ascii="Times New Roman" w:eastAsia="Times New Roman" w:hAnsi="Times New Roman" w:cs="Times New Roman"/>
                <w:sz w:val="24"/>
                <w:szCs w:val="24"/>
                <w:lang w:val="en-US" w:eastAsia="fr-FR"/>
              </w:rPr>
              <w:t>budgétaires</w:t>
            </w:r>
            <w:proofErr w:type="spellEnd"/>
          </w:p>
        </w:tc>
        <w:tc>
          <w:tcPr>
            <w:tcW w:w="3231" w:type="dxa"/>
          </w:tcPr>
          <w:p w:rsidR="00221662" w:rsidRDefault="00221662" w:rsidP="00221662">
            <w:pPr>
              <w:pStyle w:val="NormalWeb"/>
              <w:spacing w:before="0" w:beforeAutospacing="0" w:after="0" w:afterAutospacing="0"/>
            </w:pPr>
            <w:proofErr w:type="gramStart"/>
            <w:r>
              <w:rPr>
                <w:rFonts w:ascii="Cambria Math" w:eastAsia="Calibri" w:hAnsi="Cambria Math" w:cs="Cambria Math"/>
                <w:b/>
                <w:bCs/>
                <w:color w:val="0D9488"/>
                <w:kern w:val="24"/>
                <w:sz w:val="22"/>
                <w:szCs w:val="22"/>
                <w:lang w:val="en-US"/>
              </w:rPr>
              <w:t>▸</w:t>
            </w:r>
            <w:r>
              <w:rPr>
                <w:rFonts w:ascii="Calibri" w:eastAsia="Calibri" w:hAnsi="Calibri" w:cs="Calibri"/>
                <w:b/>
                <w:bCs/>
                <w:color w:val="0D9488"/>
                <w:kern w:val="24"/>
                <w:sz w:val="22"/>
                <w:szCs w:val="22"/>
                <w:lang w:val="en-US"/>
              </w:rPr>
              <w:t xml:space="preserve">  </w:t>
            </w:r>
            <w:proofErr w:type="spellStart"/>
            <w:r>
              <w:rPr>
                <w:rFonts w:ascii="Calibri" w:eastAsia="Calibri" w:hAnsi="Calibri" w:cs="Calibri"/>
                <w:color w:val="1A1A2E"/>
                <w:kern w:val="24"/>
                <w:sz w:val="22"/>
                <w:szCs w:val="22"/>
                <w:lang w:val="en-US"/>
              </w:rPr>
              <w:t>Valider</w:t>
            </w:r>
            <w:proofErr w:type="spellEnd"/>
            <w:proofErr w:type="gramEnd"/>
            <w:r>
              <w:rPr>
                <w:rFonts w:ascii="Calibri" w:eastAsia="Calibri" w:hAnsi="Calibri" w:cs="Calibri"/>
                <w:color w:val="1A1A2E"/>
                <w:kern w:val="24"/>
                <w:sz w:val="22"/>
                <w:szCs w:val="22"/>
                <w:lang w:val="en-US"/>
              </w:rPr>
              <w:t xml:space="preserve"> les engagements de </w:t>
            </w:r>
            <w:proofErr w:type="spellStart"/>
            <w:r>
              <w:rPr>
                <w:rFonts w:ascii="Calibri" w:eastAsia="Calibri" w:hAnsi="Calibri" w:cs="Calibri"/>
                <w:color w:val="1A1A2E"/>
                <w:kern w:val="24"/>
                <w:sz w:val="22"/>
                <w:szCs w:val="22"/>
                <w:lang w:val="en-US"/>
              </w:rPr>
              <w:t>dépenses</w:t>
            </w:r>
            <w:proofErr w:type="spellEnd"/>
          </w:p>
          <w:p w:rsidR="00221662" w:rsidRDefault="00221662" w:rsidP="00221662">
            <w:pPr>
              <w:spacing w:before="100" w:beforeAutospacing="1" w:after="100" w:afterAutospacing="1"/>
              <w:rPr>
                <w:rFonts w:ascii="Times New Roman" w:eastAsia="Times New Roman" w:hAnsi="Times New Roman" w:cs="Times New Roman"/>
                <w:sz w:val="24"/>
                <w:szCs w:val="24"/>
                <w:lang w:eastAsia="fr-FR"/>
              </w:rPr>
            </w:pPr>
          </w:p>
        </w:tc>
        <w:tc>
          <w:tcPr>
            <w:tcW w:w="3231" w:type="dxa"/>
          </w:tcPr>
          <w:p w:rsidR="00221662" w:rsidRDefault="00221662" w:rsidP="00221662">
            <w:pPr>
              <w:pStyle w:val="NormalWeb"/>
              <w:spacing w:before="0" w:beforeAutospacing="0" w:after="0" w:afterAutospacing="0"/>
            </w:pPr>
            <w:r>
              <w:rPr>
                <w:rFonts w:ascii="Cambria Math" w:eastAsia="Calibri" w:hAnsi="Cambria Math" w:cs="Cambria Math"/>
                <w:b/>
                <w:bCs/>
                <w:color w:val="64748B"/>
                <w:kern w:val="24"/>
                <w:sz w:val="22"/>
                <w:szCs w:val="22"/>
                <w:lang w:val="en-US"/>
              </w:rPr>
              <w:t>▸</w:t>
            </w:r>
            <w:r>
              <w:rPr>
                <w:rFonts w:ascii="Calibri" w:eastAsia="Calibri" w:hAnsi="Calibri" w:cs="Calibri"/>
                <w:b/>
                <w:bCs/>
                <w:color w:val="64748B"/>
                <w:kern w:val="24"/>
                <w:sz w:val="22"/>
                <w:szCs w:val="22"/>
                <w:lang w:val="en-US"/>
              </w:rPr>
              <w:t xml:space="preserve">  </w:t>
            </w:r>
            <w:proofErr w:type="spellStart"/>
            <w:r>
              <w:rPr>
                <w:rFonts w:ascii="Calibri" w:eastAsia="Calibri" w:hAnsi="Calibri" w:cs="Calibri"/>
                <w:color w:val="1A1A2E"/>
                <w:kern w:val="24"/>
                <w:sz w:val="22"/>
                <w:szCs w:val="22"/>
                <w:lang w:val="en-US"/>
              </w:rPr>
              <w:t>Soumettre</w:t>
            </w:r>
            <w:proofErr w:type="spellEnd"/>
            <w:r>
              <w:rPr>
                <w:rFonts w:ascii="Calibri" w:eastAsia="Calibri" w:hAnsi="Calibri" w:cs="Calibri"/>
                <w:color w:val="1A1A2E"/>
                <w:kern w:val="24"/>
                <w:sz w:val="22"/>
                <w:szCs w:val="22"/>
                <w:lang w:val="en-US"/>
              </w:rPr>
              <w:t xml:space="preserve"> des </w:t>
            </w:r>
            <w:proofErr w:type="spellStart"/>
            <w:r>
              <w:rPr>
                <w:rFonts w:ascii="Calibri" w:eastAsia="Calibri" w:hAnsi="Calibri" w:cs="Calibri"/>
                <w:color w:val="1A1A2E"/>
                <w:kern w:val="24"/>
                <w:sz w:val="22"/>
                <w:szCs w:val="22"/>
                <w:lang w:val="en-US"/>
              </w:rPr>
              <w:t>demandes</w:t>
            </w:r>
            <w:proofErr w:type="spellEnd"/>
            <w:r>
              <w:rPr>
                <w:rFonts w:ascii="Calibri" w:eastAsia="Calibri" w:hAnsi="Calibri" w:cs="Calibri"/>
                <w:color w:val="1A1A2E"/>
                <w:kern w:val="24"/>
                <w:sz w:val="22"/>
                <w:szCs w:val="22"/>
                <w:lang w:val="en-US"/>
              </w:rPr>
              <w:t xml:space="preserve"> de </w:t>
            </w:r>
            <w:proofErr w:type="spellStart"/>
            <w:r>
              <w:rPr>
                <w:rFonts w:ascii="Calibri" w:eastAsia="Calibri" w:hAnsi="Calibri" w:cs="Calibri"/>
                <w:color w:val="1A1A2E"/>
                <w:kern w:val="24"/>
                <w:sz w:val="22"/>
                <w:szCs w:val="22"/>
                <w:lang w:val="en-US"/>
              </w:rPr>
              <w:t>dépenses</w:t>
            </w:r>
            <w:proofErr w:type="spellEnd"/>
          </w:p>
        </w:tc>
      </w:tr>
      <w:tr w:rsidR="00221662" w:rsidTr="00221662">
        <w:trPr>
          <w:trHeight w:val="459"/>
        </w:trPr>
        <w:tc>
          <w:tcPr>
            <w:tcW w:w="3229" w:type="dxa"/>
          </w:tcPr>
          <w:p w:rsidR="00221662" w:rsidRDefault="00221662"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Gérer les utilisateurs et les roles</w:t>
            </w:r>
          </w:p>
        </w:tc>
        <w:tc>
          <w:tcPr>
            <w:tcW w:w="3231" w:type="dxa"/>
          </w:tcPr>
          <w:p w:rsidR="00221662" w:rsidRDefault="001D54D5"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Vérifier les factures justificatives</w:t>
            </w:r>
          </w:p>
        </w:tc>
        <w:tc>
          <w:tcPr>
            <w:tcW w:w="3231" w:type="dxa"/>
          </w:tcPr>
          <w:p w:rsidR="00221662" w:rsidRDefault="001D54D5"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Télécharger les factures</w:t>
            </w:r>
          </w:p>
        </w:tc>
      </w:tr>
      <w:tr w:rsidR="00221662" w:rsidTr="00221662">
        <w:trPr>
          <w:trHeight w:val="459"/>
        </w:trPr>
        <w:tc>
          <w:tcPr>
            <w:tcW w:w="3229" w:type="dxa"/>
          </w:tcPr>
          <w:p w:rsidR="00221662" w:rsidRDefault="00221662"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Accéder à tous les rapports</w:t>
            </w:r>
          </w:p>
        </w:tc>
        <w:tc>
          <w:tcPr>
            <w:tcW w:w="3231" w:type="dxa"/>
          </w:tcPr>
          <w:p w:rsidR="00221662" w:rsidRDefault="001D54D5"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Valider ou Rejeter des depenses</w:t>
            </w:r>
          </w:p>
        </w:tc>
        <w:tc>
          <w:tcPr>
            <w:tcW w:w="3231" w:type="dxa"/>
          </w:tcPr>
          <w:p w:rsidR="00221662" w:rsidRDefault="001D54D5"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Consulter les budgets disponibles</w:t>
            </w:r>
          </w:p>
        </w:tc>
      </w:tr>
      <w:tr w:rsidR="001D54D5" w:rsidTr="001D54D5">
        <w:trPr>
          <w:trHeight w:val="459"/>
        </w:trPr>
        <w:tc>
          <w:tcPr>
            <w:tcW w:w="3229" w:type="dxa"/>
          </w:tcPr>
          <w:p w:rsidR="001D54D5" w:rsidRDefault="001D54D5" w:rsidP="00221662">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Valider ou rejeter des dépenses</w:t>
            </w:r>
          </w:p>
        </w:tc>
        <w:tc>
          <w:tcPr>
            <w:tcW w:w="3231" w:type="dxa"/>
            <w:shd w:val="clear" w:color="auto" w:fill="BDD6EE" w:themeFill="accent1" w:themeFillTint="66"/>
          </w:tcPr>
          <w:p w:rsidR="001D54D5" w:rsidRDefault="001D54D5" w:rsidP="00221662">
            <w:pPr>
              <w:spacing w:before="100" w:beforeAutospacing="1" w:after="100" w:afterAutospacing="1"/>
              <w:rPr>
                <w:rFonts w:ascii="Times New Roman" w:eastAsia="Times New Roman" w:hAnsi="Times New Roman" w:cs="Times New Roman"/>
                <w:sz w:val="24"/>
                <w:szCs w:val="24"/>
                <w:lang w:eastAsia="fr-FR"/>
              </w:rPr>
            </w:pPr>
          </w:p>
        </w:tc>
        <w:tc>
          <w:tcPr>
            <w:tcW w:w="3231" w:type="dxa"/>
            <w:shd w:val="clear" w:color="auto" w:fill="BDD6EE" w:themeFill="accent1" w:themeFillTint="66"/>
          </w:tcPr>
          <w:p w:rsidR="001D54D5" w:rsidRDefault="001D54D5" w:rsidP="00221662">
            <w:pPr>
              <w:spacing w:before="100" w:beforeAutospacing="1" w:after="100" w:afterAutospacing="1"/>
              <w:rPr>
                <w:rFonts w:ascii="Times New Roman" w:eastAsia="Times New Roman" w:hAnsi="Times New Roman" w:cs="Times New Roman"/>
                <w:sz w:val="24"/>
                <w:szCs w:val="24"/>
                <w:lang w:eastAsia="fr-FR"/>
              </w:rPr>
            </w:pPr>
          </w:p>
        </w:tc>
      </w:tr>
    </w:tbl>
    <w:p w:rsidR="001D54D5" w:rsidRDefault="00221662" w:rsidP="001D54D5">
      <w:p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Le workflow assure une traçabilité horodatée, avec statuts (Validé, En attente, Rejet) et association factures obligatoire (icônes vertes/rouges).</w:t>
      </w:r>
      <w:r w:rsidR="001D54D5" w:rsidRPr="001D54D5">
        <w:rPr>
          <w:rFonts w:ascii="Times New Roman" w:eastAsia="Times New Roman" w:hAnsi="Times New Roman" w:cs="Times New Roman"/>
          <w:sz w:val="28"/>
          <w:szCs w:val="24"/>
          <w:lang w:eastAsia="fr-FR"/>
        </w:rPr>
        <w:t xml:space="preserve"> </w:t>
      </w:r>
    </w:p>
    <w:p w:rsidR="001D54D5" w:rsidRPr="001D54D5" w:rsidRDefault="001D54D5" w:rsidP="001D54D5">
      <w:pPr>
        <w:spacing w:before="100" w:beforeAutospacing="1" w:after="100" w:afterAutospacing="1" w:line="240" w:lineRule="auto"/>
        <w:rPr>
          <w:rFonts w:ascii="Times New Roman" w:eastAsia="Times New Roman" w:hAnsi="Times New Roman" w:cs="Times New Roman"/>
          <w:sz w:val="28"/>
          <w:szCs w:val="24"/>
          <w:lang w:eastAsia="fr-FR"/>
        </w:rPr>
      </w:pPr>
    </w:p>
    <w:p w:rsidR="001D54D5" w:rsidRPr="001D54D5" w:rsidRDefault="001D54D5" w:rsidP="001D54D5">
      <w:pPr>
        <w:pStyle w:val="Titre2"/>
        <w:rPr>
          <w:u w:val="single"/>
        </w:rPr>
      </w:pPr>
      <w:bookmarkStart w:id="0" w:name="_GoBack"/>
      <w:r w:rsidRPr="001D54D5">
        <w:rPr>
          <w:u w:val="single"/>
        </w:rPr>
        <w:t>Architecture technique</w:t>
      </w:r>
    </w:p>
    <w:bookmarkEnd w:id="0"/>
    <w:p w:rsidR="001D54D5" w:rsidRDefault="001D54D5" w:rsidP="001D54D5">
      <w:pPr>
        <w:pStyle w:val="NormalWeb"/>
        <w:numPr>
          <w:ilvl w:val="0"/>
          <w:numId w:val="4"/>
        </w:numPr>
      </w:pPr>
      <w:proofErr w:type="spellStart"/>
      <w:r>
        <w:rPr>
          <w:rStyle w:val="lev"/>
        </w:rPr>
        <w:t>Backend</w:t>
      </w:r>
      <w:proofErr w:type="spellEnd"/>
      <w:r>
        <w:t xml:space="preserve"> : FastAPI (Python 3.12).</w:t>
      </w:r>
    </w:p>
    <w:p w:rsidR="001D54D5" w:rsidRDefault="001D54D5" w:rsidP="001D54D5">
      <w:pPr>
        <w:pStyle w:val="NormalWeb"/>
        <w:numPr>
          <w:ilvl w:val="0"/>
          <w:numId w:val="4"/>
        </w:numPr>
      </w:pPr>
      <w:r>
        <w:rPr>
          <w:rStyle w:val="lev"/>
        </w:rPr>
        <w:t>Base de données</w:t>
      </w:r>
      <w:r>
        <w:t xml:space="preserve"> : PostgreSQL (Render).</w:t>
      </w:r>
    </w:p>
    <w:p w:rsidR="001D54D5" w:rsidRDefault="001D54D5" w:rsidP="001D54D5">
      <w:pPr>
        <w:pStyle w:val="NormalWeb"/>
        <w:numPr>
          <w:ilvl w:val="0"/>
          <w:numId w:val="4"/>
        </w:numPr>
      </w:pPr>
      <w:r>
        <w:rPr>
          <w:rStyle w:val="lev"/>
        </w:rPr>
        <w:t>ORM</w:t>
      </w:r>
      <w:r>
        <w:t xml:space="preserve"> : </w:t>
      </w:r>
      <w:proofErr w:type="spellStart"/>
      <w:r>
        <w:t>SQLAlchemy</w:t>
      </w:r>
      <w:proofErr w:type="spellEnd"/>
      <w:r>
        <w:t>.</w:t>
      </w:r>
    </w:p>
    <w:p w:rsidR="001D54D5" w:rsidRDefault="001D54D5" w:rsidP="001D54D5">
      <w:pPr>
        <w:pStyle w:val="NormalWeb"/>
        <w:numPr>
          <w:ilvl w:val="0"/>
          <w:numId w:val="4"/>
        </w:numPr>
      </w:pPr>
      <w:r>
        <w:rPr>
          <w:rStyle w:val="lev"/>
        </w:rPr>
        <w:t>Migrations</w:t>
      </w:r>
      <w:r>
        <w:t xml:space="preserve"> : Alembic.</w:t>
      </w:r>
    </w:p>
    <w:p w:rsidR="001D54D5" w:rsidRDefault="001D54D5" w:rsidP="001D54D5">
      <w:pPr>
        <w:pStyle w:val="NormalWeb"/>
        <w:numPr>
          <w:ilvl w:val="0"/>
          <w:numId w:val="4"/>
        </w:numPr>
      </w:pPr>
      <w:r>
        <w:rPr>
          <w:rStyle w:val="lev"/>
        </w:rPr>
        <w:t>Serveur d’application</w:t>
      </w:r>
      <w:r>
        <w:t xml:space="preserve"> : Uvicorn.</w:t>
      </w:r>
    </w:p>
    <w:p w:rsidR="001D54D5" w:rsidRDefault="001D54D5" w:rsidP="001D54D5">
      <w:pPr>
        <w:pStyle w:val="NormalWeb"/>
        <w:numPr>
          <w:ilvl w:val="0"/>
          <w:numId w:val="4"/>
        </w:numPr>
      </w:pPr>
      <w:r>
        <w:rPr>
          <w:rStyle w:val="lev"/>
        </w:rPr>
        <w:t>Déploiement</w:t>
      </w:r>
      <w:r>
        <w:t xml:space="preserve"> : Render (configuration optimisée).</w:t>
      </w:r>
    </w:p>
    <w:p w:rsidR="001D54D5" w:rsidRDefault="001D54D5" w:rsidP="001D54D5">
      <w:pPr>
        <w:pStyle w:val="NormalWeb"/>
        <w:numPr>
          <w:ilvl w:val="0"/>
          <w:numId w:val="4"/>
        </w:numPr>
      </w:pPr>
      <w:r>
        <w:rPr>
          <w:rStyle w:val="lev"/>
        </w:rPr>
        <w:t>Sécurité</w:t>
      </w:r>
      <w:r>
        <w:t xml:space="preserve"> : Passlib + Python-Jose pour JWT.</w:t>
      </w:r>
    </w:p>
    <w:p w:rsidR="001D54D5" w:rsidRPr="001D54D5" w:rsidRDefault="001D54D5" w:rsidP="001D54D5">
      <w:pPr>
        <w:pStyle w:val="NormalWeb"/>
        <w:ind w:left="720"/>
      </w:pPr>
    </w:p>
    <w:p w:rsidR="00221662" w:rsidRPr="00221662" w:rsidRDefault="00221662" w:rsidP="00221662">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221662">
        <w:rPr>
          <w:rFonts w:ascii="Times New Roman" w:eastAsia="Times New Roman" w:hAnsi="Times New Roman" w:cs="Times New Roman"/>
          <w:b/>
          <w:bCs/>
          <w:sz w:val="36"/>
          <w:szCs w:val="36"/>
          <w:u w:val="single"/>
          <w:lang w:eastAsia="fr-FR"/>
        </w:rPr>
        <w:t>Exigences Techniques et Déploiement</w:t>
      </w:r>
    </w:p>
    <w:p w:rsidR="00221662" w:rsidRPr="00221662" w:rsidRDefault="00221662" w:rsidP="00221662">
      <w:pPr>
        <w:spacing w:before="100" w:beforeAutospacing="1" w:after="100" w:afterAutospacing="1" w:line="240" w:lineRule="auto"/>
        <w:rPr>
          <w:rFonts w:ascii="Times New Roman" w:eastAsia="Times New Roman" w:hAnsi="Times New Roman" w:cs="Times New Roman"/>
          <w:sz w:val="28"/>
          <w:szCs w:val="24"/>
          <w:lang w:eastAsia="fr-FR"/>
        </w:rPr>
      </w:pPr>
      <w:r w:rsidRPr="00221662">
        <w:rPr>
          <w:rFonts w:ascii="Times New Roman" w:eastAsia="Times New Roman" w:hAnsi="Times New Roman" w:cs="Times New Roman"/>
          <w:sz w:val="28"/>
          <w:szCs w:val="24"/>
          <w:lang w:eastAsia="fr-FR"/>
        </w:rPr>
        <w:t>Plateforme web complète, sécurisée, avec accès différencié par rôles et intégration factures en HTML pour consultation/téléchargement direc</w:t>
      </w:r>
      <w:r w:rsidR="001D54D5">
        <w:rPr>
          <w:rFonts w:ascii="Times New Roman" w:eastAsia="Times New Roman" w:hAnsi="Times New Roman" w:cs="Times New Roman"/>
          <w:sz w:val="28"/>
          <w:szCs w:val="24"/>
          <w:lang w:eastAsia="fr-FR"/>
        </w:rPr>
        <w:t>t. Pas de détails explicites</w:t>
      </w:r>
      <w:r w:rsidRPr="00221662">
        <w:rPr>
          <w:rFonts w:ascii="Times New Roman" w:eastAsia="Times New Roman" w:hAnsi="Times New Roman" w:cs="Times New Roman"/>
          <w:sz w:val="28"/>
          <w:szCs w:val="24"/>
          <w:lang w:eastAsia="fr-FR"/>
        </w:rPr>
        <w:t>, mais déploiement prêt via OLOUOMO LAB (contact : +241 65 62 95 99, contact@olouomolab.com). Exemples de données : montants en FCFA, budgets par département (Admin, IT, RH, Projets).</w:t>
      </w:r>
      <w:r w:rsidR="001D54D5" w:rsidRPr="00221662">
        <w:rPr>
          <w:rFonts w:ascii="Times New Roman" w:eastAsia="Times New Roman" w:hAnsi="Times New Roman" w:cs="Times New Roman"/>
          <w:sz w:val="28"/>
          <w:szCs w:val="24"/>
          <w:lang w:eastAsia="fr-FR"/>
        </w:rPr>
        <w:t xml:space="preserve"> </w:t>
      </w:r>
    </w:p>
    <w:p w:rsidR="005206AA" w:rsidRDefault="005206AA"/>
    <w:p w:rsidR="001D54D5" w:rsidRDefault="001D54D5"/>
    <w:sectPr w:rsidR="001D54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565AE"/>
    <w:multiLevelType w:val="multilevel"/>
    <w:tmpl w:val="37865B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906A9E"/>
    <w:multiLevelType w:val="multilevel"/>
    <w:tmpl w:val="FEE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A517E"/>
    <w:multiLevelType w:val="multilevel"/>
    <w:tmpl w:val="16A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B03CA"/>
    <w:multiLevelType w:val="multilevel"/>
    <w:tmpl w:val="12B4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662"/>
    <w:rsid w:val="001D54D5"/>
    <w:rsid w:val="00221662"/>
    <w:rsid w:val="005206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EC06"/>
  <w15:chartTrackingRefBased/>
  <w15:docId w15:val="{0C58B864-5408-4E2A-B854-1FE41B20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22166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21662"/>
    <w:rPr>
      <w:rFonts w:ascii="Times New Roman" w:eastAsia="Times New Roman" w:hAnsi="Times New Roman" w:cs="Times New Roman"/>
      <w:b/>
      <w:bCs/>
      <w:sz w:val="36"/>
      <w:szCs w:val="36"/>
      <w:lang w:eastAsia="fr-FR"/>
    </w:rPr>
  </w:style>
  <w:style w:type="paragraph" w:customStyle="1" w:styleId="my-2">
    <w:name w:val="my-2"/>
    <w:basedOn w:val="Normal"/>
    <w:rsid w:val="002216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21662"/>
    <w:rPr>
      <w:b/>
      <w:bCs/>
    </w:rPr>
  </w:style>
  <w:style w:type="character" w:customStyle="1" w:styleId="citation">
    <w:name w:val="citation"/>
    <w:basedOn w:val="Policepardfaut"/>
    <w:rsid w:val="00221662"/>
  </w:style>
  <w:style w:type="character" w:customStyle="1" w:styleId="inline-block">
    <w:name w:val="inline-block"/>
    <w:basedOn w:val="Policepardfaut"/>
    <w:rsid w:val="00221662"/>
  </w:style>
  <w:style w:type="table" w:styleId="Grilledutableau">
    <w:name w:val="Table Grid"/>
    <w:basedOn w:val="TableauNormal"/>
    <w:uiPriority w:val="39"/>
    <w:rsid w:val="00221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1662"/>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190609">
      <w:bodyDiv w:val="1"/>
      <w:marLeft w:val="0"/>
      <w:marRight w:val="0"/>
      <w:marTop w:val="0"/>
      <w:marBottom w:val="0"/>
      <w:divBdr>
        <w:top w:val="none" w:sz="0" w:space="0" w:color="auto"/>
        <w:left w:val="none" w:sz="0" w:space="0" w:color="auto"/>
        <w:bottom w:val="none" w:sz="0" w:space="0" w:color="auto"/>
        <w:right w:val="none" w:sz="0" w:space="0" w:color="auto"/>
      </w:divBdr>
    </w:div>
    <w:div w:id="550767961">
      <w:bodyDiv w:val="1"/>
      <w:marLeft w:val="0"/>
      <w:marRight w:val="0"/>
      <w:marTop w:val="0"/>
      <w:marBottom w:val="0"/>
      <w:divBdr>
        <w:top w:val="none" w:sz="0" w:space="0" w:color="auto"/>
        <w:left w:val="none" w:sz="0" w:space="0" w:color="auto"/>
        <w:bottom w:val="none" w:sz="0" w:space="0" w:color="auto"/>
        <w:right w:val="none" w:sz="0" w:space="0" w:color="auto"/>
      </w:divBdr>
    </w:div>
    <w:div w:id="1206942055">
      <w:bodyDiv w:val="1"/>
      <w:marLeft w:val="0"/>
      <w:marRight w:val="0"/>
      <w:marTop w:val="0"/>
      <w:marBottom w:val="0"/>
      <w:divBdr>
        <w:top w:val="none" w:sz="0" w:space="0" w:color="auto"/>
        <w:left w:val="none" w:sz="0" w:space="0" w:color="auto"/>
        <w:bottom w:val="none" w:sz="0" w:space="0" w:color="auto"/>
        <w:right w:val="none" w:sz="0" w:space="0" w:color="auto"/>
      </w:divBdr>
      <w:divsChild>
        <w:div w:id="924992198">
          <w:marLeft w:val="0"/>
          <w:marRight w:val="0"/>
          <w:marTop w:val="0"/>
          <w:marBottom w:val="0"/>
          <w:divBdr>
            <w:top w:val="none" w:sz="0" w:space="0" w:color="auto"/>
            <w:left w:val="none" w:sz="0" w:space="0" w:color="auto"/>
            <w:bottom w:val="none" w:sz="0" w:space="0" w:color="auto"/>
            <w:right w:val="none" w:sz="0" w:space="0" w:color="auto"/>
          </w:divBdr>
          <w:divsChild>
            <w:div w:id="1626884119">
              <w:marLeft w:val="0"/>
              <w:marRight w:val="0"/>
              <w:marTop w:val="0"/>
              <w:marBottom w:val="0"/>
              <w:divBdr>
                <w:top w:val="none" w:sz="0" w:space="0" w:color="auto"/>
                <w:left w:val="none" w:sz="0" w:space="0" w:color="auto"/>
                <w:bottom w:val="none" w:sz="0" w:space="0" w:color="auto"/>
                <w:right w:val="none" w:sz="0" w:space="0" w:color="auto"/>
              </w:divBdr>
              <w:divsChild>
                <w:div w:id="1710454371">
                  <w:marLeft w:val="0"/>
                  <w:marRight w:val="0"/>
                  <w:marTop w:val="0"/>
                  <w:marBottom w:val="0"/>
                  <w:divBdr>
                    <w:top w:val="none" w:sz="0" w:space="0" w:color="auto"/>
                    <w:left w:val="none" w:sz="0" w:space="0" w:color="auto"/>
                    <w:bottom w:val="none" w:sz="0" w:space="0" w:color="auto"/>
                    <w:right w:val="none" w:sz="0" w:space="0" w:color="auto"/>
                  </w:divBdr>
                  <w:divsChild>
                    <w:div w:id="1433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879922">
      <w:bodyDiv w:val="1"/>
      <w:marLeft w:val="0"/>
      <w:marRight w:val="0"/>
      <w:marTop w:val="0"/>
      <w:marBottom w:val="0"/>
      <w:divBdr>
        <w:top w:val="none" w:sz="0" w:space="0" w:color="auto"/>
        <w:left w:val="none" w:sz="0" w:space="0" w:color="auto"/>
        <w:bottom w:val="none" w:sz="0" w:space="0" w:color="auto"/>
        <w:right w:val="none" w:sz="0" w:space="0" w:color="auto"/>
      </w:divBdr>
    </w:div>
    <w:div w:id="1456173609">
      <w:bodyDiv w:val="1"/>
      <w:marLeft w:val="0"/>
      <w:marRight w:val="0"/>
      <w:marTop w:val="0"/>
      <w:marBottom w:val="0"/>
      <w:divBdr>
        <w:top w:val="none" w:sz="0" w:space="0" w:color="auto"/>
        <w:left w:val="none" w:sz="0" w:space="0" w:color="auto"/>
        <w:bottom w:val="none" w:sz="0" w:space="0" w:color="auto"/>
        <w:right w:val="none" w:sz="0" w:space="0" w:color="auto"/>
      </w:divBdr>
    </w:div>
    <w:div w:id="1512721009">
      <w:bodyDiv w:val="1"/>
      <w:marLeft w:val="0"/>
      <w:marRight w:val="0"/>
      <w:marTop w:val="0"/>
      <w:marBottom w:val="0"/>
      <w:divBdr>
        <w:top w:val="none" w:sz="0" w:space="0" w:color="auto"/>
        <w:left w:val="none" w:sz="0" w:space="0" w:color="auto"/>
        <w:bottom w:val="none" w:sz="0" w:space="0" w:color="auto"/>
        <w:right w:val="none" w:sz="0" w:space="0" w:color="auto"/>
      </w:divBdr>
    </w:div>
    <w:div w:id="209959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474</Words>
  <Characters>2610</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2026-03-31T15:40:00Z</dcterms:created>
  <dcterms:modified xsi:type="dcterms:W3CDTF">2026-03-31T16:11:00Z</dcterms:modified>
</cp:coreProperties>
</file>