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707C3" w:rsidRDefault="00F707C3">
      <w:pPr>
        <w:spacing w:before="1600"/>
      </w:pPr>
    </w:p>
    <w:p w:rsidR="00F707C3" w:rsidRDefault="00140A7C">
      <w:pPr>
        <w:pBdr>
          <w:bottom w:val="single" w:sz="8" w:space="0" w:color="C9A84C"/>
        </w:pBdr>
        <w:shd w:val="clear" w:color="auto" w:fill="1B3A6B"/>
        <w:jc w:val="center"/>
      </w:pPr>
      <w:r>
        <w:rPr>
          <w:sz w:val="6"/>
          <w:szCs w:val="6"/>
        </w:rPr>
        <w:t xml:space="preserve"> </w:t>
      </w:r>
    </w:p>
    <w:p w:rsidR="00F707C3" w:rsidRDefault="00140A7C">
      <w:pPr>
        <w:shd w:val="clear" w:color="auto" w:fill="1B3A6B"/>
        <w:jc w:val="center"/>
      </w:pPr>
      <w:r>
        <w:rPr>
          <w:b/>
          <w:bCs/>
          <w:color w:val="FFFFFF"/>
          <w:sz w:val="56"/>
          <w:szCs w:val="56"/>
        </w:rPr>
        <w:br/>
        <w:t>MANUEL D’UTILISATION</w:t>
      </w:r>
    </w:p>
    <w:p w:rsidR="00F707C3" w:rsidRDefault="00140A7C">
      <w:pPr>
        <w:shd w:val="clear" w:color="auto" w:fill="1B3A6B"/>
        <w:jc w:val="center"/>
      </w:pPr>
      <w:r>
        <w:rPr>
          <w:i/>
          <w:iCs/>
          <w:color w:val="C9A84C"/>
          <w:sz w:val="26"/>
          <w:szCs w:val="26"/>
        </w:rPr>
        <w:t>Application de gestion budgétaire institutionnelle</w:t>
      </w:r>
    </w:p>
    <w:p w:rsidR="00F707C3" w:rsidRDefault="00140A7C">
      <w:pPr>
        <w:pBdr>
          <w:bottom w:val="single" w:sz="8" w:space="0" w:color="C9A84C"/>
        </w:pBdr>
        <w:shd w:val="clear" w:color="auto" w:fill="1B3A6B"/>
        <w:jc w:val="center"/>
      </w:pPr>
      <w:r>
        <w:rPr>
          <w:sz w:val="26"/>
          <w:szCs w:val="26"/>
        </w:rPr>
        <w:t xml:space="preserve"> </w:t>
      </w:r>
    </w:p>
    <w:p w:rsidR="00F707C3" w:rsidRDefault="00140A7C">
      <w:pPr>
        <w:spacing w:before="360"/>
        <w:jc w:val="center"/>
      </w:pPr>
      <w:r>
        <w:rPr>
          <w:i/>
          <w:iCs/>
          <w:color w:val="6B7280"/>
        </w:rPr>
        <w:t>À destination des Administrateurs et Contrôleurs</w:t>
      </w:r>
      <w:r>
        <w:rPr>
          <w:i/>
          <w:iCs/>
          <w:color w:val="6B7280"/>
          <w:sz w:val="20"/>
          <w:szCs w:val="20"/>
        </w:rPr>
        <w:br/>
        <w:t>Usage strictement interne – Document confidentiel</w:t>
      </w:r>
    </w:p>
    <w:p w:rsidR="00F707C3" w:rsidRDefault="00F707C3">
      <w:pPr>
        <w:spacing w:after="400"/>
      </w:pPr>
    </w:p>
    <w:p w:rsidR="00F707C3" w:rsidRDefault="00140A7C">
      <w:pPr>
        <w:pStyle w:val="Titre1"/>
        <w:shd w:val="clear" w:color="auto" w:fill="1B3A6B"/>
        <w:ind w:left="200" w:right="200"/>
      </w:pPr>
      <w:r>
        <w:rPr>
          <w:color w:val="C9A84C"/>
        </w:rPr>
        <w:t xml:space="preserve">1.  </w:t>
      </w:r>
      <w:r>
        <w:t>Introduction</w:t>
      </w:r>
    </w:p>
    <w:p w:rsidR="00F707C3" w:rsidRDefault="00F707C3">
      <w:pPr>
        <w:spacing w:after="80"/>
      </w:pPr>
    </w:p>
    <w:p w:rsidR="00F707C3" w:rsidRDefault="00140A7C">
      <w:pPr>
        <w:spacing w:before="60" w:after="60"/>
        <w:ind w:left="200"/>
      </w:pPr>
      <w:r>
        <w:rPr>
          <w:color w:val="2D2D2D"/>
        </w:rPr>
        <w:t>Ce manuel présente les étapes nécessaires pour utiliser efficacement l’application de gestion budgétaire. Il s’adresse aux administrateurs et contrôleurs, et vise à garantir une utilisation conforme aux standards institutionnels.</w:t>
      </w:r>
    </w:p>
    <w:p w:rsidR="00F707C3" w:rsidRDefault="00F707C3">
      <w:pPr>
        <w:spacing w:after="200"/>
      </w:pPr>
    </w:p>
    <w:p w:rsidR="00F707C3" w:rsidRDefault="00140A7C">
      <w:pPr>
        <w:pStyle w:val="Titre1"/>
        <w:shd w:val="clear" w:color="auto" w:fill="1B3A6B"/>
        <w:ind w:left="200" w:right="200"/>
      </w:pPr>
      <w:r>
        <w:rPr>
          <w:color w:val="C9A84C"/>
        </w:rPr>
        <w:t xml:space="preserve">2.  </w:t>
      </w:r>
      <w:r>
        <w:t>Accès à l’application</w:t>
      </w:r>
    </w:p>
    <w:p w:rsidR="00F707C3" w:rsidRDefault="00F707C3">
      <w:pPr>
        <w:spacing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F707C3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C9A84C"/>
              <w:left w:val="single" w:sz="4" w:space="0" w:color="C9A84C"/>
              <w:bottom w:val="single" w:sz="4" w:space="0" w:color="C9A84C"/>
              <w:right w:val="single" w:sz="4" w:space="0" w:color="C9A84C"/>
            </w:tcBorders>
            <w:shd w:val="clear" w:color="auto" w:fill="EFF3FA"/>
            <w:tcMar>
              <w:top w:w="140" w:type="dxa"/>
              <w:left w:w="280" w:type="dxa"/>
              <w:bottom w:w="140" w:type="dxa"/>
              <w:right w:w="280" w:type="dxa"/>
            </w:tcMar>
          </w:tcPr>
          <w:p w:rsidR="00F707C3" w:rsidRDefault="00140A7C">
            <w:pPr>
              <w:spacing w:before="50" w:after="50"/>
            </w:pPr>
            <w:r>
              <w:rPr>
                <w:color w:val="2D2D2D"/>
                <w:sz w:val="21"/>
                <w:szCs w:val="21"/>
              </w:rPr>
              <w:t>🔗</w:t>
            </w:r>
            <w:r>
              <w:rPr>
                <w:color w:val="2D2D2D"/>
                <w:sz w:val="21"/>
                <w:szCs w:val="21"/>
              </w:rPr>
              <w:t xml:space="preserve">  URL de connexion : fournie par l’organisation (ex. : https://budgetgab.onrender.com)</w:t>
            </w:r>
          </w:p>
          <w:p w:rsidR="00F707C3" w:rsidRDefault="00140A7C">
            <w:pPr>
              <w:spacing w:before="50" w:after="50"/>
            </w:pPr>
            <w:r>
              <w:rPr>
                <w:color w:val="2D2D2D"/>
                <w:sz w:val="21"/>
                <w:szCs w:val="21"/>
              </w:rPr>
              <w:t>🔑</w:t>
            </w:r>
            <w:r>
              <w:rPr>
                <w:color w:val="2D2D2D"/>
                <w:sz w:val="21"/>
                <w:szCs w:val="21"/>
              </w:rPr>
              <w:t xml:space="preserve">  Identifiants : chaque utilisateur dispose d’un identifiant et d’un mot de passe personnels.</w:t>
            </w:r>
          </w:p>
          <w:p w:rsidR="00F707C3" w:rsidRDefault="00140A7C">
            <w:pPr>
              <w:spacing w:before="50" w:after="50"/>
            </w:pPr>
            <w:r>
              <w:rPr>
                <w:color w:val="2D2D2D"/>
                <w:sz w:val="21"/>
                <w:szCs w:val="21"/>
              </w:rPr>
              <w:t>🔒</w:t>
            </w:r>
            <w:r>
              <w:rPr>
                <w:color w:val="2D2D2D"/>
                <w:sz w:val="21"/>
                <w:szCs w:val="21"/>
              </w:rPr>
              <w:t xml:space="preserve">  Sécurité : l’accès est protégé par authentification JWT.</w:t>
            </w:r>
          </w:p>
        </w:tc>
      </w:tr>
    </w:tbl>
    <w:p w:rsidR="00F707C3" w:rsidRDefault="00F707C3">
      <w:pPr>
        <w:spacing w:after="200"/>
      </w:pPr>
    </w:p>
    <w:p w:rsidR="00F707C3" w:rsidRDefault="00140A7C">
      <w:pPr>
        <w:pStyle w:val="Titre1"/>
        <w:shd w:val="clear" w:color="auto" w:fill="1B3A6B"/>
        <w:ind w:left="200" w:right="200"/>
      </w:pPr>
      <w:r>
        <w:rPr>
          <w:color w:val="C9A84C"/>
        </w:rPr>
        <w:t xml:space="preserve">3.  </w:t>
      </w:r>
      <w:r>
        <w:t>Rôles et responsabilités</w:t>
      </w:r>
    </w:p>
    <w:p w:rsidR="00F707C3" w:rsidRDefault="00F707C3">
      <w:pPr>
        <w:spacing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026"/>
      </w:tblGrid>
      <w:tr w:rsidR="00F707C3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4" w:space="0" w:color="1B3A6B"/>
              <w:left w:val="single" w:sz="4" w:space="0" w:color="1B3A6B"/>
              <w:bottom w:val="single" w:sz="4" w:space="0" w:color="1B3A6B"/>
              <w:right w:val="single" w:sz="4" w:space="0" w:color="1B3A6B"/>
            </w:tcBorders>
            <w:shd w:val="clear" w:color="auto" w:fill="1B3A6B"/>
            <w:tcMar>
              <w:top w:w="100" w:type="dxa"/>
              <w:left w:w="180" w:type="dxa"/>
              <w:bottom w:w="100" w:type="dxa"/>
              <w:right w:w="180" w:type="dxa"/>
            </w:tcMar>
          </w:tcPr>
          <w:p w:rsidR="00F707C3" w:rsidRDefault="00140A7C">
            <w:r>
              <w:rPr>
                <w:b/>
                <w:bCs/>
                <w:color w:val="FFFFFF"/>
              </w:rPr>
              <w:t>Rôle</w:t>
            </w:r>
          </w:p>
        </w:tc>
        <w:tc>
          <w:tcPr>
            <w:tcW w:w="6026" w:type="dxa"/>
            <w:tcBorders>
              <w:top w:val="single" w:sz="4" w:space="0" w:color="1B3A6B"/>
              <w:left w:val="single" w:sz="4" w:space="0" w:color="1B3A6B"/>
              <w:bottom w:val="single" w:sz="4" w:space="0" w:color="1B3A6B"/>
              <w:right w:val="single" w:sz="4" w:space="0" w:color="1B3A6B"/>
            </w:tcBorders>
            <w:shd w:val="clear" w:color="auto" w:fill="1B3A6B"/>
            <w:tcMar>
              <w:top w:w="100" w:type="dxa"/>
              <w:left w:w="180" w:type="dxa"/>
              <w:bottom w:w="100" w:type="dxa"/>
              <w:right w:w="180" w:type="dxa"/>
            </w:tcMar>
          </w:tcPr>
          <w:p w:rsidR="00F707C3" w:rsidRDefault="00140A7C">
            <w:r>
              <w:rPr>
                <w:b/>
                <w:bCs/>
                <w:color w:val="FFFFFF"/>
              </w:rPr>
              <w:t>Responsabilités</w:t>
            </w:r>
          </w:p>
        </w:tc>
      </w:tr>
      <w:tr w:rsidR="00F707C3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5CDD9"/>
              <w:left w:val="single" w:sz="1" w:space="0" w:color="C5CDD9"/>
              <w:bottom w:val="single" w:sz="1" w:space="0" w:color="C5CDD9"/>
              <w:right w:val="single" w:sz="1" w:space="0" w:color="C5CDD9"/>
            </w:tcBorders>
            <w:shd w:val="clear" w:color="auto" w:fill="FFFFFF"/>
            <w:tcMar>
              <w:top w:w="80" w:type="dxa"/>
              <w:left w:w="180" w:type="dxa"/>
              <w:bottom w:w="80" w:type="dxa"/>
              <w:right w:w="180" w:type="dxa"/>
            </w:tcMar>
          </w:tcPr>
          <w:p w:rsidR="00F707C3" w:rsidRDefault="00140A7C">
            <w:r>
              <w:rPr>
                <w:b/>
                <w:bCs/>
                <w:color w:val="1B3A6B"/>
                <w:sz w:val="21"/>
                <w:szCs w:val="21"/>
              </w:rPr>
              <w:t>Administrateur</w:t>
            </w:r>
          </w:p>
        </w:tc>
        <w:tc>
          <w:tcPr>
            <w:tcW w:w="6026" w:type="dxa"/>
            <w:tcBorders>
              <w:top w:val="single" w:sz="1" w:space="0" w:color="C5CDD9"/>
              <w:left w:val="single" w:sz="1" w:space="0" w:color="C5CDD9"/>
              <w:bottom w:val="single" w:sz="1" w:space="0" w:color="C5CDD9"/>
              <w:right w:val="single" w:sz="1" w:space="0" w:color="C5CDD9"/>
            </w:tcBorders>
            <w:shd w:val="clear" w:color="auto" w:fill="FFFFFF"/>
            <w:tcMar>
              <w:top w:w="80" w:type="dxa"/>
              <w:left w:w="180" w:type="dxa"/>
              <w:bottom w:w="80" w:type="dxa"/>
              <w:right w:w="180" w:type="dxa"/>
            </w:tcMar>
          </w:tcPr>
          <w:p w:rsidR="00F707C3" w:rsidRDefault="00140A7C">
            <w:pPr>
              <w:spacing w:before="30" w:after="30"/>
            </w:pPr>
            <w:r>
              <w:rPr>
                <w:color w:val="2D2D2D"/>
                <w:sz w:val="21"/>
                <w:szCs w:val="21"/>
              </w:rPr>
              <w:t>• Crée et gère les budgets</w:t>
            </w:r>
          </w:p>
          <w:p w:rsidR="00F707C3" w:rsidRDefault="00140A7C">
            <w:pPr>
              <w:spacing w:before="30" w:after="30"/>
            </w:pPr>
            <w:r>
              <w:rPr>
                <w:color w:val="2D2D2D"/>
                <w:sz w:val="21"/>
                <w:szCs w:val="21"/>
              </w:rPr>
              <w:t>• Supervise l’ensemble des dépenses</w:t>
            </w:r>
          </w:p>
          <w:p w:rsidR="00F707C3" w:rsidRDefault="00140A7C">
            <w:pPr>
              <w:spacing w:before="30" w:after="30"/>
            </w:pPr>
            <w:r>
              <w:rPr>
                <w:color w:val="2D2D2D"/>
                <w:sz w:val="21"/>
                <w:szCs w:val="21"/>
              </w:rPr>
              <w:t>• Génère les rapports institutionnels</w:t>
            </w:r>
          </w:p>
        </w:tc>
      </w:tr>
      <w:tr w:rsidR="00F707C3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5CDD9"/>
              <w:left w:val="single" w:sz="1" w:space="0" w:color="C5CDD9"/>
              <w:bottom w:val="single" w:sz="1" w:space="0" w:color="C5CDD9"/>
              <w:right w:val="single" w:sz="1" w:space="0" w:color="C5CDD9"/>
            </w:tcBorders>
            <w:shd w:val="clear" w:color="auto" w:fill="EFF3FA"/>
            <w:tcMar>
              <w:top w:w="80" w:type="dxa"/>
              <w:left w:w="180" w:type="dxa"/>
              <w:bottom w:w="80" w:type="dxa"/>
              <w:right w:w="180" w:type="dxa"/>
            </w:tcMar>
          </w:tcPr>
          <w:p w:rsidR="00F707C3" w:rsidRDefault="00140A7C">
            <w:r>
              <w:rPr>
                <w:b/>
                <w:bCs/>
                <w:color w:val="1B3A6B"/>
                <w:sz w:val="21"/>
                <w:szCs w:val="21"/>
              </w:rPr>
              <w:t>Contrôleur</w:t>
            </w:r>
          </w:p>
        </w:tc>
        <w:tc>
          <w:tcPr>
            <w:tcW w:w="6026" w:type="dxa"/>
            <w:tcBorders>
              <w:top w:val="single" w:sz="1" w:space="0" w:color="C5CDD9"/>
              <w:left w:val="single" w:sz="1" w:space="0" w:color="C5CDD9"/>
              <w:bottom w:val="single" w:sz="1" w:space="0" w:color="C5CDD9"/>
              <w:right w:val="single" w:sz="1" w:space="0" w:color="C5CDD9"/>
            </w:tcBorders>
            <w:shd w:val="clear" w:color="auto" w:fill="EFF3FA"/>
            <w:tcMar>
              <w:top w:w="80" w:type="dxa"/>
              <w:left w:w="180" w:type="dxa"/>
              <w:bottom w:w="80" w:type="dxa"/>
              <w:right w:w="180" w:type="dxa"/>
            </w:tcMar>
          </w:tcPr>
          <w:p w:rsidR="00F707C3" w:rsidRDefault="00140A7C">
            <w:pPr>
              <w:spacing w:before="30" w:after="30"/>
            </w:pPr>
            <w:r>
              <w:rPr>
                <w:color w:val="2D2D2D"/>
                <w:sz w:val="21"/>
                <w:szCs w:val="21"/>
              </w:rPr>
              <w:t>• Valide ou rejette les dépenses soumises</w:t>
            </w:r>
          </w:p>
          <w:p w:rsidR="00F707C3" w:rsidRDefault="00140A7C">
            <w:pPr>
              <w:spacing w:before="30" w:after="30"/>
            </w:pPr>
            <w:r>
              <w:rPr>
                <w:color w:val="2D2D2D"/>
                <w:sz w:val="21"/>
                <w:szCs w:val="21"/>
              </w:rPr>
              <w:t>• Ajoute des commentaires de justification</w:t>
            </w:r>
          </w:p>
          <w:p w:rsidR="00F707C3" w:rsidRDefault="00140A7C">
            <w:pPr>
              <w:spacing w:before="30" w:after="30"/>
            </w:pPr>
            <w:r>
              <w:rPr>
                <w:color w:val="2D2D2D"/>
                <w:sz w:val="21"/>
                <w:szCs w:val="21"/>
              </w:rPr>
              <w:t>• Consulte les rapports disponibles</w:t>
            </w:r>
          </w:p>
        </w:tc>
      </w:tr>
    </w:tbl>
    <w:p w:rsidR="00F707C3" w:rsidRDefault="00F707C3">
      <w:pPr>
        <w:spacing w:after="200"/>
      </w:pPr>
    </w:p>
    <w:p w:rsidR="00F707C3" w:rsidRDefault="00140A7C">
      <w:pPr>
        <w:pStyle w:val="Titre1"/>
        <w:shd w:val="clear" w:color="auto" w:fill="1B3A6B"/>
        <w:ind w:left="200" w:right="200"/>
      </w:pPr>
      <w:r>
        <w:rPr>
          <w:color w:val="C9A84C"/>
        </w:rPr>
        <w:lastRenderedPageBreak/>
        <w:t xml:space="preserve">4.  </w:t>
      </w:r>
      <w:r>
        <w:t>Navigation générale</w:t>
      </w:r>
    </w:p>
    <w:p w:rsidR="00F707C3" w:rsidRDefault="00F707C3">
      <w:pPr>
        <w:spacing w:after="80"/>
      </w:pPr>
    </w:p>
    <w:p w:rsidR="00F707C3" w:rsidRDefault="00140A7C">
      <w:pPr>
        <w:spacing w:before="60" w:after="60"/>
        <w:ind w:left="200"/>
      </w:pPr>
      <w:r>
        <w:rPr>
          <w:color w:val="2D2D2D"/>
        </w:rPr>
        <w:t>L’interface principale comprend :</w:t>
      </w:r>
    </w:p>
    <w:p w:rsidR="00F707C3" w:rsidRDefault="00140A7C">
      <w:pPr>
        <w:pStyle w:val="Paragraphedeliste"/>
        <w:numPr>
          <w:ilvl w:val="0"/>
          <w:numId w:val="2"/>
        </w:numPr>
      </w:pPr>
      <w:r>
        <w:rPr>
          <w:color w:val="2D2D2D"/>
        </w:rPr>
        <w:t>Page d’accueil : tableau de bord institutionnel avec vue synthétique des budgets et des dépenses.</w:t>
      </w:r>
    </w:p>
    <w:p w:rsidR="00F707C3" w:rsidRDefault="00140A7C">
      <w:pPr>
        <w:pStyle w:val="Paragraphedeliste"/>
        <w:numPr>
          <w:ilvl w:val="0"/>
          <w:numId w:val="2"/>
        </w:numPr>
      </w:pPr>
      <w:r>
        <w:rPr>
          <w:color w:val="2D2D2D"/>
        </w:rPr>
        <w:t>Menu latéral donnant accès aux modules suivants :</w:t>
      </w:r>
    </w:p>
    <w:p w:rsidR="00F707C3" w:rsidRDefault="00140A7C">
      <w:pPr>
        <w:pStyle w:val="Paragraphedeliste"/>
        <w:numPr>
          <w:ilvl w:val="0"/>
          <w:numId w:val="3"/>
        </w:numPr>
      </w:pPr>
      <w:r>
        <w:rPr>
          <w:b/>
          <w:bCs/>
          <w:color w:val="1B3A6B"/>
          <w:sz w:val="21"/>
          <w:szCs w:val="21"/>
        </w:rPr>
        <w:t>Budgets</w:t>
      </w:r>
      <w:r>
        <w:rPr>
          <w:color w:val="2D2D2D"/>
          <w:sz w:val="21"/>
          <w:szCs w:val="21"/>
        </w:rPr>
        <w:t xml:space="preserve"> — consultation et création</w:t>
      </w:r>
    </w:p>
    <w:p w:rsidR="00F707C3" w:rsidRDefault="00140A7C">
      <w:pPr>
        <w:pStyle w:val="Paragraphedeliste"/>
        <w:numPr>
          <w:ilvl w:val="0"/>
          <w:numId w:val="3"/>
        </w:numPr>
      </w:pPr>
      <w:r>
        <w:rPr>
          <w:b/>
          <w:bCs/>
          <w:color w:val="1B3A6B"/>
          <w:sz w:val="21"/>
          <w:szCs w:val="21"/>
        </w:rPr>
        <w:t>Dépenses</w:t>
      </w:r>
      <w:r>
        <w:rPr>
          <w:color w:val="2D2D2D"/>
          <w:sz w:val="21"/>
          <w:szCs w:val="21"/>
        </w:rPr>
        <w:t xml:space="preserve"> — soumission et suivi</w:t>
      </w:r>
    </w:p>
    <w:p w:rsidR="00F707C3" w:rsidRDefault="00140A7C">
      <w:pPr>
        <w:pStyle w:val="Paragraphedeliste"/>
        <w:numPr>
          <w:ilvl w:val="0"/>
          <w:numId w:val="3"/>
        </w:numPr>
      </w:pPr>
      <w:r>
        <w:rPr>
          <w:b/>
          <w:bCs/>
          <w:color w:val="1B3A6B"/>
          <w:sz w:val="21"/>
          <w:szCs w:val="21"/>
        </w:rPr>
        <w:t>Rapports</w:t>
      </w:r>
      <w:r>
        <w:rPr>
          <w:color w:val="2D2D2D"/>
          <w:sz w:val="21"/>
          <w:szCs w:val="21"/>
        </w:rPr>
        <w:t xml:space="preserve"> — génération et téléchargement</w:t>
      </w:r>
    </w:p>
    <w:p w:rsidR="00F707C3" w:rsidRDefault="00140A7C">
      <w:pPr>
        <w:pStyle w:val="Paragraphedeliste"/>
        <w:numPr>
          <w:ilvl w:val="0"/>
          <w:numId w:val="3"/>
        </w:numPr>
      </w:pPr>
      <w:r>
        <w:rPr>
          <w:b/>
          <w:bCs/>
          <w:color w:val="1B3A6B"/>
          <w:sz w:val="21"/>
          <w:szCs w:val="21"/>
        </w:rPr>
        <w:t>Paramètres</w:t>
      </w:r>
      <w:r>
        <w:rPr>
          <w:color w:val="2D2D2D"/>
          <w:sz w:val="21"/>
          <w:szCs w:val="21"/>
        </w:rPr>
        <w:t xml:space="preserve"> — configuration et sécurité</w:t>
      </w:r>
    </w:p>
    <w:p w:rsidR="00F707C3" w:rsidRDefault="00F707C3">
      <w:pPr>
        <w:spacing w:after="200"/>
      </w:pPr>
    </w:p>
    <w:p w:rsidR="00F707C3" w:rsidRDefault="00140A7C">
      <w:pPr>
        <w:pStyle w:val="Titre1"/>
        <w:shd w:val="clear" w:color="auto" w:fill="1B3A6B"/>
        <w:ind w:left="200" w:right="200"/>
      </w:pPr>
      <w:r>
        <w:rPr>
          <w:color w:val="C9A84C"/>
        </w:rPr>
        <w:t xml:space="preserve">5.  </w:t>
      </w:r>
      <w:r>
        <w:t>Gestion des budgets</w:t>
      </w:r>
    </w:p>
    <w:p w:rsidR="00F707C3" w:rsidRDefault="00F707C3">
      <w:pPr>
        <w:spacing w:after="80"/>
      </w:pPr>
    </w:p>
    <w:p w:rsidR="00F707C3" w:rsidRDefault="00140A7C">
      <w:pPr>
        <w:pStyle w:val="Paragraphedeliste"/>
        <w:numPr>
          <w:ilvl w:val="0"/>
          <w:numId w:val="4"/>
        </w:numPr>
      </w:pPr>
      <w:r>
        <w:rPr>
          <w:color w:val="2D2D2D"/>
        </w:rPr>
        <w:t>Accéder à la section Budgets depuis le menu latéral.</w:t>
      </w:r>
    </w:p>
    <w:p w:rsidR="00F707C3" w:rsidRDefault="00140A7C">
      <w:pPr>
        <w:pStyle w:val="Paragraphedeliste"/>
        <w:numPr>
          <w:ilvl w:val="0"/>
          <w:numId w:val="4"/>
        </w:numPr>
      </w:pPr>
      <w:r>
        <w:rPr>
          <w:color w:val="2D2D2D"/>
        </w:rPr>
        <w:t>Cliquer sur Créer un budget.</w:t>
      </w:r>
    </w:p>
    <w:p w:rsidR="00F707C3" w:rsidRDefault="00140A7C">
      <w:pPr>
        <w:pStyle w:val="Paragraphedeliste"/>
        <w:numPr>
          <w:ilvl w:val="0"/>
          <w:numId w:val="4"/>
        </w:numPr>
      </w:pPr>
      <w:r>
        <w:rPr>
          <w:color w:val="2D2D2D"/>
        </w:rPr>
        <w:t>Remplir le formulaire : nom, montant alloué, période.</w:t>
      </w:r>
    </w:p>
    <w:p w:rsidR="00F707C3" w:rsidRDefault="00140A7C">
      <w:pPr>
        <w:pStyle w:val="Paragraphedeliste"/>
        <w:numPr>
          <w:ilvl w:val="0"/>
          <w:numId w:val="4"/>
        </w:numPr>
      </w:pPr>
      <w:r>
        <w:rPr>
          <w:color w:val="2D2D2D"/>
        </w:rPr>
        <w:t>Sauvegarder — le budget apparaît instantanément dans la liste.</w:t>
      </w:r>
    </w:p>
    <w:p w:rsidR="00F707C3" w:rsidRDefault="00F707C3">
      <w:pPr>
        <w:spacing w:after="200"/>
      </w:pPr>
    </w:p>
    <w:p w:rsidR="00F707C3" w:rsidRDefault="00140A7C">
      <w:pPr>
        <w:pStyle w:val="Titre1"/>
        <w:shd w:val="clear" w:color="auto" w:fill="1B3A6B"/>
        <w:ind w:left="200" w:right="200"/>
      </w:pPr>
      <w:r>
        <w:rPr>
          <w:color w:val="C9A84C"/>
        </w:rPr>
        <w:t xml:space="preserve">6.  </w:t>
      </w:r>
      <w:r>
        <w:t>Gestion des dépenses</w:t>
      </w:r>
    </w:p>
    <w:p w:rsidR="00F707C3" w:rsidRDefault="00F707C3">
      <w:pPr>
        <w:spacing w:after="80"/>
      </w:pPr>
    </w:p>
    <w:p w:rsidR="00F707C3" w:rsidRDefault="00140A7C">
      <w:pPr>
        <w:pStyle w:val="Paragraphedeliste"/>
        <w:numPr>
          <w:ilvl w:val="0"/>
          <w:numId w:val="5"/>
        </w:numPr>
      </w:pPr>
      <w:r>
        <w:rPr>
          <w:color w:val="2D2D2D"/>
        </w:rPr>
        <w:t>Accéder à la section Dépenses depuis le menu latéral.</w:t>
      </w:r>
    </w:p>
    <w:p w:rsidR="00F707C3" w:rsidRDefault="00140A7C">
      <w:pPr>
        <w:pStyle w:val="Paragraphedeliste"/>
        <w:numPr>
          <w:ilvl w:val="0"/>
          <w:numId w:val="5"/>
        </w:numPr>
      </w:pPr>
      <w:r>
        <w:rPr>
          <w:color w:val="2D2D2D"/>
        </w:rPr>
        <w:t>Cliquer sur Ajouter une dépense.</w:t>
      </w:r>
    </w:p>
    <w:p w:rsidR="00F707C3" w:rsidRDefault="00140A7C">
      <w:pPr>
        <w:pStyle w:val="Paragraphedeliste"/>
        <w:numPr>
          <w:ilvl w:val="0"/>
          <w:numId w:val="5"/>
        </w:numPr>
      </w:pPr>
      <w:r>
        <w:rPr>
          <w:color w:val="2D2D2D"/>
        </w:rPr>
        <w:t>Remplir le formulaire : catégorie, montant, justificatif.</w:t>
      </w:r>
    </w:p>
    <w:p w:rsidR="00F707C3" w:rsidRDefault="00140A7C">
      <w:pPr>
        <w:pStyle w:val="Paragraphedeliste"/>
        <w:numPr>
          <w:ilvl w:val="0"/>
          <w:numId w:val="5"/>
        </w:numPr>
      </w:pPr>
      <w:r>
        <w:rPr>
          <w:color w:val="2D2D2D"/>
        </w:rPr>
        <w:t>Soumettre — la dépense passe en attente de validation.</w:t>
      </w:r>
    </w:p>
    <w:p w:rsidR="00F707C3" w:rsidRDefault="00F707C3">
      <w:pPr>
        <w:spacing w:after="200"/>
      </w:pPr>
    </w:p>
    <w:p w:rsidR="00F707C3" w:rsidRDefault="00140A7C">
      <w:pPr>
        <w:pStyle w:val="Titre1"/>
        <w:shd w:val="clear" w:color="auto" w:fill="1B3A6B"/>
        <w:ind w:left="200" w:right="200"/>
      </w:pPr>
      <w:r>
        <w:rPr>
          <w:color w:val="C9A84C"/>
        </w:rPr>
        <w:t xml:space="preserve">7.  </w:t>
      </w:r>
      <w:r>
        <w:t>Validation et rejet</w:t>
      </w:r>
    </w:p>
    <w:p w:rsidR="00F707C3" w:rsidRDefault="00F707C3">
      <w:pPr>
        <w:spacing w:after="80"/>
      </w:pPr>
    </w:p>
    <w:p w:rsidR="00F707C3" w:rsidRDefault="00140A7C">
      <w:pPr>
        <w:pStyle w:val="Paragraphedeliste"/>
        <w:numPr>
          <w:ilvl w:val="0"/>
          <w:numId w:val="2"/>
        </w:numPr>
      </w:pPr>
      <w:r>
        <w:rPr>
          <w:color w:val="2D2D2D"/>
        </w:rPr>
        <w:t>Le Contrôleur consulte la list</w:t>
      </w:r>
      <w:r>
        <w:rPr>
          <w:color w:val="2D2D2D"/>
        </w:rPr>
        <w:t>e des dépenses en attente.</w:t>
      </w:r>
    </w:p>
    <w:p w:rsidR="00F707C3" w:rsidRDefault="00140A7C">
      <w:pPr>
        <w:pStyle w:val="Paragraphedeliste"/>
        <w:numPr>
          <w:ilvl w:val="0"/>
          <w:numId w:val="2"/>
        </w:numPr>
      </w:pPr>
      <w:r>
        <w:rPr>
          <w:color w:val="2D2D2D"/>
        </w:rPr>
        <w:t>Il sélectionne Valider ou Rejeter selon l’analyse.</w:t>
      </w:r>
    </w:p>
    <w:p w:rsidR="00F707C3" w:rsidRDefault="00140A7C">
      <w:pPr>
        <w:pStyle w:val="Paragraphedeliste"/>
        <w:numPr>
          <w:ilvl w:val="0"/>
          <w:numId w:val="2"/>
        </w:numPr>
      </w:pPr>
      <w:r>
        <w:rPr>
          <w:color w:val="2D2D2D"/>
        </w:rPr>
        <w:t>En cas de rejet, un commentaire justificatif est obligatoire.</w:t>
      </w:r>
    </w:p>
    <w:p w:rsidR="00F707C3" w:rsidRDefault="00140A7C">
      <w:pPr>
        <w:pStyle w:val="Paragraphedeliste"/>
        <w:numPr>
          <w:ilvl w:val="0"/>
          <w:numId w:val="2"/>
        </w:numPr>
      </w:pPr>
      <w:r>
        <w:rPr>
          <w:color w:val="2D2D2D"/>
        </w:rPr>
        <w:t>Le statut mis à jour est immédiatement visible par l’Administrateur.</w:t>
      </w:r>
    </w:p>
    <w:p w:rsidR="00F707C3" w:rsidRDefault="00F707C3">
      <w:pPr>
        <w:spacing w:after="200"/>
      </w:pPr>
    </w:p>
    <w:p w:rsidR="00F707C3" w:rsidRDefault="00140A7C">
      <w:pPr>
        <w:pStyle w:val="Titre1"/>
        <w:shd w:val="clear" w:color="auto" w:fill="1B3A6B"/>
        <w:ind w:left="200" w:right="200"/>
      </w:pPr>
      <w:r>
        <w:rPr>
          <w:color w:val="C9A84C"/>
        </w:rPr>
        <w:t xml:space="preserve">8.  </w:t>
      </w:r>
      <w:r>
        <w:t>Rapports</w:t>
      </w:r>
    </w:p>
    <w:p w:rsidR="00F707C3" w:rsidRDefault="00F707C3">
      <w:pPr>
        <w:spacing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026"/>
      </w:tblGrid>
      <w:tr w:rsidR="00F707C3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4" w:space="0" w:color="1B3A6B"/>
              <w:left w:val="single" w:sz="4" w:space="0" w:color="1B3A6B"/>
              <w:bottom w:val="single" w:sz="4" w:space="0" w:color="1B3A6B"/>
              <w:right w:val="single" w:sz="4" w:space="0" w:color="1B3A6B"/>
            </w:tcBorders>
            <w:shd w:val="clear" w:color="auto" w:fill="1B3A6B"/>
            <w:tcMar>
              <w:top w:w="100" w:type="dxa"/>
              <w:left w:w="180" w:type="dxa"/>
              <w:bottom w:w="100" w:type="dxa"/>
              <w:right w:w="180" w:type="dxa"/>
            </w:tcMar>
          </w:tcPr>
          <w:p w:rsidR="00F707C3" w:rsidRDefault="00140A7C">
            <w:r>
              <w:rPr>
                <w:b/>
                <w:bCs/>
                <w:color w:val="FFFFFF"/>
              </w:rPr>
              <w:t>Format</w:t>
            </w:r>
          </w:p>
        </w:tc>
        <w:tc>
          <w:tcPr>
            <w:tcW w:w="6026" w:type="dxa"/>
            <w:tcBorders>
              <w:top w:val="single" w:sz="4" w:space="0" w:color="1B3A6B"/>
              <w:left w:val="single" w:sz="4" w:space="0" w:color="1B3A6B"/>
              <w:bottom w:val="single" w:sz="4" w:space="0" w:color="1B3A6B"/>
              <w:right w:val="single" w:sz="4" w:space="0" w:color="1B3A6B"/>
            </w:tcBorders>
            <w:shd w:val="clear" w:color="auto" w:fill="1B3A6B"/>
            <w:tcMar>
              <w:top w:w="100" w:type="dxa"/>
              <w:left w:w="180" w:type="dxa"/>
              <w:bottom w:w="100" w:type="dxa"/>
              <w:right w:w="180" w:type="dxa"/>
            </w:tcMar>
          </w:tcPr>
          <w:p w:rsidR="00F707C3" w:rsidRDefault="00140A7C">
            <w:r>
              <w:rPr>
                <w:b/>
                <w:bCs/>
                <w:color w:val="FFFFFF"/>
              </w:rPr>
              <w:t>Description</w:t>
            </w:r>
          </w:p>
        </w:tc>
      </w:tr>
      <w:tr w:rsidR="00F707C3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5CDD9"/>
              <w:left w:val="single" w:sz="1" w:space="0" w:color="C5CDD9"/>
              <w:bottom w:val="single" w:sz="1" w:space="0" w:color="C5CDD9"/>
              <w:right w:val="single" w:sz="1" w:space="0" w:color="C5CDD9"/>
            </w:tcBorders>
            <w:shd w:val="clear" w:color="auto" w:fill="FFFFFF"/>
            <w:tcMar>
              <w:top w:w="80" w:type="dxa"/>
              <w:left w:w="180" w:type="dxa"/>
              <w:bottom w:w="80" w:type="dxa"/>
              <w:right w:w="180" w:type="dxa"/>
            </w:tcMar>
          </w:tcPr>
          <w:p w:rsidR="00F707C3" w:rsidRDefault="00140A7C">
            <w:r>
              <w:rPr>
                <w:b/>
                <w:bCs/>
                <w:color w:val="1B3A6B"/>
                <w:sz w:val="21"/>
                <w:szCs w:val="21"/>
              </w:rPr>
              <w:t>PDF</w:t>
            </w:r>
          </w:p>
        </w:tc>
        <w:tc>
          <w:tcPr>
            <w:tcW w:w="6026" w:type="dxa"/>
            <w:tcBorders>
              <w:top w:val="single" w:sz="1" w:space="0" w:color="C5CDD9"/>
              <w:left w:val="single" w:sz="1" w:space="0" w:color="C5CDD9"/>
              <w:bottom w:val="single" w:sz="1" w:space="0" w:color="C5CDD9"/>
              <w:right w:val="single" w:sz="1" w:space="0" w:color="C5CDD9"/>
            </w:tcBorders>
            <w:shd w:val="clear" w:color="auto" w:fill="FFFFFF"/>
            <w:tcMar>
              <w:top w:w="80" w:type="dxa"/>
              <w:left w:w="180" w:type="dxa"/>
              <w:bottom w:w="80" w:type="dxa"/>
              <w:right w:w="180" w:type="dxa"/>
            </w:tcMar>
          </w:tcPr>
          <w:p w:rsidR="00F707C3" w:rsidRDefault="00140A7C">
            <w:pPr>
              <w:spacing w:before="30" w:after="30"/>
            </w:pPr>
            <w:r>
              <w:rPr>
                <w:color w:val="2D2D2D"/>
                <w:sz w:val="21"/>
                <w:szCs w:val="21"/>
              </w:rPr>
              <w:t>Généré via ReportLab avec mise en page institutionnelle.</w:t>
            </w:r>
          </w:p>
          <w:p w:rsidR="00F707C3" w:rsidRDefault="00140A7C">
            <w:pPr>
              <w:spacing w:before="30" w:after="30"/>
            </w:pPr>
            <w:r>
              <w:rPr>
                <w:color w:val="2D2D2D"/>
                <w:sz w:val="21"/>
                <w:szCs w:val="21"/>
              </w:rPr>
              <w:t>Adapté pour l’archivage et la diffusion officielle.</w:t>
            </w:r>
          </w:p>
        </w:tc>
      </w:tr>
      <w:tr w:rsidR="00F707C3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5CDD9"/>
              <w:left w:val="single" w:sz="1" w:space="0" w:color="C5CDD9"/>
              <w:bottom w:val="single" w:sz="1" w:space="0" w:color="C5CDD9"/>
              <w:right w:val="single" w:sz="1" w:space="0" w:color="C5CDD9"/>
            </w:tcBorders>
            <w:shd w:val="clear" w:color="auto" w:fill="EFF3FA"/>
            <w:tcMar>
              <w:top w:w="80" w:type="dxa"/>
              <w:left w:w="180" w:type="dxa"/>
              <w:bottom w:w="80" w:type="dxa"/>
              <w:right w:w="180" w:type="dxa"/>
            </w:tcMar>
          </w:tcPr>
          <w:p w:rsidR="00F707C3" w:rsidRDefault="00140A7C">
            <w:r>
              <w:rPr>
                <w:b/>
                <w:bCs/>
                <w:color w:val="1B3A6B"/>
                <w:sz w:val="21"/>
                <w:szCs w:val="21"/>
              </w:rPr>
              <w:t>Excel</w:t>
            </w:r>
          </w:p>
        </w:tc>
        <w:tc>
          <w:tcPr>
            <w:tcW w:w="6026" w:type="dxa"/>
            <w:tcBorders>
              <w:top w:val="single" w:sz="1" w:space="0" w:color="C5CDD9"/>
              <w:left w:val="single" w:sz="1" w:space="0" w:color="C5CDD9"/>
              <w:bottom w:val="single" w:sz="1" w:space="0" w:color="C5CDD9"/>
              <w:right w:val="single" w:sz="1" w:space="0" w:color="C5CDD9"/>
            </w:tcBorders>
            <w:shd w:val="clear" w:color="auto" w:fill="EFF3FA"/>
            <w:tcMar>
              <w:top w:w="80" w:type="dxa"/>
              <w:left w:w="180" w:type="dxa"/>
              <w:bottom w:w="80" w:type="dxa"/>
              <w:right w:w="180" w:type="dxa"/>
            </w:tcMar>
          </w:tcPr>
          <w:p w:rsidR="00F707C3" w:rsidRDefault="00140A7C">
            <w:pPr>
              <w:spacing w:before="30" w:after="30"/>
            </w:pPr>
            <w:r>
              <w:rPr>
                <w:color w:val="2D2D2D"/>
                <w:sz w:val="21"/>
                <w:szCs w:val="21"/>
              </w:rPr>
              <w:t>Export via Openpyxl pour analyses détaillées.</w:t>
            </w:r>
          </w:p>
          <w:p w:rsidR="00F707C3" w:rsidRDefault="00140A7C">
            <w:pPr>
              <w:spacing w:before="30" w:after="30"/>
            </w:pPr>
            <w:r>
              <w:rPr>
                <w:color w:val="2D2D2D"/>
                <w:sz w:val="21"/>
                <w:szCs w:val="21"/>
              </w:rPr>
              <w:lastRenderedPageBreak/>
              <w:t>Idéal pour retraitements et tableaux croisés.</w:t>
            </w:r>
          </w:p>
        </w:tc>
      </w:tr>
    </w:tbl>
    <w:p w:rsidR="00F707C3" w:rsidRDefault="00F707C3">
      <w:pPr>
        <w:spacing w:after="120"/>
      </w:pPr>
    </w:p>
    <w:p w:rsidR="00F707C3" w:rsidRDefault="00140A7C">
      <w:pPr>
        <w:spacing w:before="60" w:after="60"/>
        <w:ind w:left="200"/>
      </w:pPr>
      <w:r>
        <w:rPr>
          <w:color w:val="2D2D2D"/>
        </w:rPr>
        <w:t>Les rapports sont téléchargeables directement depuis la section Rapports.</w:t>
      </w:r>
    </w:p>
    <w:p w:rsidR="00F707C3" w:rsidRDefault="00F707C3">
      <w:pPr>
        <w:spacing w:after="200"/>
      </w:pPr>
    </w:p>
    <w:p w:rsidR="00F707C3" w:rsidRDefault="00140A7C">
      <w:pPr>
        <w:pStyle w:val="Titre1"/>
        <w:shd w:val="clear" w:color="auto" w:fill="1B3A6B"/>
        <w:ind w:left="200" w:right="200"/>
      </w:pPr>
      <w:r>
        <w:rPr>
          <w:color w:val="C9A84C"/>
        </w:rPr>
        <w:t xml:space="preserve">9.  </w:t>
      </w:r>
      <w:r>
        <w:t>Paramètres et sécurité</w:t>
      </w:r>
    </w:p>
    <w:p w:rsidR="00F707C3" w:rsidRDefault="00F707C3">
      <w:pPr>
        <w:spacing w:after="80"/>
      </w:pPr>
    </w:p>
    <w:p w:rsidR="00F707C3" w:rsidRDefault="00140A7C">
      <w:pPr>
        <w:pStyle w:val="Paragraphedeliste"/>
        <w:numPr>
          <w:ilvl w:val="0"/>
          <w:numId w:val="2"/>
        </w:numPr>
      </w:pPr>
      <w:r>
        <w:rPr>
          <w:color w:val="2D2D2D"/>
        </w:rPr>
        <w:t>Modification du mot de passe depuis l’espace personnel.</w:t>
      </w:r>
    </w:p>
    <w:p w:rsidR="00F707C3" w:rsidRDefault="00140A7C">
      <w:pPr>
        <w:pStyle w:val="Paragraphedeliste"/>
        <w:numPr>
          <w:ilvl w:val="0"/>
          <w:numId w:val="2"/>
        </w:numPr>
      </w:pPr>
      <w:r>
        <w:rPr>
          <w:color w:val="2D2D2D"/>
        </w:rPr>
        <w:t>Gestion centralisée des rôles et des droits d’accès.</w:t>
      </w:r>
    </w:p>
    <w:p w:rsidR="00F707C3" w:rsidRDefault="00140A7C">
      <w:pPr>
        <w:pStyle w:val="Paragraphedeliste"/>
        <w:numPr>
          <w:ilvl w:val="0"/>
          <w:numId w:val="2"/>
        </w:numPr>
      </w:pPr>
      <w:r>
        <w:rPr>
          <w:color w:val="2D2D2D"/>
        </w:rPr>
        <w:t>Conformité institutionnelle assurée par sépa</w:t>
      </w:r>
      <w:r>
        <w:rPr>
          <w:color w:val="2D2D2D"/>
        </w:rPr>
        <w:t>ration stricte des workflows.</w:t>
      </w:r>
    </w:p>
    <w:p w:rsidR="00F707C3" w:rsidRDefault="00F707C3">
      <w:pPr>
        <w:spacing w:after="200"/>
      </w:pPr>
    </w:p>
    <w:p w:rsidR="00F707C3" w:rsidRDefault="00140A7C">
      <w:pPr>
        <w:pStyle w:val="Titre1"/>
        <w:shd w:val="clear" w:color="auto" w:fill="1B3A6B"/>
        <w:ind w:left="200" w:right="200"/>
      </w:pPr>
      <w:r>
        <w:rPr>
          <w:color w:val="C9A84C"/>
        </w:rPr>
        <w:t xml:space="preserve">10.  </w:t>
      </w:r>
      <w:r>
        <w:t>Bonnes pratiques</w:t>
      </w:r>
    </w:p>
    <w:p w:rsidR="00F707C3" w:rsidRDefault="00F707C3">
      <w:pPr>
        <w:spacing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F707C3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C9A84C"/>
              <w:left w:val="single" w:sz="4" w:space="0" w:color="C9A84C"/>
              <w:bottom w:val="single" w:sz="4" w:space="0" w:color="C9A84C"/>
              <w:right w:val="single" w:sz="4" w:space="0" w:color="C9A84C"/>
            </w:tcBorders>
            <w:shd w:val="clear" w:color="auto" w:fill="EFF3FA"/>
            <w:tcMar>
              <w:top w:w="140" w:type="dxa"/>
              <w:left w:w="280" w:type="dxa"/>
              <w:bottom w:w="140" w:type="dxa"/>
              <w:right w:w="280" w:type="dxa"/>
            </w:tcMar>
          </w:tcPr>
          <w:p w:rsidR="00F707C3" w:rsidRDefault="00140A7C">
            <w:pPr>
              <w:spacing w:before="50" w:after="50"/>
            </w:pPr>
            <w:r>
              <w:rPr>
                <w:color w:val="2D2D2D"/>
                <w:sz w:val="21"/>
                <w:szCs w:val="21"/>
              </w:rPr>
              <w:t>✅</w:t>
            </w:r>
            <w:r>
              <w:rPr>
                <w:color w:val="2D2D2D"/>
                <w:sz w:val="21"/>
                <w:szCs w:val="21"/>
              </w:rPr>
              <w:t xml:space="preserve">  Valider ou rejeter les dépenses rapidement pour garantir la transparence.</w:t>
            </w:r>
          </w:p>
          <w:p w:rsidR="00F707C3" w:rsidRDefault="00140A7C">
            <w:pPr>
              <w:spacing w:before="50" w:after="50"/>
            </w:pPr>
            <w:r>
              <w:rPr>
                <w:color w:val="2D2D2D"/>
                <w:sz w:val="21"/>
                <w:szCs w:val="21"/>
              </w:rPr>
              <w:t>✅</w:t>
            </w:r>
            <w:r>
              <w:rPr>
                <w:color w:val="2D2D2D"/>
                <w:sz w:val="21"/>
                <w:szCs w:val="21"/>
              </w:rPr>
              <w:t xml:space="preserve">  Vérifier régulièrement les rapports pour suivre l’évolution budgétaire.</w:t>
            </w:r>
          </w:p>
          <w:p w:rsidR="00F707C3" w:rsidRDefault="00140A7C">
            <w:pPr>
              <w:spacing w:before="50" w:after="50"/>
            </w:pPr>
            <w:r>
              <w:rPr>
                <w:color w:val="2D2D2D"/>
                <w:sz w:val="21"/>
                <w:szCs w:val="21"/>
              </w:rPr>
              <w:t>✅</w:t>
            </w:r>
            <w:r>
              <w:rPr>
                <w:color w:val="2D2D2D"/>
                <w:sz w:val="21"/>
                <w:szCs w:val="21"/>
              </w:rPr>
              <w:t xml:space="preserve">  Respecter la séparation des rôles afin d’éviter tout conflit d’intérêts.</w:t>
            </w:r>
          </w:p>
        </w:tc>
      </w:tr>
    </w:tbl>
    <w:p w:rsidR="00F707C3" w:rsidRDefault="00F707C3">
      <w:pPr>
        <w:spacing w:after="200"/>
      </w:pPr>
    </w:p>
    <w:p w:rsidR="00F707C3" w:rsidRDefault="00140A7C">
      <w:pPr>
        <w:pStyle w:val="Titre1"/>
        <w:shd w:val="clear" w:color="auto" w:fill="1B3A6B"/>
        <w:ind w:left="200" w:right="200"/>
      </w:pPr>
      <w:r>
        <w:rPr>
          <w:color w:val="C9A84C"/>
        </w:rPr>
        <w:t xml:space="preserve">11.  </w:t>
      </w:r>
      <w:r>
        <w:t>Support et maintenance</w:t>
      </w:r>
    </w:p>
    <w:p w:rsidR="00F707C3" w:rsidRDefault="00F707C3">
      <w:pPr>
        <w:spacing w:after="80"/>
      </w:pPr>
    </w:p>
    <w:p w:rsidR="00F707C3" w:rsidRDefault="00140A7C">
      <w:pPr>
        <w:pStyle w:val="Paragraphedeliste"/>
        <w:numPr>
          <w:ilvl w:val="0"/>
          <w:numId w:val="2"/>
        </w:numPr>
      </w:pPr>
      <w:r>
        <w:rPr>
          <w:color w:val="2D2D2D"/>
        </w:rPr>
        <w:t xml:space="preserve">En cas de problème technique, contacter l’équipe support </w:t>
      </w:r>
      <w:r w:rsidR="00AC2F7C" w:rsidRPr="00AC2F7C">
        <w:rPr>
          <w:b/>
          <w:color w:val="2E74B5" w:themeColor="accent1" w:themeShade="BF"/>
        </w:rPr>
        <w:t>OLOUOMO LAB</w:t>
      </w:r>
      <w:r w:rsidR="00AC2F7C">
        <w:rPr>
          <w:color w:val="2D2D2D"/>
        </w:rPr>
        <w:t>.</w:t>
      </w:r>
    </w:p>
    <w:p w:rsidR="00F707C3" w:rsidRDefault="00140A7C">
      <w:pPr>
        <w:pStyle w:val="Paragraphedeliste"/>
        <w:numPr>
          <w:ilvl w:val="0"/>
          <w:numId w:val="2"/>
        </w:numPr>
      </w:pPr>
      <w:r>
        <w:rPr>
          <w:color w:val="2D2D2D"/>
        </w:rPr>
        <w:t>Les mises à jour sont déployées automatiquement via la plateforme Render.</w:t>
      </w:r>
    </w:p>
    <w:p w:rsidR="00F707C3" w:rsidRDefault="00140A7C">
      <w:pPr>
        <w:pStyle w:val="Paragraphedeliste"/>
        <w:numPr>
          <w:ilvl w:val="0"/>
          <w:numId w:val="2"/>
        </w:numPr>
      </w:pPr>
      <w:r>
        <w:rPr>
          <w:color w:val="2D2D2D"/>
        </w:rPr>
        <w:t>Les migrations de base de données sont gérées par Alembic de façon transparente.</w:t>
      </w:r>
    </w:p>
    <w:p w:rsidR="00F707C3" w:rsidRDefault="00F707C3">
      <w:pPr>
        <w:spacing w:after="240"/>
      </w:pPr>
      <w:bookmarkStart w:id="0" w:name="_GoBack"/>
      <w:bookmarkEnd w:id="0"/>
    </w:p>
    <w:sectPr w:rsidR="00F707C3">
      <w:headerReference w:type="default" r:id="rId7"/>
      <w:footerReference w:type="default" r:id="rId8"/>
      <w:pgSz w:w="11906" w:h="16838"/>
      <w:pgMar w:top="1300" w:right="1300" w:bottom="1300" w:left="13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40A7C" w:rsidRDefault="00140A7C">
      <w:r>
        <w:separator/>
      </w:r>
    </w:p>
  </w:endnote>
  <w:endnote w:type="continuationSeparator" w:id="0">
    <w:p w:rsidR="00140A7C" w:rsidRDefault="00140A7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707C3" w:rsidRDefault="00140A7C">
    <w:pPr>
      <w:pBdr>
        <w:top w:val="single" w:sz="2" w:space="0" w:color="C5CDD9"/>
      </w:pBdr>
      <w:tabs>
        <w:tab w:val="right" w:pos="9026"/>
      </w:tabs>
      <w:spacing w:before="80"/>
    </w:pPr>
    <w:r>
      <w:rPr>
        <w:i/>
        <w:iCs/>
        <w:color w:val="6B7280"/>
        <w:sz w:val="17"/>
        <w:szCs w:val="17"/>
      </w:rPr>
      <w:t>© Documentation institutionnelle – Usage interne</w:t>
    </w:r>
    <w:r>
      <w:rPr>
        <w:color w:val="6B7280"/>
        <w:sz w:val="17"/>
        <w:szCs w:val="17"/>
      </w:rPr>
      <w:tab/>
      <w:t xml:space="preserve">Page </w:t>
    </w:r>
    <w:r>
      <w:rPr>
        <w:color w:val="1B3A6B"/>
        <w:sz w:val="17"/>
        <w:szCs w:val="17"/>
      </w:rPr>
      <w:fldChar w:fldCharType="begin"/>
    </w:r>
    <w:r>
      <w:rPr>
        <w:color w:val="1B3A6B"/>
        <w:sz w:val="17"/>
        <w:szCs w:val="17"/>
      </w:rPr>
      <w:instrText>PAGE</w:instrText>
    </w:r>
    <w:r w:rsidR="00AC2F7C">
      <w:rPr>
        <w:color w:val="1B3A6B"/>
        <w:sz w:val="17"/>
        <w:szCs w:val="17"/>
      </w:rPr>
      <w:fldChar w:fldCharType="separate"/>
    </w:r>
    <w:r w:rsidR="00AC2F7C">
      <w:rPr>
        <w:noProof/>
        <w:color w:val="1B3A6B"/>
        <w:sz w:val="17"/>
        <w:szCs w:val="17"/>
      </w:rPr>
      <w:t>1</w:t>
    </w:r>
    <w:r>
      <w:rPr>
        <w:color w:val="1B3A6B"/>
        <w:sz w:val="17"/>
        <w:szCs w:val="17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40A7C" w:rsidRDefault="00140A7C">
      <w:r>
        <w:separator/>
      </w:r>
    </w:p>
  </w:footnote>
  <w:footnote w:type="continuationSeparator" w:id="0">
    <w:p w:rsidR="00140A7C" w:rsidRDefault="00140A7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707C3" w:rsidRDefault="00140A7C">
    <w:pPr>
      <w:pBdr>
        <w:bottom w:val="single" w:sz="4" w:space="0" w:color="C9A84C"/>
      </w:pBdr>
    </w:pPr>
    <w:r>
      <w:rPr>
        <w:i/>
        <w:iCs/>
        <w:color w:val="6B7280"/>
        <w:sz w:val="18"/>
        <w:szCs w:val="18"/>
      </w:rPr>
      <w:t>Manuel d'utilisation</w:t>
    </w:r>
    <w:r>
      <w:rPr>
        <w:b/>
        <w:bCs/>
        <w:color w:val="1B3A6B"/>
        <w:sz w:val="18"/>
        <w:szCs w:val="18"/>
      </w:rPr>
      <w:t xml:space="preserve">   •   Application de gestion budgétaire institutionnelle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A762ABD"/>
    <w:multiLevelType w:val="hybridMultilevel"/>
    <w:tmpl w:val="9286A5F8"/>
    <w:lvl w:ilvl="0" w:tplc="C82E3742">
      <w:start w:val="1"/>
      <w:numFmt w:val="bullet"/>
      <w:lvlText w:val="–"/>
      <w:lvlJc w:val="left"/>
      <w:pPr>
        <w:spacing w:before="30" w:after="30"/>
        <w:ind w:left="880" w:hanging="320"/>
      </w:pPr>
      <w:rPr>
        <w:color w:val="6B7280"/>
      </w:rPr>
    </w:lvl>
    <w:lvl w:ilvl="1" w:tplc="2EC0FABC">
      <w:numFmt w:val="decimal"/>
      <w:lvlText w:val=""/>
      <w:lvlJc w:val="left"/>
    </w:lvl>
    <w:lvl w:ilvl="2" w:tplc="9C2A813A">
      <w:numFmt w:val="decimal"/>
      <w:lvlText w:val=""/>
      <w:lvlJc w:val="left"/>
    </w:lvl>
    <w:lvl w:ilvl="3" w:tplc="020E4F12">
      <w:numFmt w:val="decimal"/>
      <w:lvlText w:val=""/>
      <w:lvlJc w:val="left"/>
    </w:lvl>
    <w:lvl w:ilvl="4" w:tplc="FFE469EC">
      <w:numFmt w:val="decimal"/>
      <w:lvlText w:val=""/>
      <w:lvlJc w:val="left"/>
    </w:lvl>
    <w:lvl w:ilvl="5" w:tplc="06D2E06C">
      <w:numFmt w:val="decimal"/>
      <w:lvlText w:val=""/>
      <w:lvlJc w:val="left"/>
    </w:lvl>
    <w:lvl w:ilvl="6" w:tplc="2FBA73EC">
      <w:numFmt w:val="decimal"/>
      <w:lvlText w:val=""/>
      <w:lvlJc w:val="left"/>
    </w:lvl>
    <w:lvl w:ilvl="7" w:tplc="9970008C">
      <w:numFmt w:val="decimal"/>
      <w:lvlText w:val=""/>
      <w:lvlJc w:val="left"/>
    </w:lvl>
    <w:lvl w:ilvl="8" w:tplc="4EF0D842">
      <w:numFmt w:val="decimal"/>
      <w:lvlText w:val=""/>
      <w:lvlJc w:val="left"/>
    </w:lvl>
  </w:abstractNum>
  <w:abstractNum w:abstractNumId="1" w15:restartNumberingAfterBreak="0">
    <w:nsid w:val="65182014"/>
    <w:multiLevelType w:val="hybridMultilevel"/>
    <w:tmpl w:val="A7E8FF54"/>
    <w:lvl w:ilvl="0" w:tplc="BCE29904">
      <w:start w:val="1"/>
      <w:numFmt w:val="bullet"/>
      <w:lvlText w:val="●"/>
      <w:lvlJc w:val="left"/>
      <w:pPr>
        <w:ind w:left="720" w:hanging="360"/>
      </w:pPr>
    </w:lvl>
    <w:lvl w:ilvl="1" w:tplc="BA2CBFE4">
      <w:start w:val="1"/>
      <w:numFmt w:val="bullet"/>
      <w:lvlText w:val="○"/>
      <w:lvlJc w:val="left"/>
      <w:pPr>
        <w:ind w:left="1440" w:hanging="360"/>
      </w:pPr>
    </w:lvl>
    <w:lvl w:ilvl="2" w:tplc="08F88F7A">
      <w:start w:val="1"/>
      <w:numFmt w:val="bullet"/>
      <w:lvlText w:val="■"/>
      <w:lvlJc w:val="left"/>
      <w:pPr>
        <w:ind w:left="2160" w:hanging="360"/>
      </w:pPr>
    </w:lvl>
    <w:lvl w:ilvl="3" w:tplc="AC023D3E">
      <w:start w:val="1"/>
      <w:numFmt w:val="bullet"/>
      <w:lvlText w:val="●"/>
      <w:lvlJc w:val="left"/>
      <w:pPr>
        <w:ind w:left="2880" w:hanging="360"/>
      </w:pPr>
    </w:lvl>
    <w:lvl w:ilvl="4" w:tplc="FD9E18F8">
      <w:start w:val="1"/>
      <w:numFmt w:val="bullet"/>
      <w:lvlText w:val="○"/>
      <w:lvlJc w:val="left"/>
      <w:pPr>
        <w:ind w:left="3600" w:hanging="360"/>
      </w:pPr>
    </w:lvl>
    <w:lvl w:ilvl="5" w:tplc="459CD1EA">
      <w:start w:val="1"/>
      <w:numFmt w:val="bullet"/>
      <w:lvlText w:val="■"/>
      <w:lvlJc w:val="left"/>
      <w:pPr>
        <w:ind w:left="4320" w:hanging="360"/>
      </w:pPr>
    </w:lvl>
    <w:lvl w:ilvl="6" w:tplc="7D4C5500">
      <w:start w:val="1"/>
      <w:numFmt w:val="bullet"/>
      <w:lvlText w:val="●"/>
      <w:lvlJc w:val="left"/>
      <w:pPr>
        <w:ind w:left="5040" w:hanging="360"/>
      </w:pPr>
    </w:lvl>
    <w:lvl w:ilvl="7" w:tplc="5B30C6E4">
      <w:start w:val="1"/>
      <w:numFmt w:val="bullet"/>
      <w:lvlText w:val="●"/>
      <w:lvlJc w:val="left"/>
      <w:pPr>
        <w:ind w:left="5760" w:hanging="360"/>
      </w:pPr>
    </w:lvl>
    <w:lvl w:ilvl="8" w:tplc="D5A491E8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65D2742C"/>
    <w:multiLevelType w:val="hybridMultilevel"/>
    <w:tmpl w:val="F9A85C74"/>
    <w:lvl w:ilvl="0" w:tplc="2188E2DE">
      <w:start w:val="1"/>
      <w:numFmt w:val="decimal"/>
      <w:lvlText w:val="%1."/>
      <w:lvlJc w:val="left"/>
      <w:pPr>
        <w:spacing w:before="50" w:after="50"/>
        <w:ind w:left="640" w:hanging="360"/>
      </w:pPr>
    </w:lvl>
    <w:lvl w:ilvl="1" w:tplc="222EC724">
      <w:numFmt w:val="decimal"/>
      <w:lvlText w:val=""/>
      <w:lvlJc w:val="left"/>
    </w:lvl>
    <w:lvl w:ilvl="2" w:tplc="5E74273C">
      <w:numFmt w:val="decimal"/>
      <w:lvlText w:val=""/>
      <w:lvlJc w:val="left"/>
    </w:lvl>
    <w:lvl w:ilvl="3" w:tplc="6C8E2570">
      <w:numFmt w:val="decimal"/>
      <w:lvlText w:val=""/>
      <w:lvlJc w:val="left"/>
    </w:lvl>
    <w:lvl w:ilvl="4" w:tplc="97FE83A6">
      <w:numFmt w:val="decimal"/>
      <w:lvlText w:val=""/>
      <w:lvlJc w:val="left"/>
    </w:lvl>
    <w:lvl w:ilvl="5" w:tplc="D7FEDCDC">
      <w:numFmt w:val="decimal"/>
      <w:lvlText w:val=""/>
      <w:lvlJc w:val="left"/>
    </w:lvl>
    <w:lvl w:ilvl="6" w:tplc="7E7AA5F4">
      <w:numFmt w:val="decimal"/>
      <w:lvlText w:val=""/>
      <w:lvlJc w:val="left"/>
    </w:lvl>
    <w:lvl w:ilvl="7" w:tplc="09EE4732">
      <w:numFmt w:val="decimal"/>
      <w:lvlText w:val=""/>
      <w:lvlJc w:val="left"/>
    </w:lvl>
    <w:lvl w:ilvl="8" w:tplc="CCC8A784">
      <w:numFmt w:val="decimal"/>
      <w:lvlText w:val=""/>
      <w:lvlJc w:val="left"/>
    </w:lvl>
  </w:abstractNum>
  <w:abstractNum w:abstractNumId="3" w15:restartNumberingAfterBreak="0">
    <w:nsid w:val="6EAC057B"/>
    <w:multiLevelType w:val="hybridMultilevel"/>
    <w:tmpl w:val="E33055AE"/>
    <w:lvl w:ilvl="0" w:tplc="499EBD50">
      <w:start w:val="1"/>
      <w:numFmt w:val="bullet"/>
      <w:lvlText w:val="▸"/>
      <w:lvlJc w:val="left"/>
      <w:pPr>
        <w:spacing w:before="40" w:after="40"/>
        <w:ind w:left="560" w:hanging="320"/>
      </w:pPr>
      <w:rPr>
        <w:color w:val="C9A84C"/>
        <w:sz w:val="20"/>
        <w:szCs w:val="20"/>
      </w:rPr>
    </w:lvl>
    <w:lvl w:ilvl="1" w:tplc="33C09EA6">
      <w:numFmt w:val="decimal"/>
      <w:lvlText w:val=""/>
      <w:lvlJc w:val="left"/>
    </w:lvl>
    <w:lvl w:ilvl="2" w:tplc="D1182E3C">
      <w:numFmt w:val="decimal"/>
      <w:lvlText w:val=""/>
      <w:lvlJc w:val="left"/>
    </w:lvl>
    <w:lvl w:ilvl="3" w:tplc="FD0EB358">
      <w:numFmt w:val="decimal"/>
      <w:lvlText w:val=""/>
      <w:lvlJc w:val="left"/>
    </w:lvl>
    <w:lvl w:ilvl="4" w:tplc="DC727BF6">
      <w:numFmt w:val="decimal"/>
      <w:lvlText w:val=""/>
      <w:lvlJc w:val="left"/>
    </w:lvl>
    <w:lvl w:ilvl="5" w:tplc="FE98D836">
      <w:numFmt w:val="decimal"/>
      <w:lvlText w:val=""/>
      <w:lvlJc w:val="left"/>
    </w:lvl>
    <w:lvl w:ilvl="6" w:tplc="12B4DEEA">
      <w:numFmt w:val="decimal"/>
      <w:lvlText w:val=""/>
      <w:lvlJc w:val="left"/>
    </w:lvl>
    <w:lvl w:ilvl="7" w:tplc="51DE2752">
      <w:numFmt w:val="decimal"/>
      <w:lvlText w:val=""/>
      <w:lvlJc w:val="left"/>
    </w:lvl>
    <w:lvl w:ilvl="8" w:tplc="DC80C944">
      <w:numFmt w:val="decimal"/>
      <w:lvlText w:val=""/>
      <w:lvlJc w:val="left"/>
    </w:lvl>
  </w:abstractNum>
  <w:abstractNum w:abstractNumId="4" w15:restartNumberingAfterBreak="0">
    <w:nsid w:val="7FFA78D9"/>
    <w:multiLevelType w:val="hybridMultilevel"/>
    <w:tmpl w:val="D21AE2A0"/>
    <w:lvl w:ilvl="0" w:tplc="A600ECAE">
      <w:start w:val="1"/>
      <w:numFmt w:val="decimal"/>
      <w:lvlText w:val="%1."/>
      <w:lvlJc w:val="left"/>
      <w:pPr>
        <w:spacing w:before="50" w:after="50"/>
        <w:ind w:left="640" w:hanging="360"/>
      </w:pPr>
    </w:lvl>
    <w:lvl w:ilvl="1" w:tplc="81809980">
      <w:numFmt w:val="decimal"/>
      <w:lvlText w:val=""/>
      <w:lvlJc w:val="left"/>
    </w:lvl>
    <w:lvl w:ilvl="2" w:tplc="605C360E">
      <w:numFmt w:val="decimal"/>
      <w:lvlText w:val=""/>
      <w:lvlJc w:val="left"/>
    </w:lvl>
    <w:lvl w:ilvl="3" w:tplc="0246A82A">
      <w:numFmt w:val="decimal"/>
      <w:lvlText w:val=""/>
      <w:lvlJc w:val="left"/>
    </w:lvl>
    <w:lvl w:ilvl="4" w:tplc="E5FC98AE">
      <w:numFmt w:val="decimal"/>
      <w:lvlText w:val=""/>
      <w:lvlJc w:val="left"/>
    </w:lvl>
    <w:lvl w:ilvl="5" w:tplc="C6E26282">
      <w:numFmt w:val="decimal"/>
      <w:lvlText w:val=""/>
      <w:lvlJc w:val="left"/>
    </w:lvl>
    <w:lvl w:ilvl="6" w:tplc="6E787C50">
      <w:numFmt w:val="decimal"/>
      <w:lvlText w:val=""/>
      <w:lvlJc w:val="left"/>
    </w:lvl>
    <w:lvl w:ilvl="7" w:tplc="86B09A3C">
      <w:numFmt w:val="decimal"/>
      <w:lvlText w:val=""/>
      <w:lvlJc w:val="left"/>
    </w:lvl>
    <w:lvl w:ilvl="8" w:tplc="5A944776">
      <w:numFmt w:val="decimal"/>
      <w:lvlText w:val=""/>
      <w:lvlJc w:val="left"/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0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707C3"/>
    <w:rsid w:val="00140A7C"/>
    <w:rsid w:val="00AC2F7C"/>
    <w:rsid w:val="00F707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BE69DD"/>
  <w15:docId w15:val="{0AC49BC7-8DF5-4506-8FC8-AD0C58FA51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2"/>
        <w:szCs w:val="22"/>
        <w:lang w:val="fr-FR" w:eastAsia="fr-F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itre1">
    <w:name w:val="heading 1"/>
    <w:qFormat/>
    <w:pPr>
      <w:spacing w:before="400" w:after="40"/>
      <w:outlineLvl w:val="0"/>
    </w:pPr>
    <w:rPr>
      <w:b/>
      <w:bCs/>
      <w:color w:val="FFFFFF"/>
      <w:sz w:val="28"/>
      <w:szCs w:val="28"/>
    </w:rPr>
  </w:style>
  <w:style w:type="paragraph" w:styleId="Titre2">
    <w:name w:val="heading 2"/>
    <w:qFormat/>
    <w:pPr>
      <w:spacing w:before="280" w:after="100"/>
      <w:outlineLvl w:val="1"/>
    </w:pPr>
    <w:rPr>
      <w:b/>
      <w:bCs/>
      <w:color w:val="1B3A6B"/>
      <w:sz w:val="24"/>
      <w:szCs w:val="24"/>
    </w:rPr>
  </w:style>
  <w:style w:type="paragraph" w:styleId="Titre3">
    <w:name w:val="heading 3"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qFormat/>
    <w:pPr>
      <w:outlineLvl w:val="3"/>
    </w:pPr>
    <w:rPr>
      <w:i/>
      <w:iCs/>
      <w:color w:val="2E74B5"/>
    </w:rPr>
  </w:style>
  <w:style w:type="paragraph" w:styleId="Titre5">
    <w:name w:val="heading 5"/>
    <w:qFormat/>
    <w:pPr>
      <w:outlineLvl w:val="4"/>
    </w:pPr>
    <w:rPr>
      <w:color w:val="2E74B5"/>
    </w:rPr>
  </w:style>
  <w:style w:type="paragraph" w:styleId="Titre6">
    <w:name w:val="heading 6"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  <w:rPr>
      <w:sz w:val="20"/>
      <w:szCs w:val="20"/>
    </w:rPr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  <w:rPr>
      <w:sz w:val="20"/>
      <w:szCs w:val="20"/>
    </w:rPr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479</Words>
  <Characters>2639</Characters>
  <Application>Microsoft Office Word</Application>
  <DocSecurity>0</DocSecurity>
  <Lines>21</Lines>
  <Paragraphs>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Administrator</cp:lastModifiedBy>
  <cp:revision>2</cp:revision>
  <dcterms:created xsi:type="dcterms:W3CDTF">2026-03-31T16:49:00Z</dcterms:created>
  <dcterms:modified xsi:type="dcterms:W3CDTF">2026-03-31T16:49:00Z</dcterms:modified>
</cp:coreProperties>
</file>