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УДК: 004.855.5</w:t>
      </w:r>
      <w:r w:rsidDel="00000000" w:rsidR="00000000" w:rsidRPr="00000000">
        <w:rPr>
          <w:rtl w:val="0"/>
        </w:rPr>
      </w:r>
    </w:p>
    <w:bookmarkStart w:colFirst="0" w:colLast="0" w:name="mm9ikhz4tcow" w:id="0"/>
    <w:bookmarkEnd w:id="0"/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40" w:lineRule="auto"/>
        <w:ind w:left="0" w:right="0" w:firstLine="567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Интерпретируемая реконструкция нейтронных спектров на основе двухэтапного обучения ANFIS с регуляризацией Тихонова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К. А. Чижов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А. Д. Лебедев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Ю. В. Трофимов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1,2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Е. С. Кондрашова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М. Д. Лебедев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А. С. Ильин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t>1Объединённый институт ядерных исследований, Россия, 141980, г. Дубна, ул. Жолио-Кюри, 6</w:t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t>2Государственный университет «Дубна», Россия, 141980, г. Дубна</w:t>
        <w:br/>
        <w:t>3НИТУ «МИСиС», Россия, 119049, г. Москва</w:t>
        <w:br/>
        <w:t>4Университет Иннополис, Россия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Постановка задачи.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Восстановление энергетического спектра нейтронов по показаниям многошарового спектрометра Боннера сводится к некорректно поставленной обратной задаче </w:t>
      </w:r>
      <w:r w:rsidDel="00000000" w:rsidR="00000000" w:rsidRPr="00000000">
        <w:rPr>
          <w:rtl w:val="0"/>
        </w:rPr>
        <w:t xml:space="preserve">[1]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измерения описываются системой интегральных уравнений Фредгольма первого рода и допускают множество неустойчивых решений при наличии шумов и неопределенностей матрицы чувствительности.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Математическая модель измерений.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Пусть b ∈ R^10 — вектор откликов сфер, y ∈ R^60 — искомый спектр, A ∈ R^{10×60} — матрица чувствительности. После дискретизации по энергии получаем линейную модель b ≈ Ay, где плохая обусловленность A приводит к усилению ошибок и появлению нефизичных осцилляций решения.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Гибридная модель реконструкции.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Для аппроксимации обратного отображения f: R^10 → R^60 используется нейро-нечеткая система вывода ANFIS (Sugeno-типа) с гауссовскими функциями принадлежности и линейной частью в заключительном слое. Интерпретируемость обеспечивается структурой модели в виде набора нечетких правил. Дополнительно учитывается подход к верифицируемой объяснимости нейро-нечетких моделей в архитектуре GD-ANFIS/SHAP для парадигмы XAI 2.0 [1].</w:t>
      </w:r>
    </w:p>
    <w:p>
      <w:pPr>
        <w:jc w:val="both"/>
      </w:pPr>
      <w:r>
        <w:t>Формально используемое отображение ANFIS:</w:t>
      </w:r>
    </w:p>
    <w:p>
      <w:pPr>
        <w:pStyle w:val="BodyText"/>
        <w:spacing w:before="0" w:after="0"/>
        <w:ind w:left="0" w:right="0" w:firstLine="0"/>
        <w:jc w:val="center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y</m:t>
              </m:r>
            </m:e>
          </m:acc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jc w:val="both"/>
      </w:pPr>
      <w:r>
        <w:t>Функция потерь этапа 1 (AI-часть):</w:t>
      </w:r>
    </w:p>
    <w:p>
      <w:pPr>
        <w:pStyle w:val="BodyText"/>
        <w:spacing w:before="0" w:after="0"/>
        <w:ind w:left="0" w:right="0"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main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"/>
                </m:rPr>
                <m:t>y</m:t>
              </m:r>
            </m:e>
            <m:sub>
              <m:r>
                <m:t>i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jc w:val="both"/>
      </w:pPr>
      <w:r>
        <w:t>SHAP-регуляризация признаковой интерпретируемости:</w:t>
      </w:r>
    </w:p>
    <w:p>
      <w:pPr>
        <w:pStyle w:val="FirstParagraph"/>
        <w:spacing w:before="0" w:after="0"/>
        <w:ind w:left="0" w:right="0"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SHAP</m:t>
              </m:r>
            </m:sub>
          </m:sSub>
          <m:r>
            <m:rPr>
              <m:sty m:val="p"/>
            </m:rPr>
            <m:t>=</m:t>
          </m:r>
          <m:r>
            <m:t>α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sparsity</m:t>
              </m:r>
            </m:sub>
          </m:sSub>
          <m:r>
            <m:rPr>
              <m:sty m:val="p"/>
            </m:rPr>
            <m:t>+</m:t>
          </m:r>
          <m:r>
            <m:t>β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consistency</m:t>
              </m:r>
            </m:sub>
          </m:sSub>
          <m:r>
            <m:rPr>
              <m:sty m:val="p"/>
            </m:rPr>
            <m:t>+</m:t>
          </m:r>
          <m:r>
            <m:t>δ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faithfulness</m:t>
              </m:r>
            </m:sub>
          </m:sSub>
          <m:r>
            <m:rPr>
              <m:sty m:val="p"/>
            </m:rPr>
            <m:t>+</m:t>
          </m:r>
          <m:r>
            <m:t>η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stability</m:t>
              </m:r>
            </m:sub>
          </m:sSub>
          <m:r>
            <m:rPr>
              <m:sty m:val="p"/>
            </m:rPr>
            <m:t>.</m:t>
          </m:r>
        </m:oMath>
      </m:oMathPara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Регуляризация Тихонова в обучении.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подавления неустойчивых спектральных артефактов и повышения физической правдоподобности решения используется тихоновская регуляризация формы спектра по энергетической оси. На этапе донастройки параметры θ оптимизируются по функционалу L(θ)=||Aŷ(x;θ)−b||_2^2+λ||Lŷ(x;θ)||_2^2, где λ&gt;0 — коэффициент регуляризации, L — оператор гладкости (первая или вторая разность по энергетическим бинам). Например, при выборе второй разности: (D2 y)_k = y_{k+2}−2y_{k+1}+y_k. Использование регуляризации Тихонова согласуется с классическими методами развертки спектров по данным сфер Боннера и показало эффективность в задачах нейтронной спектрометрии [2].</w:t>
      </w:r>
    </w:p>
    <w:p>
      <w:pPr>
        <w:jc w:val="both"/>
      </w:pPr>
      <w:r>
        <w:t>Формально оператор гладкости и тихоновский штраф:</w:t>
      </w:r>
    </w:p>
    <w:p>
      <w:pPr>
        <w:pStyle w:val="BodyText"/>
        <w:spacing w:before="0" w:after="0"/>
        <w:ind w:left="0" w:right="0" w:firstLine="0"/>
        <w:jc w:val="center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  <w:spacing w:before="0" w:after="0"/>
        <w:ind w:left="0" w:right="0" w:firstLine="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Tikh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D</m:t>
              </m:r>
            </m:e>
            <m:sub>
              <m:r>
                <m:t>p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</m:e>
            <m:sub>
              <m:r>
                <m:t>i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jc w:val="both"/>
      </w:pPr>
      <w:r>
        <w:t>Итоговая функция потерь второго этапа обучения:</w:t>
      </w:r>
    </w:p>
    <w:p>
      <w:pPr>
        <w:pStyle w:val="FirstParagraph"/>
        <w:spacing w:before="0" w:after="0"/>
        <w:ind w:left="0" w:right="0"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main</m:t>
              </m:r>
            </m:sub>
          </m:sSub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⋅</m:t>
          </m:r>
          <m:sSubSup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SHAP</m:t>
              </m:r>
            </m:sub>
            <m:sup>
              <m:r>
                <m:rPr>
                  <m:nor/>
                  <m:sty m:val="p"/>
                </m:rPr>
                <m:t>norm</m:t>
              </m:r>
            </m:sup>
          </m:sSubSup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Tikh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jc w:val="both"/>
      </w:pPr>
      <w:r>
        <w:t>Полученные результаты исследования. На тестовой выборке N=75 получены метрики: MSE=0.0106, RMSE=0.1030, MAE=0.0486, R2_weighted=0.8368, R2_mean=0.5560. По энергетическим диапазонам R2: 0.4734 (бины 0-19), 0.6774 (20-39), 0.5173 (40-59). В Monte Carlo-анализе устойчивости (1000 прогонов) при росте погрешности входов от 0.5% до 10% среднее стандартное отклонение восстановленного спектра выросло от 3.85×10^-5 до 7.58×10^-4, максимальное — от 2.16×10^-4 до 4.17×10^-3.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План исследований.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Предполагается провести расширенное сравнение конфигураций регуляризации (выбор L, подбор λ, контроль неотрицательности спектра), а также проанализировать вклад каналов измерения в рамках концепции верифицируемой объяснимости (XAI 2.0).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Работа выполнена в рамках государственного задания Министерства науки и высшего образования Российской Федерации (тема № 124112200072-2).</w:t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Литература</w:t>
      </w:r>
      <w:r w:rsidDel="00000000" w:rsidR="00000000" w:rsidRPr="00000000">
        <w:rPr>
          <w:rtl w:val="0"/>
        </w:rPr>
      </w:r>
    </w:p>
    <w:bookmarkStart w:colFirst="0" w:colLast="0" w:name="8a247wpe05y7" w:id="1"/>
    <w:bookmarkEnd w:id="1"/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Трофимов Ю. В., Лебедев А. Д., Ильин А. С., Аверкин А. Н. Ядро верифицируемой объяснимости: гибридная архитектура GD-ANFIS/SHAP для XAI 2.0 // Электронные библиотеки. 2025. Т. 28, № 5. С. 1230–1252. DOI: 10.26907/1562-5419-2025-28-5-1230-1252.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Chizhov K., Beskrovnaya L., Chizhov A. Neutron Spectra Unfolding from Bonner Spectrometer Readings by the Regularization Method Using the Legendre Polynomials // Physics of Elementary Particles and Atomic Nuclei, Letters. 2024. DOI: 10.1134/S1063779624030298.</w:t>
      </w:r>
    </w:p>
    <w:sectPr>
      <w:headerReference r:id="rId6" w:type="default"/>
      <w:footerReference r:id="rId7" w:type="default"/>
      <w:pgSz w:h="16838" w:w="11906" w:orient="portrait"/>
      <w:pgMar w:bottom="1247" w:top="1021" w:left="1021" w:right="102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567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––––––––</w:t>
    </w:r>
  </w:p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567"/>
      <w:jc w:val="center"/>
      <w:rPr>
        <w:rFonts w:ascii="Arial" w:cs="Arial" w:eastAsia="Arial" w:hAnsi="Arial"/>
        <w:b w:val="0"/>
        <w:bCs w:val="0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567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singl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07" w:hanging="360"/>
      </w:pPr>
      <w:rPr/>
    </w:lvl>
    <w:lvl w:ilvl="2">
      <w:start w:val="1"/>
      <w:numFmt w:val="lowerRoman"/>
      <w:lvlText w:val="%3."/>
      <w:lvlJc w:val="right"/>
      <w:pPr>
        <w:ind w:left="2727" w:hanging="180"/>
      </w:pPr>
      <w:rPr/>
    </w:lvl>
    <w:lvl w:ilvl="3">
      <w:start w:val="1"/>
      <w:numFmt w:val="decimal"/>
      <w:lvlText w:val="%4."/>
      <w:lvlJc w:val="left"/>
      <w:pPr>
        <w:ind w:left="3447" w:hanging="36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/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."/>
      <w:lvlJc w:val="left"/>
      <w:pPr>
        <w:ind w:left="5607" w:hanging="360"/>
      </w:pPr>
      <w:rPr/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ind w:firstLine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