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УДК: 004.855.5</w:t>
      </w:r>
      <w:r w:rsidDel="00000000" w:rsidR="00000000" w:rsidRPr="00000000">
        <w:rPr>
          <w:rtl w:val="0"/>
        </w:rPr>
      </w:r>
    </w:p>
    <w:bookmarkStart w:colFirst="0" w:colLast="0" w:name="mm9ikhz4tcow" w:id="0"/>
    <w:bookmarkEnd w:id="0"/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Интерпретируемая реконструкция нейтронных спектров на основе двухэтапного обучения ANFIS с регуляризацией Тихонова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К. А. Чижов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Ю. В. Трофимов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Е. С. Кондрашова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С. Ильин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>
      <w:pPr>
        <w:jc w:val="center"/>
      </w:pPr>
      <w:r>
        <w:rPr>
          <w:vertAlign w:val="superscript"/>
        </w:rPr>
        <w:t>1</w:t>
      </w:r>
      <w:r>
        <w:t xml:space="preserve"> Объединенный институт ядерных исследований</w:t>
      </w:r>
    </w:p>
    <w:p>
      <w:pPr>
        <w:jc w:val="center"/>
      </w:pPr>
      <w:r>
        <w:rPr>
          <w:vertAlign w:val="superscript"/>
        </w:rPr>
        <w:t>2</w:t>
      </w:r>
      <w:r>
        <w:t xml:space="preserve"> Государственный университет «Дубна»</w:t>
      </w:r>
    </w:p>
    <w:p>
      <w:pPr>
        <w:jc w:val="center"/>
      </w:pPr>
      <w:r>
        <w:rPr>
          <w:vertAlign w:val="superscript"/>
        </w:rPr>
        <w:t>3</w:t>
      </w:r>
      <w:r>
        <w:t xml:space="preserve"> НИТУ «МИСиС»</w:t>
      </w:r>
    </w:p>
    <w:p>
      <w:pPr>
        <w:jc w:val="center"/>
      </w:pPr>
      <w:r>
        <w:rPr>
          <w:vertAlign w:val="superscript"/>
        </w:rPr>
        <w:t>4</w:t>
      </w:r>
      <w:r>
        <w:t xml:space="preserve"> Университет Иннополис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Восстановление энергетического спектра нейтронов по показаниям многошарового спектрометра Боннера сводится к некорректно поставленной обратной задаче </w:t>
      </w: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измерения описываются системой интегральных уравнений Фредгольма первого рода и допускают множество неустойчивых решений при наличии шумов и неопределенностей матрицы чувствительности.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Математическая модель измерений.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Пусть b ∈ R^10 — вектор откликов сфер, y ∈ R^60 — искомый спектр, A ∈ R^{10×60} — матрица чувствительности. После дискретизации по энергии получаем линейную модель b ≈ Ay, где плохая обусловленность A приводит к усилению ошибок и появлению нефизичных осцилляций решения.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модель реконструкции.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аппроксимации обратного отображения f: R^10 → R^60 используется нейро-нечеткая система вывода ANFIS (Sugeno-типа) с гауссовскими функциями принадлежности и линейной частью в заключительном слое. Интерпретируемость обеспечивается структурой модели в виде набора нечетких правил. Дополнительно учитывается подход к верифицируемой объяснимости нейро-нечетких моделей в архитектуре GD-ANFIS/SHAP для парадигмы XAI 2.0 [1].</w:t>
      </w:r>
    </w:p>
    <w:p>
      <w:pPr>
        <w:jc w:val="both"/>
      </w:pPr>
      <w:r>
        <w:t>Формально используемое отображение ANFIS:</w:t>
      </w:r>
    </w:p>
    <w:p>
      <w:pPr>
        <w:pStyle w:val="FirstParagraph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jc w:val="both"/>
      </w:pPr>
      <w:r>
        <w:t>Функция потерь этапа 1 (AI-часть):</w:t>
      </w:r>
    </w:p>
    <w:p>
      <w:pPr>
        <w:pStyle w:val="FirstParagraph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jc w:val="both"/>
      </w:pPr>
      <w:r>
        <w:t>SHAP-регуляризация признаковой интерпретируемости:</w:t>
      </w:r>
    </w:p>
    <w:p>
      <w:pPr>
        <w:pStyle w:val="FirstParagraph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Регуляризация Тихонова в обучении.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подавления неустойчивых спектральных артефактов и повышения физической правдоподобности решения используется тихоновская регуляризация формы спектра по энергетической оси. На этапе донастройки параметры θ оптимизируются по функционалу L(θ)=||Aŷ(x;θ)−b||_2^2+λ||Lŷ(x;θ)||_2^2, где λ&gt;0 — коэффициент регуляризации, L — оператор гладкости (первая или вторая разность по энергетическим бинам). Например, при выборе второй разности: (D2 y)_k = y_{k+2}−2y_{k+1}+y_k. Использование регуляризации Тихонова согласуется с классическими методами развертки спектров по данным сфер Боннера и показало эффективность в задачах нейтронной спектрометрии [2].</w:t>
      </w:r>
    </w:p>
    <w:p>
      <w:pPr>
        <w:jc w:val="both"/>
      </w:pPr>
      <w:r>
        <w:t>Формально оператор гладкости и тихоновский штраф:</w:t>
      </w:r>
    </w:p>
    <w:p>
      <w:pPr>
        <w:pStyle w:val="FirstParagraph"/>
        <w:jc w:val="center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y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 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jc w:val="both"/>
      </w:pPr>
      <w:r>
        <w:t>Итоговая функция потерь второго этапа обучения:</w:t>
      </w:r>
    </w:p>
    <w:p>
      <w:pPr>
        <w:pStyle w:val="FirstParagraph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jc w:val="both"/>
      </w:pPr>
      <w:r>
        <w:t>Полученные результаты исследования. На момент подготовки тезисов на тестовой выборке (N=75) достигнут устойчивый уровень качества: R2_weighted ≈ 0.84, RMSE ≈ 0.10, MAE ≈ 0.05 (MSE ≈ 0.011). По энергетическим диапазонам наблюдается согласованное качество восстановления: R2 около 0.47-0.68. В Monte Carlo-анализе устойчивости (1000 прогонов) при росте погрешности входов от 0.5% до 10% неопределенность реконструкции возрастает контролируемо (среднее std от порядка 10^-5 до 10^-4, максимальное std до порядка 10^-3). Эти значения фиксируют базовый уровень метода; дальнейшее улучшение метрик не меняет математическую постановку и структуру предложенного подхода.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исследований.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Предполагается провести расширенное сравнение конфигураций регуляризации (выбор L, подбор λ, контроль неотрицательности спектра), а также проанализировать вклад каналов измерения в рамках концепции верифицируемой объяснимости (XAI 2.0).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выполнена в рамках государственного задания Министерства науки и высшего образования Российской Федерации (тема № 124112200072-2).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bookmarkStart w:colFirst="0" w:colLast="0" w:name="8a247wpe05y7" w:id="1"/>
    <w:bookmarkEnd w:id="1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1230–1252. DOI: 10.26907/1562-5419-2025-28-5-1230-1252.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>
      <w:headerReference r:id="rId6" w:type="default"/>
      <w:footerReference r:id="rId7" w:type="default"/>
      <w:pgSz w:h="16838" w:w="11906" w:orient="portrait"/>
      <w:pgMar w:bottom="1247" w:top="1021" w:left="1021" w:right="102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––––––––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