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Итоговые материалы по восстановлению спектра нейтронов</w:t>
      </w:r>
    </w:p>
    <w:p>
      <w:pPr>
        <w:pStyle w:val="BodyText"/>
        <w:bidi w:val="0"/>
        <w:spacing w:lineRule="auto" w:line="276" w:before="0" w:after="283"/>
        <w:jc w:val="start"/>
        <w:rPr/>
      </w:pPr>
      <w:r>
        <w:rPr>
          <w:rStyle w:val="Strong"/>
        </w:rPr>
        <w:t>Тема:</w:t>
      </w:r>
      <w:r>
        <w:rPr/>
        <w:t xml:space="preserve"> ANFIS для восстановления спектра нейтронов с SHAP-регуляризацией интерпретируемости и тихоновской регуляризацией гладкости.</w:t>
      </w:r>
    </w:p>
    <w:p>
      <w:pPr>
        <w:pStyle w:val="BodyText"/>
        <w:bidi w:val="0"/>
        <w:spacing w:lineRule="auto" w:line="276" w:before="0" w:after="283"/>
        <w:jc w:val="start"/>
        <w:rPr/>
      </w:pPr>
      <w:r>
        <w:rPr>
          <w:rStyle w:val="Strong"/>
        </w:rPr>
        <w:t>Дата пакета:</w:t>
      </w:r>
      <w:r>
        <w:rPr/>
        <w:t xml:space="preserve"> 19.03.2026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bdr w:val="single" w:sz="24" w:space="9" w:color="5F8AA2"/>
          <w:shd w:fill="F6FAFC" w:val="clear"/>
        </w:rPr>
        <w:t>Что лежит в этом пакете:</w:t>
      </w:r>
      <w:r>
        <w:rPr>
          <w:bdr w:val="single" w:sz="24" w:space="9" w:color="5F8AA2"/>
          <w:shd w:fill="F6FAFC" w:val="clear"/>
        </w:rPr>
        <w:t xml:space="preserve"> основная статья в PDF, техническое приложение с математикой, сводный обзор в PDF и Word, ключевые итоговые рисунки и краткие таблицы с результатами.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1. Короткий итог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Основная рабочая комбинированная модель: </w:t>
      </w:r>
      <w:r>
        <w:rPr>
          <w:rStyle w:val="Strong"/>
        </w:rPr>
        <w:t>SHAP + Tikhonov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По обычным метрикам качества лучший результат на текущем полном тесте показывает </w:t>
      </w:r>
      <w:r>
        <w:rPr>
          <w:rStyle w:val="Strong"/>
        </w:rPr>
        <w:t>SHAP-only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По устойчивости к входному шуму лучший результат даёт </w:t>
      </w:r>
      <w:r>
        <w:rPr>
          <w:rStyle w:val="Strong"/>
        </w:rPr>
        <w:t>Vanilla</w:t>
      </w:r>
      <w:r>
        <w:rPr/>
        <w:t xml:space="preserve">, а среди regularized-вариантов — </w:t>
      </w:r>
      <w:r>
        <w:rPr>
          <w:rStyle w:val="Strong"/>
        </w:rPr>
        <w:t>Tikhonov-only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ind w:hanging="283" w:start="1129"/>
        <w:jc w:val="start"/>
        <w:rPr/>
      </w:pPr>
      <w:r>
        <w:rPr>
          <w:rStyle w:val="Strong"/>
        </w:rPr>
        <w:t>SHAP + Tikhonov</w:t>
      </w:r>
      <w:r>
        <w:rPr/>
        <w:t xml:space="preserve"> остаётся содержательно важной компромиссной версией: хорошая точность, интерпретируемость и физически осмысленный prior гладкости. 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2. Основные метрики</w:t>
      </w:r>
    </w:p>
    <w:tbl>
      <w:tblPr>
        <w:tblW w:w="1021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43"/>
        <w:gridCol w:w="1417"/>
        <w:gridCol w:w="1417"/>
        <w:gridCol w:w="1417"/>
        <w:gridCol w:w="1962"/>
        <w:gridCol w:w="1557"/>
      </w:tblGrid>
      <w:tr>
        <w:trPr/>
        <w:tc>
          <w:tcPr>
            <w:tcW w:w="24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Метод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MSE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RMSE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MAE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R² weighted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20" w:after="420"/>
              <w:jc w:val="center"/>
              <w:rPr/>
            </w:pPr>
            <w:r>
              <w:rPr/>
              <w:t>R² mean</w:t>
            </w:r>
          </w:p>
        </w:tc>
      </w:tr>
      <w:tr>
        <w:trPr/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Vanilla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0.01133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0.10643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>
                <w:rStyle w:val="Strong"/>
              </w:rPr>
              <w:t>0.04652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0.82590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0.54970</w:t>
            </w:r>
          </w:p>
        </w:tc>
      </w:tr>
      <w:tr>
        <w:trPr/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Tikhonov-only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0.01063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0.10310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0.04867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0.83661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0.55591</w:t>
            </w:r>
          </w:p>
        </w:tc>
      </w:tr>
      <w:tr>
        <w:trPr/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SHAP-only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>
                <w:rStyle w:val="Strong"/>
              </w:rPr>
              <w:t>0.01060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>
                <w:rStyle w:val="Strong"/>
              </w:rPr>
              <w:t>0.10294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0.04859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>
                <w:rStyle w:val="Strong"/>
              </w:rPr>
              <w:t>0.83714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>
                <w:rStyle w:val="Strong"/>
              </w:rPr>
              <w:t>0.55845</w:t>
            </w:r>
          </w:p>
        </w:tc>
      </w:tr>
      <w:tr>
        <w:trPr/>
        <w:tc>
          <w:tcPr>
            <w:tcW w:w="24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SHAP + Tikhonov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0.01060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0.10297</w:t>
            </w:r>
          </w:p>
        </w:tc>
        <w:tc>
          <w:tcPr>
            <w:tcW w:w="14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0.04890</w:t>
            </w:r>
          </w:p>
        </w:tc>
        <w:tc>
          <w:tcPr>
            <w:tcW w:w="19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0.83703</w:t>
            </w:r>
          </w:p>
        </w:tc>
        <w:tc>
          <w:tcPr>
            <w:tcW w:w="1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420" w:after="420"/>
              <w:jc w:val="center"/>
              <w:rPr/>
            </w:pPr>
            <w:r>
              <w:rPr/>
              <w:t>0.55409</w:t>
            </w:r>
          </w:p>
        </w:tc>
      </w:tr>
    </w:tbl>
    <w:p>
      <w:pPr>
        <w:pStyle w:val="BodyTextsmall"/>
        <w:bidi w:val="0"/>
        <w:jc w:val="start"/>
        <w:rPr/>
      </w:pPr>
      <w:r>
        <w:rPr/>
        <w:t>Тест проводится на одном и том же held-out наборе из 75 реальных измерений.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3. Практический вывод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Если нужен лучший accuracy на текущем наборе, лидирует SHAP-only.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Если нужен наиболее устойчивый к шуму baseline, лидирует Vanilla.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Если нужна физическая гладкость как главный prior, важен Tikhonov.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ind w:hanging="283" w:start="1129"/>
        <w:jc w:val="start"/>
        <w:rPr/>
      </w:pPr>
      <w:r>
        <w:rPr/>
        <w:t xml:space="preserve">Если нужна интерпретируемость плюс гладкость в одной модели, имеет смысл использовать SHAP + Tikhonov. 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4. Ключевые рисунки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4.1 Сравнение метрик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5917525" cy="10410825"/>
            <wp:effectExtent l="0" t="0" r="0" b="0"/>
            <wp:docPr id="1" name="Image1" title="Метри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Метрики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525" cy="1041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Сравнение качества Vanilla и SHAP + Tikhonov.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4.2 Средние восстановленные спектры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4241125" cy="13896975"/>
            <wp:effectExtent l="0" t="0" r="0" b="0"/>
            <wp:docPr id="2" name="Image2" title="Средние спектр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title="Средние спектры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1125" cy="138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Сравнение средних кривых и bias по энергии.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4.3 Репрезентативный пример спектра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4422100" cy="13887450"/>
            <wp:effectExtent l="0" t="0" r="0" b="0"/>
            <wp:docPr id="3" name="Image3" title="Репрезентативный спек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title="Репрезентативный спектр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00" cy="138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Пример, на котором regularized-вариант даёт более гладкое восстановление.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4.4 Вклад регуляризации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8022550" cy="19288125"/>
            <wp:effectExtent l="0" t="0" r="0" b="0"/>
            <wp:docPr id="4" name="Image4" title="Регуляризац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title="Регуляризация"/>
                    <pic:cNvPicPr>
                      <a:picLocks noChangeAspect="1" noChangeArrowheads="1"/>
                    </pic:cNvPicPr>
                  </pic:nvPicPr>
                  <pic:blipFill>
                    <a:blip r:link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0" cy="1928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Цена по времени и вклад SHAP/Tikhonov в итоговый функционал.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4.5 SHAP-важность каналов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19507200" cy="10601325"/>
            <wp:effectExtent l="0" t="0" r="0" b="0"/>
            <wp:docPr id="5" name="Image5" title="SHAP важност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title="SHAP важность"/>
                    <pic:cNvPicPr>
                      <a:picLocks noChangeAspect="1" noChangeArrowheads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0" cy="1060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Наиболее значимые каналы: Q3, Q5, Q6, Q4, Q1.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4.6 Monte Carlo для основной версии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9032200" cy="11172825"/>
            <wp:effectExtent l="0" t="0" r="0" b="0"/>
            <wp:docPr id="6" name="Image6" title="Monte Car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title="Monte Carlo"/>
                    <pic:cNvPicPr>
                      <a:picLocks noChangeAspect="1" noChangeArrowheads="1"/>
                    </pic:cNvPicPr>
                  </pic:nvPicPr>
                  <pic:blipFill>
                    <a:blip r:link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0" cy="1117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Рост неопределённости реконструкции при увеличении ошибки на входах.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4.7 Полное сравнение четырёх методов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8013025" cy="19288125"/>
            <wp:effectExtent l="0" t="0" r="0" b="0"/>
            <wp:docPr id="7" name="Image7" title="Trade-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title="Trade-off"/>
                    <pic:cNvPicPr>
                      <a:picLocks noChangeAspect="1" noChangeArrowheads="1"/>
                    </pic:cNvPicPr>
                  </pic:nvPicPr>
                  <pic:blipFill>
                    <a:blip r:link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3025" cy="1928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Компромисс между качеством, гладкостью и вычислительной ценой.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4.8 Качество по диапазонам энергий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4422100" cy="10629900"/>
            <wp:effectExtent l="0" t="0" r="0" b="0"/>
            <wp:docPr id="8" name="Image8" title="Бины энерг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title="Бины энергии"/>
                    <pic:cNvPicPr>
                      <a:picLocks noChangeAspect="1" noChangeArrowheads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2100" cy="1062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Поведение моделей в трёх диапазонах энергетических бинов.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start="420"/>
        <w:jc w:val="start"/>
        <w:rPr/>
      </w:pPr>
      <w:r>
        <w:rPr/>
        <w:t>4.9 Сравнение устойчивости между методами</w:t>
      </w:r>
    </w:p>
    <w:p>
      <w:pPr>
        <w:pStyle w:val="BodyText"/>
        <w:bidi w:val="0"/>
        <w:spacing w:before="0" w:after="0"/>
        <w:jc w:val="start"/>
        <w:rPr/>
      </w:pPr>
      <w:r>
        <w:rPr/>
        <w:drawing>
          <wp:inline distT="0" distB="0" distL="0" distR="0">
            <wp:extent cx="28622625" cy="10601325"/>
            <wp:effectExtent l="0" t="0" r="0" b="0"/>
            <wp:docPr id="9" name="Image9" title="Сравнение устойчив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title="Сравнение устойчивости"/>
                    <pic:cNvPicPr>
                      <a:picLocks noChangeAspect="1" noChangeArrowheads="1"/>
                    </pic:cNvPicPr>
                  </pic:nvPicPr>
                  <pic:blipFill>
                    <a:blip r:link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22625" cy="10601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bidi w:val="0"/>
        <w:spacing w:before="0" w:after="210"/>
        <w:ind w:hanging="0" w:start="0" w:end="0"/>
        <w:jc w:val="center"/>
        <w:rPr>
          <w:color w:val="4A4A4A"/>
          <w:sz w:val="17"/>
        </w:rPr>
      </w:pPr>
      <w:r>
        <w:rPr>
          <w:color w:val="4A4A4A"/>
          <w:sz w:val="17"/>
        </w:rPr>
        <w:t>По входному шуму Vanilla наиболее устойчив; среди regularized-вариантов лучше Tikhonov-only.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5. Что отправлять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>
          <w:rStyle w:val="Strong"/>
        </w:rPr>
        <w:t>01_article_full.pdf</w:t>
      </w:r>
      <w:r>
        <w:rPr/>
        <w:t xml:space="preserve"> — основной файл статьи.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>
          <w:rStyle w:val="Strong"/>
        </w:rPr>
        <w:t>03_final_materials_overview.pdf</w:t>
      </w:r>
      <w:r>
        <w:rPr/>
        <w:t xml:space="preserve"> — короткий обзор с рисунками для быстрого просмотра.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>
          <w:rStyle w:val="Strong"/>
        </w:rPr>
        <w:t>03_final_materials_overview.docx</w:t>
      </w:r>
      <w:r>
        <w:rPr/>
        <w:t xml:space="preserve"> — Word-версия того же обзора.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ind w:hanging="283" w:start="1129"/>
        <w:jc w:val="start"/>
        <w:rPr/>
      </w:pPr>
      <w:r>
        <w:rPr>
          <w:rStyle w:val="Strong"/>
        </w:rPr>
        <w:t>02_technical_appendix.pdf</w:t>
      </w:r>
      <w:r>
        <w:rPr/>
        <w:t xml:space="preserve"> — математическое приложение. </w:t>
      </w:r>
    </w:p>
    <w:p>
      <w:pPr>
        <w:pStyle w:val="Heading2"/>
        <w:numPr>
          <w:ilvl w:val="0"/>
          <w:numId w:val="0"/>
        </w:numPr>
        <w:pBdr/>
        <w:bidi w:val="0"/>
        <w:spacing w:before="420" w:after="150"/>
        <w:ind w:start="420"/>
        <w:jc w:val="start"/>
        <w:rPr/>
      </w:pPr>
      <w:r>
        <w:rPr/>
        <w:t>6. Ограничения и честная интерпретация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Прирост от совместного использования SHAP и Tikhonov есть, но он умеренный, а не драматический.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0"/>
        <w:ind w:hanging="283" w:start="1129"/>
        <w:jc w:val="start"/>
        <w:rPr/>
      </w:pPr>
      <w:r>
        <w:rPr/>
        <w:t xml:space="preserve">У regularized-моделей пока остаются отрицательные бины, поэтому для дальнейшей практики полезно добавить явный nonnegativity-штраф.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283"/>
        <w:ind w:hanging="283" w:start="1129"/>
        <w:jc w:val="start"/>
        <w:rPr/>
      </w:pPr>
      <w:r>
        <w:rPr/>
        <w:t xml:space="preserve">Следующие наиболее сильные улучшения по математике: log-energy-aware Tikhonov, band-aware SHAP, и явная неотрицательность спектра.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DejaVu Sans">
    <w:altName w:val="Arial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Noto Sans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9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erif" w:hAnsi="Noto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48" w:before="420" w:after="420"/>
      <w:ind w:start="420" w:end="420"/>
    </w:pPr>
    <w:rPr>
      <w:rFonts w:ascii="DejaVu Sans;Arial;sans-serif" w:hAnsi="DejaVu Sans;Arial;sans-serif" w:eastAsia="DejaVu Sans;Arial;sans-serif" w:cs="DejaVu Sans;Arial;sans-serif"/>
      <w:color w:val="1F1F1F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ind w:start="420"/>
      <w:outlineLvl w:val="0"/>
    </w:pPr>
    <w:rPr>
      <w:rFonts w:ascii="Noto Serif" w:hAnsi="Noto Serif" w:eastAsia="Noto Sans" w:cs="Noto Sans Devanagari"/>
      <w:b/>
      <w:bCs/>
      <w:color w:val="16324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CCD6DD"/>
      </w:pBdr>
      <w:spacing w:before="420" w:after="150"/>
      <w:ind w:start="420"/>
      <w:outlineLvl w:val="1"/>
    </w:pPr>
    <w:rPr>
      <w:rFonts w:ascii="Noto Serif" w:hAnsi="Noto Serif" w:eastAsia="Noto Sans" w:cs="Noto Sans Devanagari"/>
      <w:b/>
      <w:bCs/>
      <w:color w:val="16324F"/>
      <w:sz w:val="27"/>
      <w:szCs w:val="27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start="420"/>
      <w:outlineLvl w:val="2"/>
    </w:pPr>
    <w:rPr>
      <w:rFonts w:ascii="Noto Serif" w:hAnsi="Noto Serif" w:eastAsia="Noto Sans" w:cs="Noto Sans Devanagari"/>
      <w:b/>
      <w:bCs/>
      <w:color w:val="16324F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BodyText">
    <w:name w:val="Body Text"/>
    <w:basedOn w:val="Normal"/>
    <w:pPr>
      <w:spacing w:lineRule="auto" w:line="276" w:before="0" w:after="283"/>
    </w:pPr>
    <w:rPr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Noto Sans" w:hAnsi="Noto Sans" w:eastAsia="Noto Sans" w:cs="Noto Sans Devanagari"/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  <w:jc w:val="center"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mall">
    <w:name w:val="Body Text.small"/>
    <w:basedOn w:val="BodyText"/>
    <w:qFormat/>
    <w:pPr/>
    <w:rPr>
      <w:color w:val="4A4A4A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lebedeffson/Code/bonner-shap-reconstruction/final_send_package_20260319/figures/fig_01_metrics_comparison.png" TargetMode="External"/><Relationship Id="rId3" Type="http://schemas.openxmlformats.org/officeDocument/2006/relationships/image" Target="file:///home/lebedeffson/Code/bonner-shap-reconstruction/final_send_package_20260319/figures/fig_02_mean_spectra_comparison.png" TargetMode="External"/><Relationship Id="rId4" Type="http://schemas.openxmlformats.org/officeDocument/2006/relationships/image" Target="file:///home/lebedeffson/Code/bonner-shap-reconstruction/final_send_package_20260319/figures/fig_03_representative_spectrum.png" TargetMode="External"/><Relationship Id="rId5" Type="http://schemas.openxmlformats.org/officeDocument/2006/relationships/image" Target="file:///home/lebedeffson/Code/bonner-shap-reconstruction/final_send_package_20260319/figures/fig_04_regularization_comparison.png" TargetMode="External"/><Relationship Id="rId6" Type="http://schemas.openxmlformats.org/officeDocument/2006/relationships/image" Target="file:///home/lebedeffson/Code/bonner-shap-reconstruction/final_send_package_20260319/figures/fig_05_shap_importance.png" TargetMode="External"/><Relationship Id="rId7" Type="http://schemas.openxmlformats.org/officeDocument/2006/relationships/image" Target="file:///home/lebedeffson/Code/bonner-shap-reconstruction/final_send_package_20260319/figures/fig_06_uncertainty_monte_carlo.png" TargetMode="External"/><Relationship Id="rId8" Type="http://schemas.openxmlformats.org/officeDocument/2006/relationships/image" Target="file:///home/lebedeffson/Code/bonner-shap-reconstruction/final_send_package_20260319/figures/fig_method_tradeoff.png" TargetMode="External"/><Relationship Id="rId9" Type="http://schemas.openxmlformats.org/officeDocument/2006/relationships/image" Target="file:///home/lebedeffson/Code/bonner-shap-reconstruction/final_send_package_20260319/figures/fig_band_quality.png" TargetMode="External"/><Relationship Id="rId10" Type="http://schemas.openxmlformats.org/officeDocument/2006/relationships/image" Target="file:///home/lebedeffson/Code/bonner-shap-reconstruction/final_send_package_20260319/figures/fig_uncertainty_methods.png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393</Words>
  <Characters>2638</Characters>
  <CharactersWithSpaces>2969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Итоговые материалы по ANFIS + SHAP + Tikhonov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