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математическая-постановка-задачи"/>
    <w:p>
      <w:pPr>
        <w:pStyle w:val="Heading1"/>
      </w:pPr>
      <w:r>
        <w:t xml:space="preserve">Математическая постановка задачи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вектор измерений детекторов (в работе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), а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— спектр нейтронов по энергетическим бинам (в работе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</m:t>
        </m:r>
      </m:oMath>
      <w:r>
        <w:t xml:space="preserve">). Требуется восстановить спектр по измерениям: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— модель ANFIS с параметрами</w:t>
      </w:r>
      <w:r>
        <w:t xml:space="preserve"> </w:t>
      </w:r>
      <m:oMath>
        <m:r>
          <m:t>θ</m:t>
        </m:r>
      </m:oMath>
      <w:r>
        <w:t xml:space="preserve">.</w:t>
      </w:r>
    </w:p>
    <w:bookmarkStart w:id="9" w:name="нормализация-по-сумме"/>
    <w:p>
      <w:pPr>
        <w:pStyle w:val="Heading2"/>
      </w:pPr>
      <w:r>
        <w:t xml:space="preserve">Нормализация по сумме</w:t>
      </w:r>
    </w:p>
    <w:p>
      <w:pPr>
        <w:pStyle w:val="FirstParagraph"/>
      </w:pPr>
      <w:r>
        <w:t xml:space="preserve">При необходимости применяется нормализация по сумме измерений: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x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y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Обучение и инференс выполняются в нормализованном пространстве, а денормализация осуществляется как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y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⋅</m:t>
        </m:r>
        <m:r>
          <m:t>S</m:t>
        </m:r>
      </m:oMath>
      <w:r>
        <w:t xml:space="preserve">.</w:t>
      </w:r>
    </w:p>
    <w:bookmarkEnd w:id="9"/>
    <w:bookmarkEnd w:id="10"/>
    <w:bookmarkStart w:id="11" w:name="модель-anfis"/>
    <w:p>
      <w:pPr>
        <w:pStyle w:val="Heading1"/>
      </w:pPr>
      <w:r>
        <w:t xml:space="preserve">Модель ANFIS</w:t>
      </w:r>
    </w:p>
    <w:p>
      <w:pPr>
        <w:pStyle w:val="FirstParagraph"/>
      </w:pPr>
      <w:r>
        <w:t xml:space="preserve">Используется ANFIS (Sugeno-type) 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правилами. Для</w:t>
      </w:r>
      <w:r>
        <w:t xml:space="preserve"> </w:t>
      </w:r>
      <m:oMath>
        <m:r>
          <m:t>r</m:t>
        </m:r>
      </m:oMath>
      <w:r>
        <w:t xml:space="preserve">-го правила: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 is 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1</m:t>
              </m:r>
            </m:sub>
          </m:sSub>
          <m:r>
            <m:rPr>
              <m:nor/>
              <m:sty m:val="p"/>
            </m:rPr>
            <m:t> AND </m:t>
          </m:r>
          <m:r>
            <m:rPr>
              <m:sty m:val="p"/>
            </m:rPr>
            <m:t>…</m:t>
          </m:r>
          <m:r>
            <m:rPr>
              <m:nor/>
              <m:sty m:val="p"/>
            </m:rPr>
            <m:t> AND 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 is 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n</m:t>
              </m:r>
            </m:sub>
          </m:sSub>
          <m:r>
            <m:rPr>
              <m:nor/>
              <m:sty m:val="p"/>
            </m:rPr>
            <m:t> THEN 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a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t>j</m:t>
            </m:r>
          </m:sub>
        </m:sSub>
      </m:oMath>
      <w:r>
        <w:t xml:space="preserve"> </w:t>
      </w:r>
      <w:r>
        <w:t xml:space="preserve">— функции принадлежности (в работе Gaussian/GBell),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Сила срабатывания правила: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μ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нормализованные веса: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Выход модели: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a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функция-потерь-этап-1"/>
    <w:p>
      <w:pPr>
        <w:pStyle w:val="Heading1"/>
      </w:pPr>
      <w:r>
        <w:t xml:space="preserve">Функция потерь (этап 1)</w:t>
      </w:r>
    </w:p>
    <w:p>
      <w:pPr>
        <w:pStyle w:val="FirstParagraph"/>
      </w:pPr>
      <w:r>
        <w:t xml:space="preserve">Базовое обучение минимизирует MSE: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устойчивой инициализации структуры используется глобальная оптимизация (PSO).</w:t>
      </w:r>
    </w:p>
    <w:bookmarkEnd w:id="12"/>
    <w:bookmarkStart w:id="20" w:name="shap-регуляризация-этап-2"/>
    <w:p>
      <w:pPr>
        <w:pStyle w:val="Heading1"/>
      </w:pPr>
      <w:r>
        <w:t xml:space="preserve">SHAP-регуляризация (этап 2)</w:t>
      </w:r>
    </w:p>
    <w:bookmarkStart w:id="13" w:name="градиентная-важность-признаков"/>
    <w:p>
      <w:pPr>
        <w:pStyle w:val="Heading2"/>
      </w:pPr>
      <w:r>
        <w:t xml:space="preserve">Градиентная важность признаков</w:t>
      </w:r>
    </w:p>
    <w:p>
      <w:pPr>
        <w:pStyle w:val="FirstParagraph"/>
      </w:pPr>
      <w:r>
        <w:t xml:space="preserve">Для батча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Нормированная важность: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ϕ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ϕ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bookmarkEnd w:id="13"/>
    <w:bookmarkStart w:id="18" w:name="компоненты-shap-регуляризации"/>
    <w:p>
      <w:pPr>
        <w:pStyle w:val="Heading2"/>
      </w:pPr>
      <w:r>
        <w:t xml:space="preserve">Компоненты SHAP-регуляризации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sparsity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consistency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faithfulness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stability</m:t>
              </m:r>
            </m:sub>
          </m:sSub>
          <m:r>
            <m:rPr>
              <m:sty m:val="p"/>
            </m:rPr>
            <m:t>.</m:t>
          </m:r>
        </m:oMath>
      </m:oMathPara>
    </w:p>
    <w:bookmarkStart w:id="14" w:name="разреженность-sparsity"/>
    <w:p>
      <w:pPr>
        <w:pStyle w:val="Heading4"/>
      </w:pPr>
      <w:r>
        <w:t xml:space="preserve">1. Разреженность (Sparsity)</w:t>
      </w:r>
    </w:p>
    <w:p>
      <w:pPr>
        <w:pStyle w:val="FirstParagraph"/>
      </w:pPr>
      <w:r>
        <w:t xml:space="preserve">Используется энтропия и коэффициент Джини: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sparsity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4"/>
    <w:bookmarkStart w:id="15" w:name="согласованность-consistency"/>
    <w:p>
      <w:pPr>
        <w:pStyle w:val="Heading4"/>
      </w:pPr>
      <w:r>
        <w:t xml:space="preserve">2. Согласованность (Consistency)</w:t>
      </w:r>
    </w:p>
    <w:p>
      <w:pPr>
        <w:pStyle w:val="FirstParagraph"/>
      </w:pPr>
      <w:r>
        <w:t xml:space="preserve">Истинные SHAP аппроксимируются маскированием признаков: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true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rPr>
                  <m:nor/>
                  <m:sty m:val="p"/>
                </m:rPr>
                <m:t>true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b"/>
                    </m:rPr>
                    <m:t>ϕ</m:t>
                  </m:r>
                </m:e>
                <m:sup>
                  <m:r>
                    <m:rPr>
                      <m:nor/>
                      <m:sty m:val="p"/>
                    </m:rPr>
                    <m:t>true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ϕ</m:t>
                  </m:r>
                </m:e>
                <m:sup>
                  <m:r>
                    <m:rPr>
                      <m:nor/>
                      <m:sty m:val="p"/>
                    </m:rPr>
                    <m:t>true</m:t>
                  </m:r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Потеря: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consistency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rPr>
                  <m:nor/>
                  <m:sty m:val="p"/>
                </m:rPr>
                <m:t>true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JS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JS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∥</m:t>
          </m:r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rPr>
                  <m:nor/>
                  <m:sty m:val="p"/>
                </m:rPr>
                <m:t>true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достоверность-faithfulness"/>
    <w:p>
      <w:pPr>
        <w:pStyle w:val="Heading4"/>
      </w:pPr>
      <w:r>
        <w:t xml:space="preserve">3. Достоверность (Faithfulness)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faithfulness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b"/>
                                </m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b"/>
                                </m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baseline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ϕ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  <m:r>
                  <m:t>k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6"/>
    <w:bookmarkStart w:id="17" w:name="стабильность-stability"/>
    <w:p>
      <w:pPr>
        <w:pStyle w:val="Heading4"/>
      </w:pPr>
      <w:r>
        <w:t xml:space="preserve">4. Стабильность (Stability)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stability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ϕ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rPr>
                              <m:sty m:val="b"/>
                            </m:rPr>
                            <m:t>ϕ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b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"/>
    <w:bookmarkEnd w:id="18"/>
    <w:bookmarkStart w:id="19" w:name="адаптивная-балансировка-shap"/>
    <w:p>
      <w:pPr>
        <w:pStyle w:val="Heading2"/>
      </w:pPr>
      <w:r>
        <w:t xml:space="preserve">Адаптивная балансировка SHAP</w:t>
      </w:r>
    </w:p>
    <w:p>
      <w:pPr>
        <w:pStyle w:val="FirstParagraph"/>
      </w:pPr>
      <w:r>
        <w:t xml:space="preserve">Для предотвращения доминирования SHAP-потерь используется нормализация по EMA: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target_ratio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main</m:t>
                  </m:r>
                </m:sub>
                <m:sup>
                  <m:r>
                    <m:rPr>
                      <m:nor/>
                      <m:sty m:val="p"/>
                    </m:rPr>
                    <m:t>EMA</m:t>
                  </m:r>
                </m:sup>
              </m:sSubSup>
            </m:num>
            <m:den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SHAP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bookmarkEnd w:id="19"/>
    <w:bookmarkEnd w:id="20"/>
    <w:bookmarkStart w:id="21" w:name="тихоновская-регуляризация-спектра"/>
    <w:p>
      <w:pPr>
        <w:pStyle w:val="Heading1"/>
      </w:pPr>
      <w:r>
        <w:t xml:space="preserve">Тихоновская регуляризация спектра</w:t>
      </w:r>
    </w:p>
    <w:p>
      <w:pPr>
        <w:pStyle w:val="FirstParagraph"/>
      </w:pPr>
      <w:r>
        <w:t xml:space="preserve">Для обеспечения гладкости выходного спектра по энергии используется тихоновская регуляризация: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D</m:t>
              </m:r>
            </m:e>
            <m:sub>
              <m: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экспериментах использован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"/>
    <w:bookmarkStart w:id="22" w:name="итоговая-функция-потерь-этап-2"/>
    <w:p>
      <w:pPr>
        <w:pStyle w:val="Heading1"/>
      </w:pPr>
      <w:r>
        <w:t xml:space="preserve">Итоговая функция потерь (этап 2)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.</m:t>
          </m:r>
        </m:oMath>
      </m:oMathPara>
    </w:p>
    <w:bookmarkEnd w:id="22"/>
    <w:bookmarkStart w:id="23" w:name="оценка-устойчивости-monte-carlo"/>
    <w:p>
      <w:pPr>
        <w:pStyle w:val="Heading1"/>
      </w:pPr>
      <w:r>
        <w:t xml:space="preserve">Оценка устойчивости (Monte Carlo)</w:t>
      </w:r>
    </w:p>
    <w:p>
      <w:pPr>
        <w:pStyle w:val="FirstParagraph"/>
      </w:pPr>
      <w:r>
        <w:t xml:space="preserve">Для оценки чувствительности к ошибке измерений вводится гауссов шум: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t>ϵ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rPr>
              <m:sty m:val="b"/>
            </m:rP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— относительная погрешность (в работе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). Для каждого образца выполняется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прогонов: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вычисляются статистики: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σ</m:t>
                  </m:r>
                </m:e>
                <m:sub>
                  <m:r>
                    <m:rPr>
                      <m:sty m:val="b"/>
                    </m:rP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percentiles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25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75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95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метрики-качества"/>
    <w:p>
      <w:pPr>
        <w:pStyle w:val="Heading1"/>
      </w:pPr>
      <w:r>
        <w:t xml:space="preserve">Метрики качества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MSE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RMSE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MSE</m:t>
                  </m:r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MAE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используется взвешивание по дисперсии выходных бинов.</w:t>
      </w:r>
    </w:p>
    <w:bookmarkEnd w:id="24"/>
    <w:bookmarkStart w:id="25" w:name="параметры-обучения-и-регуляризации"/>
    <w:p>
      <w:pPr>
        <w:pStyle w:val="Heading1"/>
      </w:pPr>
      <w:r>
        <w:t xml:space="preserve">Параметры обучения и регуляризации</w:t>
      </w:r>
    </w:p>
    <w:p>
      <w:pPr>
        <w:pStyle w:val="FirstParagraph"/>
      </w:pPr>
      <w:r>
        <w:t xml:space="preserve">В финальных экспериментах использованы:</w:t>
      </w:r>
    </w:p>
    <w:p>
      <w:pPr>
        <w:numPr>
          <w:ilvl w:val="0"/>
          <w:numId w:val="1001"/>
        </w:numPr>
      </w:pPr>
      <w:r>
        <w:t xml:space="preserve">число правил ANFIS: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PSO: 150 эпох, размер популяции 100;</w:t>
      </w:r>
    </w:p>
    <w:p>
      <w:pPr>
        <w:numPr>
          <w:ilvl w:val="0"/>
          <w:numId w:val="1001"/>
        </w:numPr>
      </w:pPr>
      <w:r>
        <w:t xml:space="preserve">SHAP-тонкая настройка: 300 эпох, batch 32,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SHAP-веса: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nor/>
                <m:sty m:val="p"/>
              </m:rPr>
              <m:t>sparsity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nor/>
                <m:sty m:val="p"/>
              </m:rPr>
              <m:t>consistency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nor/>
                <m:sty m:val="p"/>
              </m:rPr>
              <m:t>faithfulness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nor/>
                <m:sty m:val="p"/>
              </m:rPr>
              <m:t>stability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Тихоновская регуляризация: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порядок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X126293f10cd41f24729cd31436b34748731bc0b"/>
    <w:p>
      <w:pPr>
        <w:pStyle w:val="Heading1"/>
      </w:pPr>
      <w:r>
        <w:t xml:space="preserve">Практическая реализация и конфигурация данных</w:t>
      </w:r>
    </w:p>
    <w:p>
      <w:pPr>
        <w:pStyle w:val="FirstParagraph"/>
      </w:pPr>
      <w:r>
        <w:t xml:space="preserve">В реализации предусмотрена гибкая настройка колонок признаков и целей через конфигурационный файл: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feature_columns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target_columns</w:t>
      </w:r>
      <w:r>
        <w:t xml:space="preserve"> </w:t>
      </w:r>
      <w:r>
        <w:t xml:space="preserve">— явные списки названий;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feature_prefix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feature_count</w:t>
      </w:r>
      <w:r>
        <w:t xml:space="preserve"> </w:t>
      </w:r>
      <w:r>
        <w:t xml:space="preserve">— генерация имён (например, Q1..Q10);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target_prefix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target_count</w:t>
      </w:r>
      <w:r>
        <w:t xml:space="preserve"> </w:t>
      </w:r>
      <w:r>
        <w:t xml:space="preserve">— генерация имён спектральных бинов;</w:t>
      </w:r>
    </w:p>
    <w:p>
      <w:pPr>
        <w:numPr>
          <w:ilvl w:val="0"/>
          <w:numId w:val="1002"/>
        </w:numPr>
      </w:pPr>
      <w:r>
        <w:t xml:space="preserve">альтернативно допускаются</w:t>
      </w:r>
      <w:r>
        <w:t xml:space="preserve"> </w:t>
      </w:r>
      <w:r>
        <w:rPr>
          <w:rStyle w:val="VerbatimChar"/>
        </w:rPr>
        <w:t xml:space="preserve">feature_indices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feature_regex</w:t>
      </w:r>
      <w:r>
        <w:t xml:space="preserve">/</w:t>
      </w:r>
      <w:r>
        <w:rPr>
          <w:rStyle w:val="VerbatimChar"/>
        </w:rPr>
        <w:t xml:space="preserve">target_regex</w:t>
      </w:r>
      <w:r>
        <w:t xml:space="preserve">.</w:t>
      </w:r>
    </w:p>
    <w:p>
      <w:pPr>
        <w:pStyle w:val="FirstParagraph"/>
      </w:pPr>
      <w:r>
        <w:t xml:space="preserve">Это позволяет переносить метод на другие наборы данных без изменения кода.</w:t>
      </w:r>
    </w:p>
    <w:bookmarkEnd w:id="26"/>
    <w:bookmarkStart w:id="27" w:name="инференс"/>
    <w:p>
      <w:pPr>
        <w:pStyle w:val="Heading1"/>
      </w:pPr>
      <w:r>
        <w:t xml:space="preserve">Инференс</w:t>
      </w:r>
    </w:p>
    <w:p>
      <w:pPr>
        <w:pStyle w:val="FirstParagraph"/>
      </w:pPr>
      <w:r>
        <w:t xml:space="preserve">После обучения модель используется для восстановления спектра по измерениям: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последующей денормализацией при необходимости: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denorm</m:t>
              </m:r>
            </m:sub>
          </m:sSub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практическом использовании сохраняются массивы предсказаний и визуализации спектра.</w:t>
      </w:r>
    </w:p>
    <w:bookmarkEnd w:id="27"/>
    <w:bookmarkStart w:id="28" w:name="экспериментальные-результаты"/>
    <w:p>
      <w:pPr>
        <w:pStyle w:val="Heading1"/>
      </w:pPr>
      <w:r>
        <w:t xml:space="preserve">Экспериментальные результаты</w:t>
      </w:r>
    </w:p>
    <w:p>
      <w:pPr>
        <w:pStyle w:val="FirstParagraph"/>
      </w:pPr>
      <w:r>
        <w:t xml:space="preserve">Данные: 375 измерений (нормализованный набор), разбиение 80/20, тестовая выборка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75</m:t>
        </m:r>
      </m:oMath>
      <w:r>
        <w:t xml:space="preserve">.</w:t>
      </w:r>
      <w:r>
        <w:t xml:space="preserve"> </w:t>
      </w:r>
      <w:r>
        <w:t xml:space="preserve">Получены следующие метрики на тесте: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MSE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0.0106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RMSE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0.1030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MAE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0.0486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weighted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0.8368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mean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0.5560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Метрики по диапазонам энергий (бинов):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0.4734</m:t>
        </m:r>
      </m:oMath>
      <w:r>
        <w:t xml:space="preserve">;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20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0.6774</m:t>
        </m:r>
      </m:oMath>
      <w:r>
        <w:t xml:space="preserve">;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40</m:t>
        </m:r>
        <m:r>
          <m:rPr>
            <m:sty m:val="p"/>
          </m:rPr>
          <m:t>,</m:t>
        </m:r>
        <m:r>
          <m:t>59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0.5173</m:t>
        </m:r>
      </m:oMath>
      <w:r>
        <w:t xml:space="preserve">.</w:t>
      </w:r>
    </w:p>
    <w:p>
      <w:pPr>
        <w:pStyle w:val="FirstParagraph"/>
      </w:pPr>
      <w:r>
        <w:t xml:space="preserve">Устойчивость к ошибкам измерений оценивалась Monte Carlo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.</w:t>
      </w:r>
      <w:r>
        <w:t xml:space="preserve"> </w:t>
      </w:r>
      <w:r>
        <w:t xml:space="preserve">При росте погрешности входов от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среднее стандартное отклонение</w:t>
      </w:r>
      <w:r>
        <w:t xml:space="preserve"> </w:t>
      </w:r>
      <w:r>
        <w:t xml:space="preserve">восстановленного спектра выросло с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7.58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а максимум — с</w:t>
      </w:r>
      <w:r>
        <w:t xml:space="preserve"> </w:t>
      </w:r>
      <m:oMath>
        <m:r>
          <m:t>2.16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4.17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2026-02-28T08:11:42Z</dcterms:created>
  <dcterms:modified xsi:type="dcterms:W3CDTF">2026-02-28T08:11:42Z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