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Итоговые материалы по версии V2.1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555555"/>
        </w:rPr>
      </w:pPr>
      <w:r>
        <w:rPr>
          <w:color w:val="555555"/>
        </w:rPr>
        <w:t xml:space="preserve">ANFIS + SHAP + log-energy-aware Tikhonov + hybrid nonnegativity, основной run: </w:t>
      </w:r>
      <w:r>
        <w:rPr>
          <w:b/>
          <w:color w:val="555555"/>
        </w:rPr>
        <w:t>v2_1_light_nonneg_20260320</w:t>
      </w:r>
    </w:p>
    <w:p>
      <w:pPr>
        <w:pStyle w:val="BodyText"/>
        <w:bidi w:val="0"/>
        <w:spacing w:before="240" w:after="240"/>
        <w:ind w:hanging="0" w:left="240" w:right="240"/>
        <w:jc w:val="left"/>
        <w:rPr>
          <w:bdr w:val="single" w:sz="24" w:space="11" w:color="2B6A9A"/>
          <w:shd w:fill="F5F8FB" w:val="clear"/>
        </w:rPr>
      </w:pPr>
      <w:r>
        <w:rPr>
          <w:b/>
          <w:bdr w:val="single" w:sz="24" w:space="11" w:color="2B6A9A"/>
          <w:shd w:fill="F5F8FB" w:val="clear"/>
        </w:rPr>
        <w:t>Главный итог.</w:t>
      </w:r>
      <w:r>
        <w:rPr>
          <w:bdr w:val="single" w:sz="24" w:space="11" w:color="2B6A9A"/>
          <w:shd w:fill="F5F8FB" w:val="clear"/>
        </w:rPr>
        <w:t xml:space="preserve"> Текущая версия V2.1 является основной, потому что она улучшает MSE, RMSE и R² weighted относительно предыдущей official V2 и одновременно снижает долю отрицательных бинов с </w:t>
      </w:r>
      <w:r>
        <w:rPr>
          <w:b/>
          <w:bdr w:val="single" w:sz="24" w:space="11" w:color="2B6A9A"/>
          <w:shd w:fill="F5F8FB" w:val="clear"/>
        </w:rPr>
        <w:t>0.1942</w:t>
      </w:r>
      <w:r>
        <w:rPr>
          <w:bdr w:val="single" w:sz="24" w:space="11" w:color="2B6A9A"/>
          <w:shd w:fill="F5F8FB" w:val="clear"/>
        </w:rPr>
        <w:t xml:space="preserve"> до </w:t>
      </w:r>
      <w:r>
        <w:rPr>
          <w:b/>
          <w:bdr w:val="single" w:sz="24" w:space="11" w:color="2B6A9A"/>
          <w:shd w:fill="F5F8FB" w:val="clear"/>
        </w:rPr>
        <w:t>0.1129</w:t>
      </w:r>
      <w:r>
        <w:rPr>
          <w:bdr w:val="single" w:sz="24" w:space="11" w:color="2B6A9A"/>
          <w:shd w:fill="F5F8FB" w:val="clear"/>
        </w:rPr>
        <w:t xml:space="preserve">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left="420"/>
        <w:jc w:val="left"/>
        <w:rPr/>
      </w:pPr>
      <w:r>
        <w:rPr/>
        <w:t>Ключевые метрики</w:t>
      </w:r>
    </w:p>
    <w:tbl>
      <w:tblPr>
        <w:tblW w:w="102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2"/>
        <w:gridCol w:w="1361"/>
        <w:gridCol w:w="1361"/>
        <w:gridCol w:w="1358"/>
        <w:gridCol w:w="1873"/>
        <w:gridCol w:w="1496"/>
      </w:tblGrid>
      <w:tr>
        <w:trPr/>
        <w:tc>
          <w:tcPr>
            <w:tcW w:w="28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Метод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MSE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RMSE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MAE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R² weighted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R² mean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Vanilla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0.01133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0.10643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0.04652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0.82590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0.54970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Tikhonov-only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0.01063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0.10310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0.04867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0.83661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0.55591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SHAP-only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0.01060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0.10294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0.04859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0.83714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0.55845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V2.1 SHAP+Tikhonov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0.01052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0.10256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0.04741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0.83834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0.55643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20"/>
        <w:jc w:val="left"/>
        <w:rPr/>
      </w:pPr>
      <w:r>
        <w:rPr/>
        <w:t>Что изменилось относительно previous official V2</w:t>
      </w:r>
    </w:p>
    <w:tbl>
      <w:tblPr>
        <w:tblW w:w="590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0"/>
        <w:gridCol w:w="1747"/>
        <w:gridCol w:w="1792"/>
      </w:tblGrid>
      <w:tr>
        <w:trPr/>
        <w:tc>
          <w:tcPr>
            <w:tcW w:w="23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Official V2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V2.1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MSE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0.01056393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0.01051771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RMSE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0.10278100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0.10255587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MAE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0.04741353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0.04741066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R² weighted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0.83762617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0.83833671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R² mean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0.55768377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0.55642551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negative_fraction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left"/>
              <w:rPr/>
            </w:pPr>
            <w:r>
              <w:rPr/>
              <w:t>0.19422222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bidi w:val="0"/>
              <w:spacing w:before="420" w:after="420"/>
              <w:jc w:val="left"/>
              <w:rPr>
                <w:b/>
              </w:rPr>
            </w:pPr>
            <w:r>
              <w:rPr>
                <w:b/>
              </w:rPr>
              <w:t>0.11288889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20"/>
        <w:jc w:val="left"/>
        <w:rPr/>
      </w:pPr>
      <w:r>
        <w:rPr/>
        <w:t>Главные выводы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V2.1 — лучший общий компромисс по точности и физической правдоподобности.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Vanilla остаётся лучшим по MAE и по Monte Carlo-робастности.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SHAP-only остаётся лучшим по R² mean.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Tikhonov-only остаётся самым устойчивым среди regularized-вариантов.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/>
        <w:t xml:space="preserve">Hybrid nonnegativity реально работает: доля отрицательных бинов снизилась примерно на 42% относительно previous official V2.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left="420"/>
        <w:jc w:val="left"/>
        <w:rPr/>
      </w:pPr>
      <w:r>
        <w:rPr/>
        <w:t>Иллюстрации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444444"/>
          <w:sz w:val="21"/>
        </w:rPr>
      </w:pPr>
      <w:r>
        <w:rPr>
          <w:color w:val="444444"/>
          <w:sz w:val="21"/>
        </w:rPr>
        <w:t>Сравнение метрик Vanilla vs текущая основная версия.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25917525" cy="10410825"/>
            <wp:effectExtent l="0" t="0" r="0" b="0"/>
            <wp:docPr id="1" name="Image1" descr="Metric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etrics comparison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7525" cy="1041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444444"/>
          <w:sz w:val="21"/>
        </w:rPr>
      </w:pPr>
      <w:r>
        <w:rPr>
          <w:color w:val="444444"/>
          <w:sz w:val="21"/>
        </w:rPr>
        <w:t>Полное сравнение четырёх режимов по качеству, доле отрицательных бинов и времени обучения.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28013025" cy="19288125"/>
            <wp:effectExtent l="0" t="0" r="0" b="0"/>
            <wp:docPr id="2" name="Image2" descr="Method trade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ethod tradeoff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3025" cy="1928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444444"/>
          <w:sz w:val="21"/>
        </w:rPr>
      </w:pPr>
      <w:r>
        <w:rPr>
          <w:color w:val="444444"/>
          <w:sz w:val="21"/>
        </w:rPr>
        <w:t>Репрезентативный пример реконструкции спектра.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24422100" cy="13887450"/>
            <wp:effectExtent l="0" t="0" r="0" b="0"/>
            <wp:docPr id="3" name="Image3" descr="Representative 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Representative spectrum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2100" cy="1388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444444"/>
          <w:sz w:val="21"/>
        </w:rPr>
      </w:pPr>
      <w:r>
        <w:rPr>
          <w:color w:val="444444"/>
          <w:sz w:val="21"/>
        </w:rPr>
        <w:t>Итоговая SHAP-важность входных каналов.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19497675" cy="10601325"/>
            <wp:effectExtent l="0" t="0" r="0" b="0"/>
            <wp:docPr id="4" name="Image4" descr="SHAP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HAP importance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7675" cy="1060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444444"/>
          <w:sz w:val="21"/>
        </w:rPr>
      </w:pPr>
      <w:r>
        <w:rPr>
          <w:color w:val="444444"/>
          <w:sz w:val="21"/>
        </w:rPr>
        <w:t>Monte Carlo для основной версии V2.1.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29032200" cy="11172825"/>
            <wp:effectExtent l="0" t="0" r="0" b="0"/>
            <wp:docPr id="5" name="Image5" descr="Uncertainty V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Uncertainty V2.1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0" cy="1117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444444"/>
          <w:sz w:val="21"/>
        </w:rPr>
      </w:pPr>
      <w:r>
        <w:rPr>
          <w:color w:val="444444"/>
          <w:sz w:val="21"/>
        </w:rPr>
        <w:t>Сравнение Monte Carlo-устойчивости разных методов.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28622625" cy="10601325"/>
            <wp:effectExtent l="0" t="0" r="0" b="0"/>
            <wp:docPr id="6" name="Image6" descr="Uncertainty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Uncertainty methods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2625" cy="1060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6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 w:before="420" w:after="420"/>
      <w:ind w:left="420" w:right="420"/>
    </w:pPr>
    <w:rPr>
      <w:rFonts w:ascii="DejaVu Sans;Arial;sans-serif" w:hAnsi="DejaVu Sans;Arial;sans-serif" w:eastAsia="DejaVu Sans;Arial;sans-serif" w:cs="DejaVu Sans;Arial;sans-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ind w:left="420"/>
      <w:outlineLvl w:val="0"/>
    </w:pPr>
    <w:rPr>
      <w:rFonts w:ascii="Noto Serif" w:hAnsi="Noto Serif" w:eastAsia="Noto Sans" w:cs="Noto Sans Devanagari"/>
      <w:b/>
      <w:bCs/>
      <w:color w:val="17324D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ind w:left="420"/>
      <w:outlineLvl w:val="1"/>
    </w:pPr>
    <w:rPr>
      <w:rFonts w:ascii="Noto Serif" w:hAnsi="Noto Serif" w:eastAsia="Noto Sans" w:cs="Noto Sans Devanagari"/>
      <w:b/>
      <w:bCs/>
      <w:color w:val="17324D"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Noto Sans" w:hAnsi="Noto Sans" w:eastAsia="Noto Sans" w:cs="Noto Sans Devanagari"/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lebedeffson/Code/bonner-shap-reconstruction/final_send_package_20260320_v2_1/figures/fig_01_metrics_comparison.png" TargetMode="External"/><Relationship Id="rId3" Type="http://schemas.openxmlformats.org/officeDocument/2006/relationships/image" Target="file:///home/lebedeffson/Code/bonner-shap-reconstruction/final_send_package_20260320_v2_1/figures/fig_method_tradeoff.png" TargetMode="External"/><Relationship Id="rId4" Type="http://schemas.openxmlformats.org/officeDocument/2006/relationships/image" Target="file:///home/lebedeffson/Code/bonner-shap-reconstruction/final_send_package_20260320_v2_1/figures/fig_03_representative_spectrum.png" TargetMode="External"/><Relationship Id="rId5" Type="http://schemas.openxmlformats.org/officeDocument/2006/relationships/image" Target="file:///home/lebedeffson/Code/bonner-shap-reconstruction/final_send_package_20260320_v2_1/figures/fig_05_shap_importance.png" TargetMode="External"/><Relationship Id="rId6" Type="http://schemas.openxmlformats.org/officeDocument/2006/relationships/image" Target="file:///home/lebedeffson/Code/bonner-shap-reconstruction/final_send_package_20260320_v2_1/figures/fig_06_uncertainty_monte_carlo.png" TargetMode="External"/><Relationship Id="rId7" Type="http://schemas.openxmlformats.org/officeDocument/2006/relationships/image" Target="file:///home/lebedeffson/Code/bonner-shap-reconstruction/final_send_package_20260320_v2_1/figures/fig_uncertainty_methods.png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1</Pages>
  <Words>209</Words>
  <Characters>1392</Characters>
  <CharactersWithSpaces>1534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Final Materials Overview V2.1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