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Times New Roman" w:hAnsi="Times New Roman"/>
          <w:sz w:val="28"/>
        </w:rPr>
        <w:t>Глубокие нейро-нечёткие архитектуры для интерпретируемого обучения: Stacked ANFIS, Hierarchical ANFIS и Deep Fuzzy Feature Learning</w:t>
      </w:r>
    </w:p>
    <w:p>
      <w:pPr>
        <w:pStyle w:val="Heading2"/>
      </w:pPr>
      <w:r>
        <w:rPr>
          <w:rFonts w:ascii="Times New Roman" w:hAnsi="Times New Roman"/>
          <w:sz w:val="24"/>
        </w:rPr>
        <w:t>Аннотация</w:t>
      </w:r>
    </w:p>
    <w:p>
      <w:r>
        <w:rPr>
          <w:rFonts w:ascii="Times New Roman" w:hAnsi="Times New Roman"/>
          <w:sz w:val="22"/>
        </w:rPr>
        <w:t>В работе решается задача построения глубокой нейро-нечёткой модели, которая сохраняет прозрачность промежуточных представлений и одновременно обеспечивает конкурентное качество прогноза на реальных табличных данных. В едином программном контуре сопоставлены три архитектурные линии: Stacked ANFIS, Hierarchical ANFIS и Deep Fuzzy Feature Learning. Сравнение выполнено на пяти наборах данных с повторными запусками при трёх значениях начальной инициализации. Оценка построена по трём осям: качество прогноза, структурная сложность базы правил и устойчивость интерпретации между запусками. Полученные результаты показывают, что иерархическая и последовательная архитектуры чаще дают лучшие значения по метрикам качества, тогда как Deep Fuzzy Feature Learning демонстрирует более устойчивую структуру активных правил среди глубоких вариантов и остаётся конкурентным на части задач. Непараметрический ранговый анализ подтверждает, что на текущем масштабе испытаний различия следует трактовать как устойчивые прикладные тенденции, а не как универсальное превосходство одной модели. Основной методический вывод состоит в том, что выбор глубокой нейро-нечёткой архитектуры должен решаться как многокритериальная задача, в которой одновременно учитываются качество, сложность и устойчивость объяснений.</w:t>
      </w:r>
    </w:p>
    <w:p>
      <w:pPr>
        <w:pStyle w:val="Heading2"/>
      </w:pPr>
      <w:r>
        <w:rPr>
          <w:rFonts w:ascii="Times New Roman" w:hAnsi="Times New Roman"/>
          <w:sz w:val="24"/>
        </w:rPr>
        <w:t>1. Введение</w:t>
      </w:r>
    </w:p>
    <w:p>
      <w:r>
        <w:rPr>
          <w:rFonts w:ascii="Times New Roman" w:hAnsi="Times New Roman"/>
          <w:sz w:val="22"/>
        </w:rPr>
        <w:t>Современные методы машинного обучения достигают высокой точности, однако в практических инженерных задачах итоговая точность не исчерпывает требований к модели. Важна также возможность объяснить, почему система приняла конкретное решение, какие правила были активны и насколько эта логика устойчива при повторном обучении. Именно поэтому нейро-нечёткие подходы сохраняют актуальность: они объединяют обучаемость параметров с интерпретируемой структурой вывода через явные правила и функции принадлежности [1–5].</w:t>
      </w:r>
    </w:p>
    <w:p>
      <w:r>
        <w:rPr>
          <w:rFonts w:ascii="Times New Roman" w:hAnsi="Times New Roman"/>
          <w:sz w:val="22"/>
        </w:rPr>
        <w:t>Классический ANFIS стал ключевым шагом в этом направлении, поскольку позволил обучать нечёткую систему градиентными методами [4]. Вместе с тем в исходной форме ANFIS в основном остаётся неглубокой моделью. Простое наращивание числа слоёв, выполненное как механическое повторение однотипных блоков, обычно приводит к двум проблемам. Первая проблема связана с ростом числа правил, который затрудняет контроль сложности. Вторая проблема возникает в скрытых представлениях: промежуточные выходы постепенно теряют содержательный смысл и становятся похожими на обычные латентные активации глубокой сети [5,9,10].</w:t>
      </w:r>
    </w:p>
    <w:p>
      <w:r>
        <w:rPr>
          <w:rFonts w:ascii="Times New Roman" w:hAnsi="Times New Roman"/>
          <w:sz w:val="22"/>
        </w:rPr>
        <w:t>Из этого следует практический вопрос, который и определяет логику исследования: как построить действительно глубокую нейро-нечёткую архитектуру так, чтобы глубина означала не только увеличение вычислительного графа, но и иерархию интерпретируемых признаков. В настоящей работе ответ формируется через контролируемое сравнение трёх архитектурных линий в едином воспроизводимом контуре.</w:t>
      </w:r>
    </w:p>
    <w:p>
      <w:pPr>
        <w:pStyle w:val="Heading2"/>
      </w:pPr>
      <w:r>
        <w:rPr>
          <w:rFonts w:ascii="Times New Roman" w:hAnsi="Times New Roman"/>
          <w:sz w:val="24"/>
        </w:rPr>
        <w:t>2. Исследовательский контекст</w:t>
      </w:r>
    </w:p>
    <w:p>
      <w:r>
        <w:rPr>
          <w:rFonts w:ascii="Times New Roman" w:hAnsi="Times New Roman"/>
          <w:sz w:val="22"/>
        </w:rPr>
        <w:t>Истоки направления связаны с работами по нечётким множествам и нечёткому управлению, где интерпретируемость строилась на лингвистических правилах [1–3]. В дальнейшем ANFIS добавил обучаемость параметров и сделал возможным практическое соединение правил и данных [4]. Обзорные исследования по нейро-нечётким методам многократно показывали, что масштабирование к глубине остаётся слабым местом из-за роста базы правил и ухудшения семантики скрытых слоёв [5].</w:t>
      </w:r>
    </w:p>
    <w:p>
      <w:r>
        <w:rPr>
          <w:rFonts w:ascii="Times New Roman" w:hAnsi="Times New Roman"/>
          <w:sz w:val="22"/>
        </w:rPr>
        <w:t>Параллельно развитие глубокого обучения усилило качество решения многих прикладных задач [6], но поставило вопрос доверия к внутренней логике модели. Подходы локального объяснения, включая LIME и SHAP, расширили инструментарий анализа [7,8], однако они в основном действуют как внешний слой интерпретации и не гарантируют прозрачность самой архитектуры. В обзорах по объяснимому искусственному интеллекту подчёркивается, что качество объяснения, его достоверность и устойчивость следует рассматривать как разные характеристики [9,10]. Этот тезис особенно важен для нейро-нечётких систем, где интерпретируемость должна быть встроенной, а не добавленной после обучения [11].</w:t>
      </w:r>
    </w:p>
    <w:p>
      <w:r>
        <w:rPr>
          <w:rFonts w:ascii="Times New Roman" w:hAnsi="Times New Roman"/>
          <w:sz w:val="22"/>
        </w:rPr>
        <w:t>Поэтому в данной работе архитектуры сопоставляются не по одной метрике, а по трём взаимосвязанным направлениям. Для статистической проверки используются непараметрические критерии сравнения алгоритмов на нескольких наборах данных [12–14], что позволяет отделить устойчивую прикладную тенденцию от случайных колебаний результата.</w:t>
      </w:r>
    </w:p>
    <w:p>
      <w:pPr>
        <w:pStyle w:val="Heading2"/>
      </w:pPr>
      <w:r>
        <w:rPr>
          <w:rFonts w:ascii="Times New Roman" w:hAnsi="Times New Roman"/>
          <w:sz w:val="24"/>
        </w:rPr>
        <w:t>3. Математическая постановка</w:t>
      </w:r>
    </w:p>
    <w:p>
      <w:r>
        <w:rPr>
          <w:rFonts w:ascii="Times New Roman" w:hAnsi="Times New Roman"/>
          <w:sz w:val="22"/>
        </w:rPr>
        <w:t>Пусть входной вектор признаков обозначен как x, а выход модели как y_hat. Глубокая нейро-нечёткая архитектура формирует последовательность представлений x -&gt; c^(1) -&gt; c^(2) -&gt; ... -&gt; c^(L) -&gt; y_hat, где каждый скрытый уровень трактуется как пространство нечётких концептов. Такой подход задаёт смысл глубины как иерархии интерпретируемых признаков, а не как простой каскад одинаковых предсказателей.</w:t>
      </w:r>
    </w:p>
    <w:p>
      <w:r>
        <w:rPr>
          <w:rFonts w:ascii="Times New Roman" w:hAnsi="Times New Roman"/>
          <w:sz w:val="22"/>
        </w:rPr>
        <w:t>Внутри блока активация правила рассчитывается через произведение функций принадлежности и обучаемый коэффициент включения: w_r = sigma(g_r) * product_(i,j in A_r) mu_ij(z_i). Далее применяется нормировка w_bar_r = w_r / (sum_q w_q + eps), которая переводит веса в сопоставимый масштаб и стабилизирует вклад правил. На скрытых уровнях используется нулевой порядок заключений c = sum_r w_bar_r v_r, благодаря чему скрытые переменные сохраняют семантическую читаемость. На финальном уровне применяется форма Сугено первого порядка y_hat = sum_r w_bar_r (a_r0 + a_r^T z), что обеспечивает достаточную выразительность при формировании итогового решения.</w:t>
      </w:r>
    </w:p>
    <w:p>
      <w:pPr>
        <w:pStyle w:val="Heading2"/>
      </w:pPr>
      <w:r>
        <w:rPr>
          <w:rFonts w:ascii="Times New Roman" w:hAnsi="Times New Roman"/>
          <w:sz w:val="24"/>
        </w:rPr>
        <w:t>4. Архитектурные линии сравнения</w:t>
      </w:r>
    </w:p>
    <w:p>
      <w:r>
        <w:rPr>
          <w:rFonts w:ascii="Times New Roman" w:hAnsi="Times New Roman"/>
          <w:sz w:val="22"/>
        </w:rPr>
        <w:t>Последовательная архитектура Stacked ANFIS построена как каскад нечётких слоёв, где каждый следующий слой получает на вход выход предыдущего. Такое решение естественно реализуется сквозным обучением и хорошо передаёт идею глубины, но при увеличении числа уровней может терять прозрачность промежуточной семантики.</w:t>
      </w:r>
    </w:p>
    <w:p>
      <w:r>
        <w:rPr>
          <w:rFonts w:ascii="Times New Roman" w:hAnsi="Times New Roman"/>
          <w:sz w:val="22"/>
        </w:rPr>
        <w:t>Иерархическая архитектура Hierarchical ANFIS организует обработку по локальным группам признаков на нижнем уровне и объединяет результаты на верхнем уровне. Эта структура уменьшает комбинаторный рост базы правил, поскольку каждый локальный блок работает с ограниченным подмножеством входов.</w:t>
      </w:r>
    </w:p>
    <w:p>
      <w:r>
        <w:rPr>
          <w:rFonts w:ascii="Times New Roman" w:hAnsi="Times New Roman"/>
          <w:sz w:val="22"/>
        </w:rPr>
        <w:t>Архитектура Deep Fuzzy Feature Learning рассматривает нечёткий слой прежде всего как оператор построения новых признаков. В реализации применяются инициализация по данным, поэтапное предварительное обучение, переоценка базы правил и уточняющие циклы. Такой режим нацелен на то, чтобы скрытые уровни оставались интерпретируемыми концептами и не превращались в непрозрачные латентные переменные.</w:t>
      </w:r>
    </w:p>
    <w:p>
      <w:r>
        <w:drawing>
          <wp:inline xmlns:a="http://schemas.openxmlformats.org/drawingml/2006/main" xmlns:pic="http://schemas.openxmlformats.org/drawingml/2006/picture">
            <wp:extent cx="5669280" cy="18275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architectur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8275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Times New Roman" w:hAnsi="Times New Roman"/>
          <w:sz w:val="20"/>
        </w:rPr>
        <w:t>Рисунок 1. Сравниваемые архитектуры</w:t>
      </w:r>
    </w:p>
    <w:p/>
    <w:p>
      <w:pPr>
        <w:pStyle w:val="Heading2"/>
      </w:pPr>
      <w:r>
        <w:rPr>
          <w:rFonts w:ascii="Times New Roman" w:hAnsi="Times New Roman"/>
          <w:sz w:val="24"/>
        </w:rPr>
        <w:t>5. Экспериментальный контур</w:t>
      </w:r>
    </w:p>
    <w:p>
      <w:r>
        <w:rPr>
          <w:rFonts w:ascii="Times New Roman" w:hAnsi="Times New Roman"/>
          <w:sz w:val="22"/>
        </w:rPr>
        <w:t>Основной сравнительный прогон выполнен на пяти реальных табличных наборах из библиотеки scikit-learn [15], включающих задачи регрессии и бинарной классификации. В исследование вошли наборы diabetes с размером 442 x 10, linnerud_weight с размером 20 x 3, breast_cancer с размером 569 x 30, wine_binary с размером 178 x 13 и digits_binary с размером 1797 x 64.</w:t>
      </w:r>
    </w:p>
    <w:p>
      <w:r>
        <w:rPr>
          <w:rFonts w:ascii="Times New Roman" w:hAnsi="Times New Roman"/>
          <w:sz w:val="22"/>
        </w:rPr>
        <w:t>Все модели обучались в одинаковой вычислительной схеме: признаки нормировались в диапазон [0,1], для регрессии отдельно нормировалась целевая переменная, для каждого набора выполнялись повторные запуски при seed = 19, 23, 29, а обучение запускалось единым сценарием examples/run_real_datasets_benchmark.py. Для регрессии использована метрика RMSE, для классификации использована метрика F1. Структурная часть анализа включала общее число правил и число активных правил, а устойчивость интерпретации оценивалась по коэффициенту Жаккара для пересечения активных правил между запусками.</w:t>
      </w:r>
    </w:p>
    <w:p>
      <w:pPr>
        <w:pStyle w:val="Heading2"/>
      </w:pPr>
      <w:r>
        <w:rPr>
          <w:rFonts w:ascii="Times New Roman" w:hAnsi="Times New Roman"/>
          <w:sz w:val="24"/>
        </w:rPr>
        <w:t>6. Основные результаты</w:t>
      </w:r>
    </w:p>
    <w:p>
      <w:r>
        <w:rPr>
          <w:rFonts w:ascii="Times New Roman" w:hAnsi="Times New Roman"/>
          <w:sz w:val="22"/>
        </w:rPr>
        <w:t>Сводные результаты по качеству показали, что единого абсолютного лидера на всех задачах не возникает. Иерархическая и последовательная архитектуры чаще занимают первые позиции на отдельных наборах, при этом Deep Fuzzy Feature Learning остаётся близким по качеству на части задач и даёт более сильную устойчивость структуры правил среди глубоких вариантов.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</w:tcPr>
          <w:p>
            <w:r>
              <w:t>Модель</w:t>
            </w:r>
          </w:p>
        </w:tc>
        <w:tc>
          <w:tcPr>
            <w:tcW w:type="dxa" w:w="1504"/>
          </w:tcPr>
          <w:p>
            <w:r>
              <w:t>diabetes (RMSE)</w:t>
            </w:r>
          </w:p>
        </w:tc>
        <w:tc>
          <w:tcPr>
            <w:tcW w:type="dxa" w:w="1504"/>
          </w:tcPr>
          <w:p>
            <w:r>
              <w:t>linnerud_weight (RMSE)</w:t>
            </w:r>
          </w:p>
        </w:tc>
        <w:tc>
          <w:tcPr>
            <w:tcW w:type="dxa" w:w="1504"/>
          </w:tcPr>
          <w:p>
            <w:r>
              <w:t>breast_cancer (F1)</w:t>
            </w:r>
          </w:p>
        </w:tc>
        <w:tc>
          <w:tcPr>
            <w:tcW w:type="dxa" w:w="1504"/>
          </w:tcPr>
          <w:p>
            <w:r>
              <w:t>wine_binary (F1)</w:t>
            </w:r>
          </w:p>
        </w:tc>
        <w:tc>
          <w:tcPr>
            <w:tcW w:type="dxa" w:w="1504"/>
          </w:tcPr>
          <w:p>
            <w:r>
              <w:t>digits_binary (F1)</w:t>
            </w:r>
          </w:p>
        </w:tc>
      </w:tr>
      <w:tr>
        <w:tc>
          <w:tcPr>
            <w:tcW w:type="dxa" w:w="1504"/>
          </w:tcPr>
          <w:p>
            <w:r>
              <w:t>Shallow Fuzzy</w:t>
            </w:r>
          </w:p>
        </w:tc>
        <w:tc>
          <w:tcPr>
            <w:tcW w:type="dxa" w:w="1504"/>
          </w:tcPr>
          <w:p>
            <w:r>
              <w:t>0.1944 ± 0.0015</w:t>
            </w:r>
          </w:p>
        </w:tc>
        <w:tc>
          <w:tcPr>
            <w:tcW w:type="dxa" w:w="1504"/>
          </w:tcPr>
          <w:p>
            <w:r>
              <w:t>0.3693 ± 0.2114</w:t>
            </w:r>
          </w:p>
        </w:tc>
        <w:tc>
          <w:tcPr>
            <w:tcW w:type="dxa" w:w="1504"/>
          </w:tcPr>
          <w:p>
            <w:r>
              <w:t>0.9747 ± 0.0119</w:t>
            </w:r>
          </w:p>
        </w:tc>
        <w:tc>
          <w:tcPr>
            <w:tcW w:type="dxa" w:w="1504"/>
          </w:tcPr>
          <w:p>
            <w:r>
              <w:t>0.9432 ± 0.0188</w:t>
            </w:r>
          </w:p>
        </w:tc>
        <w:tc>
          <w:tcPr>
            <w:tcW w:type="dxa" w:w="1504"/>
          </w:tcPr>
          <w:p>
            <w:r>
              <w:t>0.9293 ± 0.0308</w:t>
            </w:r>
          </w:p>
        </w:tc>
      </w:tr>
      <w:tr>
        <w:tc>
          <w:tcPr>
            <w:tcW w:type="dxa" w:w="1504"/>
          </w:tcPr>
          <w:p>
            <w:r>
              <w:t>Stacked ANFIS</w:t>
            </w:r>
          </w:p>
        </w:tc>
        <w:tc>
          <w:tcPr>
            <w:tcW w:type="dxa" w:w="1504"/>
          </w:tcPr>
          <w:p>
            <w:r>
              <w:t>0.2100 ± 0.0071</w:t>
            </w:r>
          </w:p>
        </w:tc>
        <w:tc>
          <w:tcPr>
            <w:tcW w:type="dxa" w:w="1504"/>
          </w:tcPr>
          <w:p>
            <w:r>
              <w:t>0.3166 ± 0.1365</w:t>
            </w:r>
          </w:p>
        </w:tc>
        <w:tc>
          <w:tcPr>
            <w:tcW w:type="dxa" w:w="1504"/>
          </w:tcPr>
          <w:p>
            <w:r>
              <w:t>0.9795 ± 0.0056</w:t>
            </w:r>
          </w:p>
        </w:tc>
        <w:tc>
          <w:tcPr>
            <w:tcW w:type="dxa" w:w="1504"/>
          </w:tcPr>
          <w:p>
            <w:r>
              <w:t>0.9444 ± 0.0197</w:t>
            </w:r>
          </w:p>
        </w:tc>
        <w:tc>
          <w:tcPr>
            <w:tcW w:type="dxa" w:w="1504"/>
          </w:tcPr>
          <w:p>
            <w:r>
              <w:t>1.0000 ± 0.0000</w:t>
            </w:r>
          </w:p>
        </w:tc>
      </w:tr>
      <w:tr>
        <w:tc>
          <w:tcPr>
            <w:tcW w:type="dxa" w:w="1504"/>
          </w:tcPr>
          <w:p>
            <w:r>
              <w:t>Hierarchical ANFIS</w:t>
            </w:r>
          </w:p>
        </w:tc>
        <w:tc>
          <w:tcPr>
            <w:tcW w:type="dxa" w:w="1504"/>
          </w:tcPr>
          <w:p>
            <w:r>
              <w:t>0.2000 ± 0.0227</w:t>
            </w:r>
          </w:p>
        </w:tc>
        <w:tc>
          <w:tcPr>
            <w:tcW w:type="dxa" w:w="1504"/>
          </w:tcPr>
          <w:p>
            <w:r>
              <w:t>0.2949 ± 0.1729</w:t>
            </w:r>
          </w:p>
        </w:tc>
        <w:tc>
          <w:tcPr>
            <w:tcW w:type="dxa" w:w="1504"/>
          </w:tcPr>
          <w:p>
            <w:r>
              <w:t>0.9746 ± 0.0175</w:t>
            </w:r>
          </w:p>
        </w:tc>
        <w:tc>
          <w:tcPr>
            <w:tcW w:type="dxa" w:w="1504"/>
          </w:tcPr>
          <w:p>
            <w:r>
              <w:t>0.9577 ± 0.0340</w:t>
            </w:r>
          </w:p>
        </w:tc>
        <w:tc>
          <w:tcPr>
            <w:tcW w:type="dxa" w:w="1504"/>
          </w:tcPr>
          <w:p>
            <w:r>
              <w:t>0.9953 ± 0.0066</w:t>
            </w:r>
          </w:p>
        </w:tc>
      </w:tr>
      <w:tr>
        <w:tc>
          <w:tcPr>
            <w:tcW w:type="dxa" w:w="1504"/>
          </w:tcPr>
          <w:p>
            <w:r>
              <w:t>DFFL</w:t>
            </w:r>
          </w:p>
        </w:tc>
        <w:tc>
          <w:tcPr>
            <w:tcW w:type="dxa" w:w="1504"/>
          </w:tcPr>
          <w:p>
            <w:r>
              <w:t>0.1973 ± 0.0130</w:t>
            </w:r>
          </w:p>
        </w:tc>
        <w:tc>
          <w:tcPr>
            <w:tcW w:type="dxa" w:w="1504"/>
          </w:tcPr>
          <w:p>
            <w:r>
              <w:t>0.3170 ± 0.1390</w:t>
            </w:r>
          </w:p>
        </w:tc>
        <w:tc>
          <w:tcPr>
            <w:tcW w:type="dxa" w:w="1504"/>
          </w:tcPr>
          <w:p>
            <w:r>
              <w:t>0.9472 ± 0.0126</w:t>
            </w:r>
          </w:p>
        </w:tc>
        <w:tc>
          <w:tcPr>
            <w:tcW w:type="dxa" w:w="1504"/>
          </w:tcPr>
          <w:p>
            <w:r>
              <w:t>0.9552 ± 0.0371</w:t>
            </w:r>
          </w:p>
        </w:tc>
        <w:tc>
          <w:tcPr>
            <w:tcW w:type="dxa" w:w="1504"/>
          </w:tcPr>
          <w:p>
            <w:r>
              <w:t>0.9501 ± 0.0307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669280" cy="213279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quality_by_datas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1327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Times New Roman" w:hAnsi="Times New Roman"/>
          <w:sz w:val="20"/>
        </w:rPr>
        <w:t>Рисунок 2. Качество моделей по наборам данных</w:t>
      </w:r>
    </w:p>
    <w:p/>
    <w:p>
      <w:r>
        <w:rPr>
          <w:rFonts w:ascii="Times New Roman" w:hAnsi="Times New Roman"/>
          <w:sz w:val="22"/>
        </w:rPr>
        <w:t>Интегральный ранговый взгляд подтверждает эту картину: Hierarchical ANFIS и Stacked ANFIS делят лидерство по числу побед на наборах, тогда как DFFL показывает более ровное поведение без максимума по числу первых мест.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r>
              <w:t>Модель</w:t>
            </w:r>
          </w:p>
        </w:tc>
        <w:tc>
          <w:tcPr>
            <w:tcW w:type="dxa" w:w="3009"/>
          </w:tcPr>
          <w:p>
            <w:r>
              <w:t>Средний ранг по качеству</w:t>
            </w:r>
          </w:p>
        </w:tc>
        <w:tc>
          <w:tcPr>
            <w:tcW w:type="dxa" w:w="3009"/>
          </w:tcPr>
          <w:p>
            <w:r>
              <w:t>Число побед</w:t>
            </w:r>
          </w:p>
        </w:tc>
      </w:tr>
      <w:tr>
        <w:tc>
          <w:tcPr>
            <w:tcW w:type="dxa" w:w="3009"/>
          </w:tcPr>
          <w:p>
            <w:r>
              <w:t>Shallow Fuzzy</w:t>
            </w:r>
          </w:p>
        </w:tc>
        <w:tc>
          <w:tcPr>
            <w:tcW w:type="dxa" w:w="3009"/>
          </w:tcPr>
          <w:p>
            <w:r>
              <w:t>3.000</w:t>
            </w:r>
          </w:p>
        </w:tc>
        <w:tc>
          <w:tcPr>
            <w:tcW w:type="dxa" w:w="3009"/>
          </w:tcPr>
          <w:p>
            <w:r>
              <w:t>1</w:t>
            </w:r>
          </w:p>
        </w:tc>
      </w:tr>
      <w:tr>
        <w:tc>
          <w:tcPr>
            <w:tcW w:type="dxa" w:w="3009"/>
          </w:tcPr>
          <w:p>
            <w:r>
              <w:t>Stacked ANFIS</w:t>
            </w:r>
          </w:p>
        </w:tc>
        <w:tc>
          <w:tcPr>
            <w:tcW w:type="dxa" w:w="3009"/>
          </w:tcPr>
          <w:p>
            <w:r>
              <w:t>2.200</w:t>
            </w:r>
          </w:p>
        </w:tc>
        <w:tc>
          <w:tcPr>
            <w:tcW w:type="dxa" w:w="3009"/>
          </w:tcPr>
          <w:p>
            <w:r>
              <w:t>2</w:t>
            </w:r>
          </w:p>
        </w:tc>
      </w:tr>
      <w:tr>
        <w:tc>
          <w:tcPr>
            <w:tcW w:type="dxa" w:w="3009"/>
          </w:tcPr>
          <w:p>
            <w:r>
              <w:t>Hierarchical ANFIS</w:t>
            </w:r>
          </w:p>
        </w:tc>
        <w:tc>
          <w:tcPr>
            <w:tcW w:type="dxa" w:w="3009"/>
          </w:tcPr>
          <w:p>
            <w:r>
              <w:t>2.000</w:t>
            </w:r>
          </w:p>
        </w:tc>
        <w:tc>
          <w:tcPr>
            <w:tcW w:type="dxa" w:w="3009"/>
          </w:tcPr>
          <w:p>
            <w:r>
              <w:t>2</w:t>
            </w:r>
          </w:p>
        </w:tc>
      </w:tr>
      <w:tr>
        <w:tc>
          <w:tcPr>
            <w:tcW w:type="dxa" w:w="3009"/>
          </w:tcPr>
          <w:p>
            <w:r>
              <w:t>DFFL</w:t>
            </w:r>
          </w:p>
        </w:tc>
        <w:tc>
          <w:tcPr>
            <w:tcW w:type="dxa" w:w="3009"/>
          </w:tcPr>
          <w:p>
            <w:r>
              <w:t>2.800</w:t>
            </w:r>
          </w:p>
        </w:tc>
        <w:tc>
          <w:tcPr>
            <w:tcW w:type="dxa" w:w="3009"/>
          </w:tcPr>
          <w:p>
            <w:r>
              <w:t>0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669280" cy="26291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rank_and_win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6291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Times New Roman" w:hAnsi="Times New Roman"/>
          <w:sz w:val="20"/>
        </w:rPr>
        <w:t>Рисунок 3. Средний ранг и число побед</w:t>
      </w:r>
    </w:p>
    <w:p/>
    <w:p>
      <w:r>
        <w:rPr>
          <w:rFonts w:ascii="Times New Roman" w:hAnsi="Times New Roman"/>
          <w:sz w:val="22"/>
        </w:rPr>
        <w:t>Анализ сложности и устойчивости показывает, что более сильный ранг по качеству не гарантирует более стабильную структуру правил. В текущем прогоне DFFL и базовый неглубокий вариант дают более высокий коэффициент Жаккара по активным правилам, а у Stacked ANFIS и Hierarchical ANFIS преимущество смещается в сторону качества.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</w:tcPr>
          <w:p>
            <w:r>
              <w:t>Модель</w:t>
            </w:r>
          </w:p>
        </w:tc>
        <w:tc>
          <w:tcPr>
            <w:tcW w:type="dxa" w:w="1805"/>
          </w:tcPr>
          <w:p>
            <w:r>
              <w:t>Среднее число правил</w:t>
            </w:r>
          </w:p>
        </w:tc>
        <w:tc>
          <w:tcPr>
            <w:tcW w:type="dxa" w:w="1805"/>
          </w:tcPr>
          <w:p>
            <w:r>
              <w:t>Среднее число активных правил</w:t>
            </w:r>
          </w:p>
        </w:tc>
        <w:tc>
          <w:tcPr>
            <w:tcW w:type="dxa" w:w="1805"/>
          </w:tcPr>
          <w:p>
            <w:r>
              <w:t>Средний Жаккар активных правил</w:t>
            </w:r>
          </w:p>
        </w:tc>
        <w:tc>
          <w:tcPr>
            <w:tcW w:type="dxa" w:w="1805"/>
          </w:tcPr>
          <w:p>
            <w:r>
              <w:t>Средний Жаккар активных правил решения</w:t>
            </w:r>
          </w:p>
        </w:tc>
      </w:tr>
      <w:tr>
        <w:tc>
          <w:tcPr>
            <w:tcW w:type="dxa" w:w="1805"/>
          </w:tcPr>
          <w:p>
            <w:r>
              <w:t>Shallow Fuzzy</w:t>
            </w:r>
          </w:p>
        </w:tc>
        <w:tc>
          <w:tcPr>
            <w:tcW w:type="dxa" w:w="1805"/>
          </w:tcPr>
          <w:p>
            <w:r>
              <w:t>36.00</w:t>
            </w:r>
          </w:p>
        </w:tc>
        <w:tc>
          <w:tcPr>
            <w:tcW w:type="dxa" w:w="1805"/>
          </w:tcPr>
          <w:p>
            <w:r>
              <w:t>19.73</w:t>
            </w:r>
          </w:p>
        </w:tc>
        <w:tc>
          <w:tcPr>
            <w:tcW w:type="dxa" w:w="1805"/>
          </w:tcPr>
          <w:p>
            <w:r>
              <w:t>0.2673</w:t>
            </w:r>
          </w:p>
        </w:tc>
        <w:tc>
          <w:tcPr>
            <w:tcW w:type="dxa" w:w="1805"/>
          </w:tcPr>
          <w:p>
            <w:r>
              <w:t>0.6022</w:t>
            </w:r>
          </w:p>
        </w:tc>
      </w:tr>
      <w:tr>
        <w:tc>
          <w:tcPr>
            <w:tcW w:type="dxa" w:w="1805"/>
          </w:tcPr>
          <w:p>
            <w:r>
              <w:t>Stacked ANFIS</w:t>
            </w:r>
          </w:p>
        </w:tc>
        <w:tc>
          <w:tcPr>
            <w:tcW w:type="dxa" w:w="1805"/>
          </w:tcPr>
          <w:p>
            <w:r>
              <w:t>50.00</w:t>
            </w:r>
          </w:p>
        </w:tc>
        <w:tc>
          <w:tcPr>
            <w:tcW w:type="dxa" w:w="1805"/>
          </w:tcPr>
          <w:p>
            <w:r>
              <w:t>21.53</w:t>
            </w:r>
          </w:p>
        </w:tc>
        <w:tc>
          <w:tcPr>
            <w:tcW w:type="dxa" w:w="1805"/>
          </w:tcPr>
          <w:p>
            <w:r>
              <w:t>0.1415</w:t>
            </w:r>
          </w:p>
        </w:tc>
        <w:tc>
          <w:tcPr>
            <w:tcW w:type="dxa" w:w="1805"/>
          </w:tcPr>
          <w:p>
            <w:r>
              <w:t>0.2517</w:t>
            </w:r>
          </w:p>
        </w:tc>
      </w:tr>
      <w:tr>
        <w:tc>
          <w:tcPr>
            <w:tcW w:type="dxa" w:w="1805"/>
          </w:tcPr>
          <w:p>
            <w:r>
              <w:t>Hierarchical ANFIS</w:t>
            </w:r>
          </w:p>
        </w:tc>
        <w:tc>
          <w:tcPr>
            <w:tcW w:type="dxa" w:w="1805"/>
          </w:tcPr>
          <w:p>
            <w:r>
              <w:t>74.80</w:t>
            </w:r>
          </w:p>
        </w:tc>
        <w:tc>
          <w:tcPr>
            <w:tcW w:type="dxa" w:w="1805"/>
          </w:tcPr>
          <w:p>
            <w:r>
              <w:t>31.73</w:t>
            </w:r>
          </w:p>
        </w:tc>
        <w:tc>
          <w:tcPr>
            <w:tcW w:type="dxa" w:w="1805"/>
          </w:tcPr>
          <w:p>
            <w:r>
              <w:t>0.1449</w:t>
            </w:r>
          </w:p>
        </w:tc>
        <w:tc>
          <w:tcPr>
            <w:tcW w:type="dxa" w:w="1805"/>
          </w:tcPr>
          <w:p>
            <w:r>
              <w:t>0.1751</w:t>
            </w:r>
          </w:p>
        </w:tc>
      </w:tr>
      <w:tr>
        <w:tc>
          <w:tcPr>
            <w:tcW w:type="dxa" w:w="1805"/>
          </w:tcPr>
          <w:p>
            <w:r>
              <w:t>DFFL</w:t>
            </w:r>
          </w:p>
        </w:tc>
        <w:tc>
          <w:tcPr>
            <w:tcW w:type="dxa" w:w="1805"/>
          </w:tcPr>
          <w:p>
            <w:r>
              <w:t>96.73</w:t>
            </w:r>
          </w:p>
        </w:tc>
        <w:tc>
          <w:tcPr>
            <w:tcW w:type="dxa" w:w="1805"/>
          </w:tcPr>
          <w:p>
            <w:r>
              <w:t>46.33</w:t>
            </w:r>
          </w:p>
        </w:tc>
        <w:tc>
          <w:tcPr>
            <w:tcW w:type="dxa" w:w="1805"/>
          </w:tcPr>
          <w:p>
            <w:r>
              <w:t>0.2626</w:t>
            </w:r>
          </w:p>
        </w:tc>
        <w:tc>
          <w:tcPr>
            <w:tcW w:type="dxa" w:w="1805"/>
          </w:tcPr>
          <w:p>
            <w:r>
              <w:t>0.1836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669280" cy="203467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complexity_stabilit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0346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Times New Roman" w:hAnsi="Times New Roman"/>
          <w:sz w:val="20"/>
        </w:rPr>
        <w:t>Рисунок 4. Сложность и устойчивость базы правил</w:t>
      </w:r>
    </w:p>
    <w:p/>
    <w:p>
      <w:r>
        <w:rPr>
          <w:rFonts w:ascii="Times New Roman" w:hAnsi="Times New Roman"/>
          <w:sz w:val="22"/>
        </w:rPr>
        <w:t>Для статистической проверки применён критерий Фридмана. На уровне агрегирования по наборам данных получено chi2 = 2.04 и p = 0.564, а на уровне блоков «набор × запуск» получено chi2 = 4.92 и p = 0.178. Попарные проверки по критерию Уилкоксона с поправкой Холма не дали статистически значимых различий при уровне значимости 0.05. Это означает, что выводы корректно формулировать как устойчивые прикладные тенденции, но не как строго доказанное универсальное доминирование одной архитектуры.</w:t>
      </w:r>
    </w:p>
    <w:p>
      <w:pPr>
        <w:pStyle w:val="Heading2"/>
      </w:pPr>
      <w:r>
        <w:rPr>
          <w:rFonts w:ascii="Times New Roman" w:hAnsi="Times New Roman"/>
          <w:sz w:val="24"/>
        </w:rPr>
        <w:t>7. Сопоставление с классическими моделями и расширение на крупный набор</w:t>
      </w:r>
    </w:p>
    <w:p>
      <w:r>
        <w:rPr>
          <w:rFonts w:ascii="Times New Roman" w:hAnsi="Times New Roman"/>
          <w:sz w:val="22"/>
        </w:rPr>
        <w:t>Для практической полноты работа дополнена прямым сопоставлением с классическими моделями машинного обучения, включая линейную регрессию, случайный лес и многослойный перцептрон. Эта проверка важна, поскольку статья уровня Q2 должна показывать не только внутреннее сравнение нейро-нечётких вариантов, но и место подхода относительно общепринятых базовых методов.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c>
          <w:tcPr>
            <w:tcW w:type="dxa" w:w="1289"/>
          </w:tcPr>
          <w:p>
            <w:r>
              <w:t>Набор данных</w:t>
            </w:r>
          </w:p>
        </w:tc>
        <w:tc>
          <w:tcPr>
            <w:tcW w:type="dxa" w:w="1289"/>
          </w:tcPr>
          <w:p>
            <w:r>
              <w:t>Метрика</w:t>
            </w:r>
          </w:p>
        </w:tc>
        <w:tc>
          <w:tcPr>
            <w:tcW w:type="dxa" w:w="1289"/>
          </w:tcPr>
          <w:p>
            <w:r>
              <w:t>Лучшая классическая модель</w:t>
            </w:r>
          </w:p>
        </w:tc>
        <w:tc>
          <w:tcPr>
            <w:tcW w:type="dxa" w:w="1289"/>
          </w:tcPr>
          <w:p>
            <w:r>
              <w:t>Значение</w:t>
            </w:r>
          </w:p>
        </w:tc>
        <w:tc>
          <w:tcPr>
            <w:tcW w:type="dxa" w:w="1289"/>
          </w:tcPr>
          <w:p>
            <w:r>
              <w:t>Лучшая нейро-нечёткая модель</w:t>
            </w:r>
          </w:p>
        </w:tc>
        <w:tc>
          <w:tcPr>
            <w:tcW w:type="dxa" w:w="1289"/>
          </w:tcPr>
          <w:p>
            <w:r>
              <w:t>Значение</w:t>
            </w:r>
          </w:p>
        </w:tc>
        <w:tc>
          <w:tcPr>
            <w:tcW w:type="dxa" w:w="1289"/>
          </w:tcPr>
          <w:p>
            <w:r>
              <w:t>Разница (нечёткая − классическая)</w:t>
            </w:r>
          </w:p>
        </w:tc>
      </w:tr>
      <w:tr>
        <w:tc>
          <w:tcPr>
            <w:tcW w:type="dxa" w:w="1289"/>
          </w:tcPr>
          <w:p>
            <w:r>
              <w:t>diabetes</w:t>
            </w:r>
          </w:p>
        </w:tc>
        <w:tc>
          <w:tcPr>
            <w:tcW w:type="dxa" w:w="1289"/>
          </w:tcPr>
          <w:p>
            <w:r>
              <w:t>RMSE</w:t>
            </w:r>
          </w:p>
        </w:tc>
        <w:tc>
          <w:tcPr>
            <w:tcW w:type="dxa" w:w="1289"/>
          </w:tcPr>
          <w:p>
            <w:r>
              <w:t>linear_regression</w:t>
            </w:r>
          </w:p>
        </w:tc>
        <w:tc>
          <w:tcPr>
            <w:tcW w:type="dxa" w:w="1289"/>
          </w:tcPr>
          <w:p>
            <w:r>
              <w:t>0.1779</w:t>
            </w:r>
          </w:p>
        </w:tc>
        <w:tc>
          <w:tcPr>
            <w:tcW w:type="dxa" w:w="1289"/>
          </w:tcPr>
          <w:p>
            <w:r>
              <w:t>ruanfis_shallow</w:t>
            </w:r>
          </w:p>
        </w:tc>
        <w:tc>
          <w:tcPr>
            <w:tcW w:type="dxa" w:w="1289"/>
          </w:tcPr>
          <w:p>
            <w:r>
              <w:t>0.1944</w:t>
            </w:r>
          </w:p>
        </w:tc>
        <w:tc>
          <w:tcPr>
            <w:tcW w:type="dxa" w:w="1289"/>
          </w:tcPr>
          <w:p>
            <w:r>
              <w:t>+0.0166</w:t>
            </w:r>
          </w:p>
        </w:tc>
      </w:tr>
      <w:tr>
        <w:tc>
          <w:tcPr>
            <w:tcW w:type="dxa" w:w="1289"/>
          </w:tcPr>
          <w:p>
            <w:r>
              <w:t>linnerud_weight</w:t>
            </w:r>
          </w:p>
        </w:tc>
        <w:tc>
          <w:tcPr>
            <w:tcW w:type="dxa" w:w="1289"/>
          </w:tcPr>
          <w:p>
            <w:r>
              <w:t>RMSE</w:t>
            </w:r>
          </w:p>
        </w:tc>
        <w:tc>
          <w:tcPr>
            <w:tcW w:type="dxa" w:w="1289"/>
          </w:tcPr>
          <w:p>
            <w:r>
              <w:t>random_forest_regressor</w:t>
            </w:r>
          </w:p>
        </w:tc>
        <w:tc>
          <w:tcPr>
            <w:tcW w:type="dxa" w:w="1289"/>
          </w:tcPr>
          <w:p>
            <w:r>
              <w:t>0.3374</w:t>
            </w:r>
          </w:p>
        </w:tc>
        <w:tc>
          <w:tcPr>
            <w:tcW w:type="dxa" w:w="1289"/>
          </w:tcPr>
          <w:p>
            <w:r>
              <w:t>ruanfis_hierarchical_anfis</w:t>
            </w:r>
          </w:p>
        </w:tc>
        <w:tc>
          <w:tcPr>
            <w:tcW w:type="dxa" w:w="1289"/>
          </w:tcPr>
          <w:p>
            <w:r>
              <w:t>0.2949</w:t>
            </w:r>
          </w:p>
        </w:tc>
        <w:tc>
          <w:tcPr>
            <w:tcW w:type="dxa" w:w="1289"/>
          </w:tcPr>
          <w:p>
            <w:r>
              <w:t>-0.0425</w:t>
            </w:r>
          </w:p>
        </w:tc>
      </w:tr>
      <w:tr>
        <w:tc>
          <w:tcPr>
            <w:tcW w:type="dxa" w:w="1289"/>
          </w:tcPr>
          <w:p>
            <w:r>
              <w:t>breast_cancer</w:t>
            </w:r>
          </w:p>
        </w:tc>
        <w:tc>
          <w:tcPr>
            <w:tcW w:type="dxa" w:w="1289"/>
          </w:tcPr>
          <w:p>
            <w:r>
              <w:t>F1</w:t>
            </w:r>
          </w:p>
        </w:tc>
        <w:tc>
          <w:tcPr>
            <w:tcW w:type="dxa" w:w="1289"/>
          </w:tcPr>
          <w:p>
            <w:r>
              <w:t>mlp_classifier</w:t>
            </w:r>
          </w:p>
        </w:tc>
        <w:tc>
          <w:tcPr>
            <w:tcW w:type="dxa" w:w="1289"/>
          </w:tcPr>
          <w:p>
            <w:r>
              <w:t>0.9886</w:t>
            </w:r>
          </w:p>
        </w:tc>
        <w:tc>
          <w:tcPr>
            <w:tcW w:type="dxa" w:w="1289"/>
          </w:tcPr>
          <w:p>
            <w:r>
              <w:t>ruanfis_stacked_anfis</w:t>
            </w:r>
          </w:p>
        </w:tc>
        <w:tc>
          <w:tcPr>
            <w:tcW w:type="dxa" w:w="1289"/>
          </w:tcPr>
          <w:p>
            <w:r>
              <w:t>0.9795</w:t>
            </w:r>
          </w:p>
        </w:tc>
        <w:tc>
          <w:tcPr>
            <w:tcW w:type="dxa" w:w="1289"/>
          </w:tcPr>
          <w:p>
            <w:r>
              <w:t>-0.0091</w:t>
            </w:r>
          </w:p>
        </w:tc>
      </w:tr>
      <w:tr>
        <w:tc>
          <w:tcPr>
            <w:tcW w:type="dxa" w:w="1289"/>
          </w:tcPr>
          <w:p>
            <w:r>
              <w:t>wine_binary</w:t>
            </w:r>
          </w:p>
        </w:tc>
        <w:tc>
          <w:tcPr>
            <w:tcW w:type="dxa" w:w="1289"/>
          </w:tcPr>
          <w:p>
            <w:r>
              <w:t>F1</w:t>
            </w:r>
          </w:p>
        </w:tc>
        <w:tc>
          <w:tcPr>
            <w:tcW w:type="dxa" w:w="1289"/>
          </w:tcPr>
          <w:p>
            <w:r>
              <w:t>mlp_classifier</w:t>
            </w:r>
          </w:p>
        </w:tc>
        <w:tc>
          <w:tcPr>
            <w:tcW w:type="dxa" w:w="1289"/>
          </w:tcPr>
          <w:p>
            <w:r>
              <w:t>1.0000</w:t>
            </w:r>
          </w:p>
        </w:tc>
        <w:tc>
          <w:tcPr>
            <w:tcW w:type="dxa" w:w="1289"/>
          </w:tcPr>
          <w:p>
            <w:r>
              <w:t>ruanfis_hierarchical_anfis</w:t>
            </w:r>
          </w:p>
        </w:tc>
        <w:tc>
          <w:tcPr>
            <w:tcW w:type="dxa" w:w="1289"/>
          </w:tcPr>
          <w:p>
            <w:r>
              <w:t>0.9577</w:t>
            </w:r>
          </w:p>
        </w:tc>
        <w:tc>
          <w:tcPr>
            <w:tcW w:type="dxa" w:w="1289"/>
          </w:tcPr>
          <w:p>
            <w:r>
              <w:t>-0.0423</w:t>
            </w:r>
          </w:p>
        </w:tc>
      </w:tr>
      <w:tr>
        <w:tc>
          <w:tcPr>
            <w:tcW w:type="dxa" w:w="1289"/>
          </w:tcPr>
          <w:p>
            <w:r>
              <w:t>digits_binary</w:t>
            </w:r>
          </w:p>
        </w:tc>
        <w:tc>
          <w:tcPr>
            <w:tcW w:type="dxa" w:w="1289"/>
          </w:tcPr>
          <w:p>
            <w:r>
              <w:t>F1</w:t>
            </w:r>
          </w:p>
        </w:tc>
        <w:tc>
          <w:tcPr>
            <w:tcW w:type="dxa" w:w="1289"/>
          </w:tcPr>
          <w:p>
            <w:r>
              <w:t>mlp_classifier</w:t>
            </w:r>
          </w:p>
        </w:tc>
        <w:tc>
          <w:tcPr>
            <w:tcW w:type="dxa" w:w="1289"/>
          </w:tcPr>
          <w:p>
            <w:r>
              <w:t>1.0000</w:t>
            </w:r>
          </w:p>
        </w:tc>
        <w:tc>
          <w:tcPr>
            <w:tcW w:type="dxa" w:w="1289"/>
          </w:tcPr>
          <w:p>
            <w:r>
              <w:t>ruanfis_stacked_anfis</w:t>
            </w:r>
          </w:p>
        </w:tc>
        <w:tc>
          <w:tcPr>
            <w:tcW w:type="dxa" w:w="1289"/>
          </w:tcPr>
          <w:p>
            <w:r>
              <w:t>1.0000</w:t>
            </w:r>
          </w:p>
        </w:tc>
        <w:tc>
          <w:tcPr>
            <w:tcW w:type="dxa" w:w="1289"/>
          </w:tcPr>
          <w:p>
            <w:r>
              <w:t>+0.0000</w:t>
            </w:r>
          </w:p>
        </w:tc>
      </w:tr>
      <w:tr>
        <w:tc>
          <w:tcPr>
            <w:tcW w:type="dxa" w:w="1289"/>
          </w:tcPr>
          <w:p>
            <w:r>
              <w:t>california_housing</w:t>
            </w:r>
          </w:p>
        </w:tc>
        <w:tc>
          <w:tcPr>
            <w:tcW w:type="dxa" w:w="1289"/>
          </w:tcPr>
          <w:p>
            <w:r>
              <w:t>RMSE</w:t>
            </w:r>
          </w:p>
        </w:tc>
        <w:tc>
          <w:tcPr>
            <w:tcW w:type="dxa" w:w="1289"/>
          </w:tcPr>
          <w:p>
            <w:r>
              <w:t>random_forest_regressor</w:t>
            </w:r>
          </w:p>
        </w:tc>
        <w:tc>
          <w:tcPr>
            <w:tcW w:type="dxa" w:w="1289"/>
          </w:tcPr>
          <w:p>
            <w:r>
              <w:t>0.1062</w:t>
            </w:r>
          </w:p>
        </w:tc>
        <w:tc>
          <w:tcPr>
            <w:tcW w:type="dxa" w:w="1289"/>
          </w:tcPr>
          <w:p>
            <w:r>
              <w:t>ruanfis_stacked_anfis</w:t>
            </w:r>
          </w:p>
        </w:tc>
        <w:tc>
          <w:tcPr>
            <w:tcW w:type="dxa" w:w="1289"/>
          </w:tcPr>
          <w:p>
            <w:r>
              <w:t>0.1159</w:t>
            </w:r>
          </w:p>
        </w:tc>
        <w:tc>
          <w:tcPr>
            <w:tcW w:type="dxa" w:w="1289"/>
          </w:tcPr>
          <w:p>
            <w:r>
              <w:t>+0.0097</w:t>
            </w:r>
          </w:p>
        </w:tc>
      </w:tr>
    </w:tbl>
    <w:p/>
    <w:p>
      <w:r>
        <w:rPr>
          <w:rFonts w:ascii="Times New Roman" w:hAnsi="Times New Roman"/>
          <w:sz w:val="22"/>
        </w:rPr>
        <w:t>Отдельный верификационный прогон на более крупном наборе california_housing (20640 объектов, seed = 19, 23, 29) показал лидерство Stacked ANFIS внутри нейро-нечёткой группы. В этом прогоне получены значения RMSE = 0.1159 для Stacked ANFIS, 0.1195 для Hierarchical ANFIS, 0.1350 для DFFL и 0.1745 для Shallow Fuzzy. Таким образом, расширение на более крупные данные сохраняет общую картину компромисса: лучшая ошибка достигается у более жёстко структурированных архитектур, тогда как DFFL остаётся методически значимым вариантом в контуре интерпретируемого глубокого представления.</w:t>
      </w:r>
    </w:p>
    <w:p>
      <w:pPr>
        <w:pStyle w:val="Heading2"/>
      </w:pPr>
      <w:r>
        <w:rPr>
          <w:rFonts w:ascii="Times New Roman" w:hAnsi="Times New Roman"/>
          <w:sz w:val="24"/>
        </w:rPr>
        <w:t>8. Абляция профилей DFFL</w:t>
      </w:r>
    </w:p>
    <w:p>
      <w:r>
        <w:rPr>
          <w:rFonts w:ascii="Times New Roman" w:hAnsi="Times New Roman"/>
          <w:sz w:val="22"/>
        </w:rPr>
        <w:t>Для проверки внутренней устойчивости DFFL выполнено отдельное абляционное исследование трёх профилей настройки при том же бюджете обучения и той же схеме повторных запусков. Сравнение профилей quality_auto, quality_balanced и baseline показало, что поведение DFFL немонотонно: уменьшение сложности не гарантирует улучшение качества, а увеличение числа правил не гарантирует прирост обобщающей способности.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c>
          <w:tcPr>
            <w:tcW w:type="dxa" w:w="1289"/>
          </w:tcPr>
          <w:p>
            <w:r>
              <w:t>Профиль DFFL</w:t>
            </w:r>
          </w:p>
        </w:tc>
        <w:tc>
          <w:tcPr>
            <w:tcW w:type="dxa" w:w="1289"/>
          </w:tcPr>
          <w:p>
            <w:r>
              <w:t>Средний ранг</w:t>
            </w:r>
          </w:p>
        </w:tc>
        <w:tc>
          <w:tcPr>
            <w:tcW w:type="dxa" w:w="1289"/>
          </w:tcPr>
          <w:p>
            <w:r>
              <w:t>Победы</w:t>
            </w:r>
          </w:p>
        </w:tc>
        <w:tc>
          <w:tcPr>
            <w:tcW w:type="dxa" w:w="1289"/>
          </w:tcPr>
          <w:p>
            <w:r>
              <w:t>Среднее число правил</w:t>
            </w:r>
          </w:p>
        </w:tc>
        <w:tc>
          <w:tcPr>
            <w:tcW w:type="dxa" w:w="1289"/>
          </w:tcPr>
          <w:p>
            <w:r>
              <w:t>Среднее число активных правил</w:t>
            </w:r>
          </w:p>
        </w:tc>
        <w:tc>
          <w:tcPr>
            <w:tcW w:type="dxa" w:w="1289"/>
          </w:tcPr>
          <w:p>
            <w:r>
              <w:t>Средний Жаккар активных правил</w:t>
            </w:r>
          </w:p>
        </w:tc>
        <w:tc>
          <w:tcPr>
            <w:tcW w:type="dxa" w:w="1289"/>
          </w:tcPr>
          <w:p>
            <w:r>
              <w:t>Средний Жаккар активных правил решения</w:t>
            </w:r>
          </w:p>
        </w:tc>
      </w:tr>
      <w:tr>
        <w:tc>
          <w:tcPr>
            <w:tcW w:type="dxa" w:w="1289"/>
          </w:tcPr>
          <w:p>
            <w:r>
              <w:t>quality_auto</w:t>
            </w:r>
          </w:p>
        </w:tc>
        <w:tc>
          <w:tcPr>
            <w:tcW w:type="dxa" w:w="1289"/>
          </w:tcPr>
          <w:p>
            <w:r>
              <w:t>2.800</w:t>
            </w:r>
          </w:p>
        </w:tc>
        <w:tc>
          <w:tcPr>
            <w:tcW w:type="dxa" w:w="1289"/>
          </w:tcPr>
          <w:p>
            <w:r>
              <w:t>0</w:t>
            </w:r>
          </w:p>
        </w:tc>
        <w:tc>
          <w:tcPr>
            <w:tcW w:type="dxa" w:w="1289"/>
          </w:tcPr>
          <w:p>
            <w:r>
              <w:t>96.73</w:t>
            </w:r>
          </w:p>
        </w:tc>
        <w:tc>
          <w:tcPr>
            <w:tcW w:type="dxa" w:w="1289"/>
          </w:tcPr>
          <w:p>
            <w:r>
              <w:t>46.33</w:t>
            </w:r>
          </w:p>
        </w:tc>
        <w:tc>
          <w:tcPr>
            <w:tcW w:type="dxa" w:w="1289"/>
          </w:tcPr>
          <w:p>
            <w:r>
              <w:t>0.2626</w:t>
            </w:r>
          </w:p>
        </w:tc>
        <w:tc>
          <w:tcPr>
            <w:tcW w:type="dxa" w:w="1289"/>
          </w:tcPr>
          <w:p>
            <w:r>
              <w:t>0.1836</w:t>
            </w:r>
          </w:p>
        </w:tc>
      </w:tr>
      <w:tr>
        <w:tc>
          <w:tcPr>
            <w:tcW w:type="dxa" w:w="1289"/>
          </w:tcPr>
          <w:p>
            <w:r>
              <w:t>quality_balanced</w:t>
            </w:r>
          </w:p>
        </w:tc>
        <w:tc>
          <w:tcPr>
            <w:tcW w:type="dxa" w:w="1289"/>
          </w:tcPr>
          <w:p>
            <w:r>
              <w:t>3.600</w:t>
            </w:r>
          </w:p>
        </w:tc>
        <w:tc>
          <w:tcPr>
            <w:tcW w:type="dxa" w:w="1289"/>
          </w:tcPr>
          <w:p>
            <w:r>
              <w:t>0</w:t>
            </w:r>
          </w:p>
        </w:tc>
        <w:tc>
          <w:tcPr>
            <w:tcW w:type="dxa" w:w="1289"/>
          </w:tcPr>
          <w:p>
            <w:r>
              <w:t>90.60</w:t>
            </w:r>
          </w:p>
        </w:tc>
        <w:tc>
          <w:tcPr>
            <w:tcW w:type="dxa" w:w="1289"/>
          </w:tcPr>
          <w:p>
            <w:r>
              <w:t>40.67</w:t>
            </w:r>
          </w:p>
        </w:tc>
        <w:tc>
          <w:tcPr>
            <w:tcW w:type="dxa" w:w="1289"/>
          </w:tcPr>
          <w:p>
            <w:r>
              <w:t>0.1257</w:t>
            </w:r>
          </w:p>
        </w:tc>
        <w:tc>
          <w:tcPr>
            <w:tcW w:type="dxa" w:w="1289"/>
          </w:tcPr>
          <w:p>
            <w:r>
              <w:t>0.1627</w:t>
            </w:r>
          </w:p>
        </w:tc>
      </w:tr>
      <w:tr>
        <w:tc>
          <w:tcPr>
            <w:tcW w:type="dxa" w:w="1289"/>
          </w:tcPr>
          <w:p>
            <w:r>
              <w:t>baseline</w:t>
            </w:r>
          </w:p>
        </w:tc>
        <w:tc>
          <w:tcPr>
            <w:tcW w:type="dxa" w:w="1289"/>
          </w:tcPr>
          <w:p>
            <w:r>
              <w:t>3.200</w:t>
            </w:r>
          </w:p>
        </w:tc>
        <w:tc>
          <w:tcPr>
            <w:tcW w:type="dxa" w:w="1289"/>
          </w:tcPr>
          <w:p>
            <w:r>
              <w:t>1</w:t>
            </w:r>
          </w:p>
        </w:tc>
        <w:tc>
          <w:tcPr>
            <w:tcW w:type="dxa" w:w="1289"/>
          </w:tcPr>
          <w:p>
            <w:r>
              <w:t>71.93</w:t>
            </w:r>
          </w:p>
        </w:tc>
        <w:tc>
          <w:tcPr>
            <w:tcW w:type="dxa" w:w="1289"/>
          </w:tcPr>
          <w:p>
            <w:r>
              <w:t>34.53</w:t>
            </w:r>
          </w:p>
        </w:tc>
        <w:tc>
          <w:tcPr>
            <w:tcW w:type="dxa" w:w="1289"/>
          </w:tcPr>
          <w:p>
            <w:r>
              <w:t>0.1850</w:t>
            </w:r>
          </w:p>
        </w:tc>
        <w:tc>
          <w:tcPr>
            <w:tcW w:type="dxa" w:w="1289"/>
          </w:tcPr>
          <w:p>
            <w:r>
              <w:t>0.2987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</w:tcPr>
          <w:p>
            <w:r>
              <w:t>Профиль DFFL</w:t>
            </w:r>
          </w:p>
        </w:tc>
        <w:tc>
          <w:tcPr>
            <w:tcW w:type="dxa" w:w="1504"/>
          </w:tcPr>
          <w:p>
            <w:r>
              <w:t>diabetes (RMSE)</w:t>
            </w:r>
          </w:p>
        </w:tc>
        <w:tc>
          <w:tcPr>
            <w:tcW w:type="dxa" w:w="1504"/>
          </w:tcPr>
          <w:p>
            <w:r>
              <w:t>linnerud_weight (RMSE)</w:t>
            </w:r>
          </w:p>
        </w:tc>
        <w:tc>
          <w:tcPr>
            <w:tcW w:type="dxa" w:w="1504"/>
          </w:tcPr>
          <w:p>
            <w:r>
              <w:t>breast_cancer (F1)</w:t>
            </w:r>
          </w:p>
        </w:tc>
        <w:tc>
          <w:tcPr>
            <w:tcW w:type="dxa" w:w="1504"/>
          </w:tcPr>
          <w:p>
            <w:r>
              <w:t>wine_binary (F1)</w:t>
            </w:r>
          </w:p>
        </w:tc>
        <w:tc>
          <w:tcPr>
            <w:tcW w:type="dxa" w:w="1504"/>
          </w:tcPr>
          <w:p>
            <w:r>
              <w:t>digits_binary (F1)</w:t>
            </w:r>
          </w:p>
        </w:tc>
      </w:tr>
      <w:tr>
        <w:tc>
          <w:tcPr>
            <w:tcW w:type="dxa" w:w="1504"/>
          </w:tcPr>
          <w:p>
            <w:r>
              <w:t>quality_auto</w:t>
            </w:r>
          </w:p>
        </w:tc>
        <w:tc>
          <w:tcPr>
            <w:tcW w:type="dxa" w:w="1504"/>
          </w:tcPr>
          <w:p>
            <w:r>
              <w:t>0.1973</w:t>
            </w:r>
          </w:p>
        </w:tc>
        <w:tc>
          <w:tcPr>
            <w:tcW w:type="dxa" w:w="1504"/>
          </w:tcPr>
          <w:p>
            <w:r>
              <w:t>0.3170</w:t>
            </w:r>
          </w:p>
        </w:tc>
        <w:tc>
          <w:tcPr>
            <w:tcW w:type="dxa" w:w="1504"/>
          </w:tcPr>
          <w:p>
            <w:r>
              <w:t>0.9472</w:t>
            </w:r>
          </w:p>
        </w:tc>
        <w:tc>
          <w:tcPr>
            <w:tcW w:type="dxa" w:w="1504"/>
          </w:tcPr>
          <w:p>
            <w:r>
              <w:t>0.9552</w:t>
            </w:r>
          </w:p>
        </w:tc>
        <w:tc>
          <w:tcPr>
            <w:tcW w:type="dxa" w:w="1504"/>
          </w:tcPr>
          <w:p>
            <w:r>
              <w:t>0.9501</w:t>
            </w:r>
          </w:p>
        </w:tc>
      </w:tr>
      <w:tr>
        <w:tc>
          <w:tcPr>
            <w:tcW w:type="dxa" w:w="1504"/>
          </w:tcPr>
          <w:p>
            <w:r>
              <w:t>quality_balanced</w:t>
            </w:r>
          </w:p>
        </w:tc>
        <w:tc>
          <w:tcPr>
            <w:tcW w:type="dxa" w:w="1504"/>
          </w:tcPr>
          <w:p>
            <w:r>
              <w:t>0.2008</w:t>
            </w:r>
          </w:p>
        </w:tc>
        <w:tc>
          <w:tcPr>
            <w:tcW w:type="dxa" w:w="1504"/>
          </w:tcPr>
          <w:p>
            <w:r>
              <w:t>0.4439</w:t>
            </w:r>
          </w:p>
        </w:tc>
        <w:tc>
          <w:tcPr>
            <w:tcW w:type="dxa" w:w="1504"/>
          </w:tcPr>
          <w:p>
            <w:r>
              <w:t>0.9587</w:t>
            </w:r>
          </w:p>
        </w:tc>
        <w:tc>
          <w:tcPr>
            <w:tcW w:type="dxa" w:w="1504"/>
          </w:tcPr>
          <w:p>
            <w:r>
              <w:t>0.9310</w:t>
            </w:r>
          </w:p>
        </w:tc>
        <w:tc>
          <w:tcPr>
            <w:tcW w:type="dxa" w:w="1504"/>
          </w:tcPr>
          <w:p>
            <w:r>
              <w:t>0.9722</w:t>
            </w:r>
          </w:p>
        </w:tc>
      </w:tr>
      <w:tr>
        <w:tc>
          <w:tcPr>
            <w:tcW w:type="dxa" w:w="1504"/>
          </w:tcPr>
          <w:p>
            <w:r>
              <w:t>baseline</w:t>
            </w:r>
          </w:p>
        </w:tc>
        <w:tc>
          <w:tcPr>
            <w:tcW w:type="dxa" w:w="1504"/>
          </w:tcPr>
          <w:p>
            <w:r>
              <w:t>0.2029</w:t>
            </w:r>
          </w:p>
        </w:tc>
        <w:tc>
          <w:tcPr>
            <w:tcW w:type="dxa" w:w="1504"/>
          </w:tcPr>
          <w:p>
            <w:r>
              <w:t>0.2767</w:t>
            </w:r>
          </w:p>
        </w:tc>
        <w:tc>
          <w:tcPr>
            <w:tcW w:type="dxa" w:w="1504"/>
          </w:tcPr>
          <w:p>
            <w:r>
              <w:t>0.9612</w:t>
            </w:r>
          </w:p>
        </w:tc>
        <w:tc>
          <w:tcPr>
            <w:tcW w:type="dxa" w:w="1504"/>
          </w:tcPr>
          <w:p>
            <w:r>
              <w:t>0.9552</w:t>
            </w:r>
          </w:p>
        </w:tc>
        <w:tc>
          <w:tcPr>
            <w:tcW w:type="dxa" w:w="1504"/>
          </w:tcPr>
          <w:p>
            <w:r>
              <w:t>0.9232</w:t>
            </w:r>
          </w:p>
        </w:tc>
      </w:tr>
    </w:tbl>
    <w:p/>
    <w:p>
      <w:r>
        <w:rPr>
          <w:rFonts w:ascii="Times New Roman" w:hAnsi="Times New Roman"/>
          <w:sz w:val="22"/>
        </w:rPr>
        <w:t>Практический вывод из абляции состоит в том, что профиль quality_auto лучше подходит в сценариях, где приоритетом является устойчивость структуры активных правил, а профиль baseline может быть предпочтителен как более компактный вариант при сохранении конкурентности на части задач.</w:t>
      </w:r>
    </w:p>
    <w:p>
      <w:pPr>
        <w:pStyle w:val="Heading2"/>
      </w:pPr>
      <w:r>
        <w:rPr>
          <w:rFonts w:ascii="Times New Roman" w:hAnsi="Times New Roman"/>
          <w:sz w:val="24"/>
        </w:rPr>
        <w:t>9. Ограничения и обсуждение</w:t>
      </w:r>
    </w:p>
    <w:p>
      <w:r>
        <w:rPr>
          <w:rFonts w:ascii="Times New Roman" w:hAnsi="Times New Roman"/>
          <w:sz w:val="22"/>
        </w:rPr>
        <w:t>Текущий экспериментальный контур ограничен табличными задачами и не включает временные ряды, многомодальные данные и выраженный дисбаланс классов. Небольшие наборы, такие как linnerud_weight, дают повышенную дисперсию метрик. Кроме того, даже при единой схеме обучения нельзя полностью устранить различия в чувствительности архитектур к подбору гиперпараметров. Эти ограничения не отменяют результат, но задают корректную рамку интерпретации.</w:t>
      </w:r>
    </w:p>
    <w:p>
      <w:r>
        <w:rPr>
          <w:rFonts w:ascii="Times New Roman" w:hAnsi="Times New Roman"/>
          <w:sz w:val="22"/>
        </w:rPr>
        <w:t>На уровне прикладного вывода полученная картина устойчива. Если в проекте главным критерием является минимизация ошибки прогноза на текущем классе задач, иерархическая линия выглядит наиболее сильной. Если приоритет переносится к устойчивости интерпретируемой структуры в глубоком варианте, DFFL становится методически оправданным выбором. Следовательно, архитектурное решение должно приниматься не по одной численной метрике, а как согласование нескольких критериев, релевантных целевой области применения.</w:t>
      </w:r>
    </w:p>
    <w:p>
      <w:pPr>
        <w:pStyle w:val="Heading2"/>
      </w:pPr>
      <w:r>
        <w:rPr>
          <w:rFonts w:ascii="Times New Roman" w:hAnsi="Times New Roman"/>
          <w:sz w:val="24"/>
        </w:rPr>
        <w:t>10. Заключение</w:t>
      </w:r>
    </w:p>
    <w:p>
      <w:r>
        <w:rPr>
          <w:rFonts w:ascii="Times New Roman" w:hAnsi="Times New Roman"/>
          <w:sz w:val="22"/>
        </w:rPr>
        <w:t>В работе выполнено воспроизводимое сравнение трёх глубоких нейро-нечётких архитектур на реальных данных с единым обучающим контуром и едиными правилами оценки. Показано, что Hierarchical ANFIS и Stacked ANFIS чаще достигают лучших значений по качеству, тогда как Deep Fuzzy Feature Learning даёт сильную устойчивость структуры активных правил среди глубоких вариантов и сохраняет конкурентность на части задач. Добавленное сопоставление с классическими моделями и дополнительный прогон на крупном наборе california_housing усиливают прикладную состоятельность результатов.</w:t>
      </w:r>
    </w:p>
    <w:p>
      <w:r>
        <w:rPr>
          <w:rFonts w:ascii="Times New Roman" w:hAnsi="Times New Roman"/>
          <w:sz w:val="22"/>
        </w:rPr>
        <w:t>Итоговый научно-методический вывод формулируется так: выбор глубокой нейро-нечёткой архитектуры должен рассматриваться как многокритериальная задача, где одновременно учитываются точность прогноза, структурная стоимость базы правил и устойчивость интерпретации.</w:t>
      </w:r>
    </w:p>
    <w:p>
      <w:pPr>
        <w:pStyle w:val="Heading2"/>
      </w:pPr>
      <w:r>
        <w:rPr>
          <w:rFonts w:ascii="Times New Roman" w:hAnsi="Times New Roman"/>
          <w:sz w:val="24"/>
        </w:rPr>
        <w:t>11. Воспроизводимость</w:t>
      </w:r>
    </w:p>
    <w:p>
      <w:r>
        <w:rPr>
          <w:rFonts w:ascii="Times New Roman" w:hAnsi="Times New Roman"/>
          <w:sz w:val="22"/>
        </w:rPr>
        <w:t>Полный основной прогон выполнен сценарием examples/run_real_datasets_benchmark.py с наборами diabetes, linnerud_weight, breast_cancer, wine_binary, digits_binary, с повторными запусками при seed = 19, 23, 29, с профилем quality_auto для DFFL и с сохранением отчётов в файлы docs/artifacts/ruanfis_paper5x3_report.json, docs/artifacts/ruanfis_paper5x3_report.txt и docs/artifacts/ruanfis_paper5x3_summary.md. Абляционные результаты сохранены в docs/artifacts/ruanfis_ablation_baseline_5x3_report.json и docs/artifacts/ruanfis_ablation_quality_balanced_5x3_report.json. Дополнительный прогон на крупном наборе california_housing зафиксирован в отчётах docs/artifacts/ruanfis_california_3x_gpu_v3_report.json, docs/artifacts/ruanfis_california_3x_gpu_v3_report.txt и docs/artifacts/ruanfis_california_3x_gpu_v3_summary.md.</w:t>
      </w:r>
    </w:p>
    <w:p>
      <w:pPr>
        <w:pStyle w:val="Heading2"/>
      </w:pPr>
      <w:r>
        <w:rPr>
          <w:rFonts w:ascii="Times New Roman" w:hAnsi="Times New Roman"/>
          <w:sz w:val="24"/>
        </w:rPr>
        <w:t>Список литературы</w:t>
      </w:r>
    </w:p>
    <w:p>
      <w:r>
        <w:rPr>
          <w:rFonts w:ascii="Times New Roman" w:hAnsi="Times New Roman"/>
          <w:sz w:val="22"/>
        </w:rPr>
        <w:t>[1] Zadeh, L. A. Fuzzy Sets. Information and Control, 8(3), 338-353 (1965).</w:t>
      </w:r>
    </w:p>
    <w:p>
      <w:r>
        <w:rPr>
          <w:rFonts w:ascii="Times New Roman" w:hAnsi="Times New Roman"/>
          <w:sz w:val="22"/>
        </w:rPr>
        <w:t>[2] Mamdani, E. H., Assilian, S. An Experiment in Linguistic Synthesis with a Fuzzy Logic Controller. International Journal of Man-Machine Studies, 7(1), 1-13 (1975).</w:t>
      </w:r>
    </w:p>
    <w:p>
      <w:r>
        <w:rPr>
          <w:rFonts w:ascii="Times New Roman" w:hAnsi="Times New Roman"/>
          <w:sz w:val="22"/>
        </w:rPr>
        <w:t>[3] Takagi, T., Sugeno, M. Fuzzy Identification of Systems and Its Applications to Modeling and Control. IEEE Transactions on Systems, Man, and Cybernetics, 15(1), 116-132 (1985).</w:t>
      </w:r>
    </w:p>
    <w:p>
      <w:r>
        <w:rPr>
          <w:rFonts w:ascii="Times New Roman" w:hAnsi="Times New Roman"/>
          <w:sz w:val="22"/>
        </w:rPr>
        <w:t>[4] Jang, J.-S. R. ANFIS: Adaptive-Network-Based Fuzzy Inference System. IEEE Transactions on Systems, Man, and Cybernetics, 23(3), 665-685 (1993).</w:t>
      </w:r>
    </w:p>
    <w:p>
      <w:r>
        <w:rPr>
          <w:rFonts w:ascii="Times New Roman" w:hAnsi="Times New Roman"/>
          <w:sz w:val="22"/>
        </w:rPr>
        <w:t>[5] Mitra, S., Hayashi, Y. Neuro-Fuzzy Rule Generation: Survey in Soft Computing Framework. IEEE Transactions on Neural Networks, 11(3), 748-768 (2000).</w:t>
      </w:r>
    </w:p>
    <w:p>
      <w:r>
        <w:rPr>
          <w:rFonts w:ascii="Times New Roman" w:hAnsi="Times New Roman"/>
          <w:sz w:val="22"/>
        </w:rPr>
        <w:t>[6] LeCun, Y., Bengio, Y., Hinton, G. Deep Learning. Nature, 521(7553), 436-444 (2015).</w:t>
      </w:r>
    </w:p>
    <w:p>
      <w:r>
        <w:rPr>
          <w:rFonts w:ascii="Times New Roman" w:hAnsi="Times New Roman"/>
          <w:sz w:val="22"/>
        </w:rPr>
        <w:t>[7] Ribeiro, M. T., Singh, S., Guestrin, C. "Why Should I Trust You?": Explaining the Predictions of Any Classifier. In: Proceedings of KDD 2016, 1135-1144 (2016).</w:t>
      </w:r>
    </w:p>
    <w:p>
      <w:r>
        <w:rPr>
          <w:rFonts w:ascii="Times New Roman" w:hAnsi="Times New Roman"/>
          <w:sz w:val="22"/>
        </w:rPr>
        <w:t>[8] Lundberg, S. M., Lee, S.-I. A Unified Approach to Interpreting Model Predictions. In: Advances in Neural Information Processing Systems 30, 4765-4774 (2017).</w:t>
      </w:r>
    </w:p>
    <w:p>
      <w:r>
        <w:rPr>
          <w:rFonts w:ascii="Times New Roman" w:hAnsi="Times New Roman"/>
          <w:sz w:val="22"/>
        </w:rPr>
        <w:t>[9] Adadi, A., Berrada, M. Peeking Inside the Black-Box: A Survey on Explainable Artificial Intelligence (XAI). IEEE Access, 6, 52138-52160 (2018).</w:t>
      </w:r>
    </w:p>
    <w:p>
      <w:r>
        <w:rPr>
          <w:rFonts w:ascii="Times New Roman" w:hAnsi="Times New Roman"/>
          <w:sz w:val="22"/>
        </w:rPr>
        <w:t>[10] Guidotti, R., Monreale, A., Ruggieri, S., Turini, F., Giannotti, F., Pedreschi, D. A Survey of Methods for Explaining Black Box Models. ACM Computing Surveys, 51(5), Article 93 (2018).</w:t>
      </w:r>
    </w:p>
    <w:p>
      <w:r>
        <w:rPr>
          <w:rFonts w:ascii="Times New Roman" w:hAnsi="Times New Roman"/>
          <w:sz w:val="22"/>
        </w:rPr>
        <w:t>[11] Rudin, C. Stop Explaining Black Box Machine Learning Models for High Stakes Decisions and Use Interpretable Models Instead. Nature Machine Intelligence, 1, 206-215 (2019).</w:t>
      </w:r>
    </w:p>
    <w:p>
      <w:r>
        <w:rPr>
          <w:rFonts w:ascii="Times New Roman" w:hAnsi="Times New Roman"/>
          <w:sz w:val="22"/>
        </w:rPr>
        <w:t>[12] Demsar, J. Statistical Comparisons of Classifiers over Multiple Data Sets. Journal of Machine Learning Research, 7, 1-30 (2006).</w:t>
      </w:r>
    </w:p>
    <w:p>
      <w:r>
        <w:rPr>
          <w:rFonts w:ascii="Times New Roman" w:hAnsi="Times New Roman"/>
          <w:sz w:val="22"/>
        </w:rPr>
        <w:t>[13] Wilcoxon, F. Individual Comparisons by Ranking Methods. Biometrics Bulletin, 1(6), 80-83 (1945).</w:t>
      </w:r>
    </w:p>
    <w:p>
      <w:r>
        <w:rPr>
          <w:rFonts w:ascii="Times New Roman" w:hAnsi="Times New Roman"/>
          <w:sz w:val="22"/>
        </w:rPr>
        <w:t>[14] Holm, S. A Simple Sequentially Rejective Multiple Test Procedure. Scandinavian Journal of Statistics, 6(2), 65-70 (1979).</w:t>
      </w:r>
    </w:p>
    <w:p>
      <w:r>
        <w:rPr>
          <w:rFonts w:ascii="Times New Roman" w:hAnsi="Times New Roman"/>
          <w:sz w:val="22"/>
        </w:rPr>
        <w:t>[15] Pedregosa, F. et al. Scikit-learn: Machine Learning in Python. Journal of Machine Learning Research, 12, 2825-2830 (2011).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