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sz w:val="28"/>
        </w:rPr>
        <w:t>Deep Neuro-Fuzzy Architectures for Interpretable Learning</w:t>
      </w:r>
    </w:p>
    <w:p>
      <w:pPr>
        <w:pStyle w:val="Heading2"/>
      </w:pPr>
      <w:r>
        <w:rPr>
          <w:rFonts w:ascii="Times New Roman" w:hAnsi="Times New Roman"/>
          <w:sz w:val="24"/>
        </w:rPr>
        <w:t>Abstract</w:t>
      </w:r>
    </w:p>
    <w:p>
      <w:r>
        <w:rPr>
          <w:rFonts w:ascii="Times New Roman" w:hAnsi="Times New Roman"/>
          <w:sz w:val="22"/>
        </w:rPr>
        <w:t>This paper presents a controlled comparison of three deep neuro-fuzzy architecture lines within a single reproducible pipeline: Stacked ANFIS, Hierarchical ANFIS, and Deep Fuzzy Feature Learning. The study targets a practical objective that combines predictive performance with transparent internal reasoning and stable rule behavior across repeated runs. Experiments are conducted on a core set of five real tabular datasets and then extended with a large-data block on california_housing (20640 samples) and covtype_binary_20000 (20000 samples) with seed = 19, 23, 29 and expanded classical baselines. In the fuzzy-model group, Hierarchical ANFIS and Stacked ANFIS lead in quality rank, while DFFL remains competitive on selected tasks and shows stronger active-rule stability among deep alternatives.</w:t>
      </w:r>
    </w:p>
    <w:p>
      <w:pPr>
        <w:pStyle w:val="Heading2"/>
      </w:pPr>
      <w:r>
        <w:rPr>
          <w:rFonts w:ascii="Times New Roman" w:hAnsi="Times New Roman"/>
          <w:sz w:val="24"/>
        </w:rPr>
        <w:t>Concise Findings</w:t>
      </w:r>
    </w:p>
    <w:p>
      <w:r>
        <w:rPr>
          <w:rFonts w:ascii="Times New Roman" w:hAnsi="Times New Roman"/>
          <w:sz w:val="22"/>
        </w:rPr>
        <w:t>The key result is that architecture selection cannot be reduced to one quality metric. On the main paper5x3 benchmark, average quality ranks are 2.000 for Hierarchical ANFIS, 2.200 for Stacked ANFIS, 2.800 for DFFL, and 3.000 for Shallow Fuzzy. On the extended combined setup with 7 datasets (5 core + 2 large), average ranks become 1.857 for Stacked ANFIS, 2.048 for Hierarchical ANFIS, 2.952 for DFFL, and 3.143 for Shallow Fuzzy.</w:t>
      </w:r>
    </w:p>
    <w:p>
      <w:r>
        <w:rPr>
          <w:rFonts w:ascii="Times New Roman" w:hAnsi="Times New Roman"/>
          <w:sz w:val="22"/>
        </w:rPr>
        <w:t>In the large-data block, Stacked ANFIS is the strongest fuzzy architecture on both datasets (RMSE = 0.1122 on california_housing, F1 = 0.8129 on covtype_binary_20000). The best classical baselines are hist_gradient_boosting_regressor (RMSE = 0.0972) and extra_trees_classifier (F1 = 0.8546).</w:t>
      </w:r>
    </w:p>
    <w:p>
      <w:r>
        <w:rPr>
          <w:rFonts w:ascii="Times New Roman" w:hAnsi="Times New Roman"/>
          <w:sz w:val="22"/>
        </w:rPr>
        <w:t>At the combined block level (dataset x seed, N = 21), Friedman test gives chi2 = 15.57 and p = 0.00139, which substantially improves statistical support for architecture-level differences in the extended study.</w:t>
      </w:r>
    </w:p>
    <w:p>
      <w:pPr>
        <w:pStyle w:val="Heading2"/>
      </w:pPr>
      <w:r>
        <w:rPr>
          <w:rFonts w:ascii="Times New Roman" w:hAnsi="Times New Roman"/>
          <w:sz w:val="24"/>
        </w:rPr>
        <w:t>Conclusion</w:t>
      </w:r>
    </w:p>
    <w:p>
      <w:r>
        <w:rPr>
          <w:rFonts w:ascii="Times New Roman" w:hAnsi="Times New Roman"/>
          <w:sz w:val="22"/>
        </w:rPr>
        <w:t>The practical conclusion is methodological: deep neuro-fuzzy architecture selection should be treated as a multi-objective decision over quality, rule-base complexity, and explanation stability.</w:t>
      </w:r>
    </w:p>
    <w:p>
      <w:pPr>
        <w:pStyle w:val="Heading2"/>
      </w:pPr>
      <w:r>
        <w:rPr>
          <w:rFonts w:ascii="Times New Roman" w:hAnsi="Times New Roman"/>
          <w:sz w:val="24"/>
        </w:rPr>
        <w:t>Reproducibility</w:t>
      </w:r>
    </w:p>
    <w:p>
      <w:r>
        <w:rPr>
          <w:rFonts w:ascii="Times New Roman" w:hAnsi="Times New Roman"/>
          <w:sz w:val="22"/>
        </w:rPr>
        <w:t>Core results: docs/artifacts/ruanfis_paper5x3_report.json. DFFL ablations: docs/artifacts/ruanfis_ablation_baseline_5x3_report.json and docs/artifacts/ruanfis_ablation_quality_balanced_5x3_report.json. Extended large-data block: docs/artifacts/ruanfis_large_real_2d_3s_v1_report.json.</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