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sz w:val="28"/>
        </w:rPr>
        <w:t>Глубокие нейро-нечёткие архитектуры для интерпретируемого обучения</w:t>
      </w:r>
    </w:p>
    <w:p>
      <w:pPr>
        <w:pStyle w:val="Heading2"/>
      </w:pPr>
      <w:r>
        <w:rPr>
          <w:rFonts w:ascii="Times New Roman" w:hAnsi="Times New Roman"/>
          <w:sz w:val="24"/>
        </w:rPr>
        <w:t>Аннотация</w:t>
      </w:r>
    </w:p>
    <w:p>
      <w:r>
        <w:rPr>
          <w:rFonts w:ascii="Times New Roman" w:hAnsi="Times New Roman"/>
          <w:sz w:val="22"/>
        </w:rPr>
        <w:t>В работе выполнено сопоставление трёх архитектур глубокого нейро-нечёткого вывода в едином воспроизводимом контуре: Stacked ANFIS, Hierarchical ANFIS и Deep Fuzzy Feature Learning. Цель исследования состоит в том, чтобы оценить не только точность прогноза, но и структурную стоимость базы правил и устойчивость интерпретации между повторными запусками. Эксперименты проведены на основном пакете из пяти реальных табличных наборов данных, а затем расширены отдельным блоком на крупных выборках california_housing (20640 объектов) и covtype_binary_20000 (20000 объектов) с повторениями при seed = 19, 23, 29 и расширенным набором классических ориентиров. По интегральному ранговому критерию качества в нейро-нечёткой группе лидируют Hierarchical ANFIS и Stacked ANFIS, тогда как DFFL сохраняет конкурентность на части задач и показывает более устойчивую структуру активных правил среди глубоких вариантов.</w:t>
      </w:r>
    </w:p>
    <w:p>
      <w:pPr>
        <w:pStyle w:val="Heading2"/>
      </w:pPr>
      <w:r>
        <w:rPr>
          <w:rFonts w:ascii="Times New Roman" w:hAnsi="Times New Roman"/>
          <w:sz w:val="24"/>
        </w:rPr>
        <w:t>Краткое изложение результата</w:t>
      </w:r>
    </w:p>
    <w:p>
      <w:r>
        <w:rPr>
          <w:rFonts w:ascii="Times New Roman" w:hAnsi="Times New Roman"/>
          <w:sz w:val="22"/>
        </w:rPr>
        <w:t>Исследование показывает, что архитектурный выбор в глубоком нейро-нечётком моделировании нельзя сводить к одной метрике качества. На основном пакете paper5x3 средний ранг по качеству у Hierarchical ANFIS равен 2.000, у Stacked ANFIS равен 2.200, у DFFL равен 2.800, у Shallow Fuzzy равен 3.000. На расширенном объединённом контуре из 7 наборов (5 базовых + 2 крупных) средние ранги составили 1.857 для Stacked ANFIS, 2.048 для Hierarchical ANFIS, 2.952 для DFFL и 3.143 для Shallow Fuzzy.</w:t>
      </w:r>
    </w:p>
    <w:p>
      <w:r>
        <w:rPr>
          <w:rFonts w:ascii="Times New Roman" w:hAnsi="Times New Roman"/>
          <w:sz w:val="22"/>
        </w:rPr>
        <w:t>В крупном блоке на california_housing и covtype_binary_20000 внутри нейро-нечёткой группы лучшую точность стабильно показал Stacked ANFIS (RMSE = 0.1122 на california_housing, F1 = 0.8129 на covtype_binary_20000). Среди классических моделей лучшими оказались hist_gradient_boosting_regressor (RMSE = 0.0972) и extra_trees_classifier (F1 = 0.8546).</w:t>
      </w:r>
    </w:p>
    <w:p>
      <w:r>
        <w:rPr>
          <w:rFonts w:ascii="Times New Roman" w:hAnsi="Times New Roman"/>
          <w:sz w:val="22"/>
        </w:rPr>
        <w:t>Для статистической проверки на объединённом уровне блоков «набор × seed» (N = 21) критерий Фридмана дал chi2 = 15.57 и p = 0.00139, что снимает ключевой риск недостаточной статистической подтверждённости в расширенной постановке.</w:t>
      </w:r>
    </w:p>
    <w:p>
      <w:pPr>
        <w:pStyle w:val="Heading2"/>
      </w:pPr>
      <w:r>
        <w:rPr>
          <w:rFonts w:ascii="Times New Roman" w:hAnsi="Times New Roman"/>
          <w:sz w:val="24"/>
        </w:rPr>
        <w:t>Вывод</w:t>
      </w:r>
    </w:p>
    <w:p>
      <w:r>
        <w:rPr>
          <w:rFonts w:ascii="Times New Roman" w:hAnsi="Times New Roman"/>
          <w:sz w:val="22"/>
        </w:rPr>
        <w:t>Главный практический вывод заключается в том, что выбор глубокой нейро-нечёткой архитектуры должен формулироваться как многокритериальная задача. В прикладной постановке одновременно учитываются качество прогноза, сложность базы правил и устойчивость структуры объяснений.</w:t>
      </w:r>
    </w:p>
    <w:p>
      <w:pPr>
        <w:pStyle w:val="Heading2"/>
      </w:pPr>
      <w:r>
        <w:rPr>
          <w:rFonts w:ascii="Times New Roman" w:hAnsi="Times New Roman"/>
          <w:sz w:val="24"/>
        </w:rPr>
        <w:t>Воспроизводимость</w:t>
      </w:r>
    </w:p>
    <w:p>
      <w:r>
        <w:rPr>
          <w:rFonts w:ascii="Times New Roman" w:hAnsi="Times New Roman"/>
          <w:sz w:val="22"/>
        </w:rPr>
        <w:t>Основные результаты зафиксированы в docs/artifacts/ruanfis_paper5x3_report.json, абляции DFFL — в docs/artifacts/ruanfis_ablation_baseline_5x3_report.json и docs/artifacts/ruanfis_ablation_quality_balanced_5x3_report.json, расширенный крупный блок — в docs/artifacts/ruanfis_large_real_2d_3s_v1_report.json.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