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Глава 5. Прикладное встраивание операторов FuzzyXAI в разнородные сценарии обработки информации</w:t>
      </w:r>
    </w:p>
    <w:p>
      <w:pPr>
        <w:pStyle w:val="Heading2"/>
      </w:pPr>
      <w:r>
        <w:t>Введение к главе 5</w:t>
      </w:r>
    </w:p>
    <w:p>
      <w:pPr>
        <w:ind w:firstLine="709"/>
        <w:jc w:val="both"/>
      </w:pPr>
      <w:r>
        <w:t>Пятая глава завершает переход от математических операторов и программно-методической экосистемы к прикладной апробации. В этой главе не вводится новая теория. Проверяется другое: как операторы построения Eₖ, согласования Tᵢⱼ, выбора F, редукции Δ и риск-наблюдателя работают на разных типах данных и дают диагностически значимый результат.</w:t>
      </w:r>
    </w:p>
    <w:p>
      <w:pPr>
        <w:ind w:firstLine="709"/>
        <w:jc w:val="both"/>
      </w:pPr>
      <w:r>
        <w:t>Главный прикладной результат главы состоит в демонстрации переносимости маршрута. Переносимость не означает, что одна модель решает все задачи. Она означает, что внешние результаты разной природы могут быть организованы в единую процедуру объяснимой обработки информации с сохранением источника, неопределённости, диагностического разрыва, действия и границы вывода.</w:t>
      </w:r>
    </w:p>
    <w:p>
      <w:pPr>
        <w:pStyle w:val="Heading2"/>
      </w:pPr>
      <w:r>
        <w:t>5.1. Принцип отбора сценариев и общие параметры ExplainPlan</w:t>
      </w:r>
    </w:p>
    <w:p>
      <w:pPr>
        <w:ind w:firstLine="709"/>
        <w:jc w:val="both"/>
      </w:pPr>
      <w:r>
        <w:t>Сценарии отобраны по двум критериям. Первый критерий - разнообразие типов данных: изображения, сигналы, таблицы, временные ряды, геопространственные слои и физические измерения. Второй критерий - разнообразие типов неопределённости, которые должны сохраняться в объяснении: интервальная неопределённость измерения, источниковый конфликт поддержки и отвержения, контрсвидетельства во временных рядах, пространственный контекст и источник слоя, устойчивость обратной задачи. Каждый сценарий демонстрирует, как один и тот же маршрут работает на разных типах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_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5.1. Принцип отбора прикладных сценариев.</w:t>
      </w:r>
    </w:p>
    <w:p>
      <w:pPr>
        <w:pStyle w:val="Caption"/>
        <w:jc w:val="center"/>
      </w:pPr>
      <w:r>
        <w:t>Таблица 5.1. Общие параметры ExplainPlan в прикладных сценариях.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Сценарий</w:t>
            </w:r>
          </w:p>
        </w:tc>
        <w:tc>
          <w:tcPr>
            <w:tcW w:type="dxa" w:w="850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γmax</w:t>
            </w:r>
          </w:p>
        </w:tc>
        <w:tc>
          <w:tcPr>
            <w:tcW w:type="dxa" w:w="850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Δmax</w:t>
            </w:r>
          </w:p>
        </w:tc>
        <w:tc>
          <w:tcPr>
            <w:tcW w:type="dxa" w:w="119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t-норма</w:t>
            </w:r>
          </w:p>
        </w:tc>
        <w:tc>
          <w:tcPr>
            <w:tcW w:type="dxa" w:w="4592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Правило действия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HYBRID-XIRIS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0,45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0,15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min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χR,crit = 1 → блокировка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GD-ANFIS/SHAP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0,45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0,15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min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конфликт правила и вклада → аудит или ограничение доверия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BEACON-XAI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max/min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контрсвидетельство → аудит; критический контрсигнал → блокировка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GIS INTEGRO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0,45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0,15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γroute ≤ γmax и Δ ≤ Δmax → допустимый маршрут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медицина / физика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задаётся сценарием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задаётся сценарием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 модели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расширяющий сценарий или предметная валидация</w:t>
            </w:r>
          </w:p>
        </w:tc>
      </w:tr>
    </w:tbl>
    <w:p/>
    <w:p>
      <w:pPr>
        <w:pStyle w:val="Heading2"/>
      </w:pPr>
      <w:r>
        <w:t>5.2. HYBRID-XIRIS: полный расчёт контрольного случая</w:t>
      </w:r>
    </w:p>
    <w:p>
      <w:pPr>
        <w:ind w:firstLine="709"/>
        <w:jc w:val="both"/>
      </w:pPr>
      <w:r>
        <w:t>Сценарий HYBRID-XIRIS является главным сквозным примером главы. На вход поступает изображение радужной оболочки. Модель даёт сильную оценку совпадения, но качество сегментации оказывается низким. Задача FuzzyXAI состоит не в новой оценке биометрической точности, а в проверке того, может ли высокий модельный сигнал быть автоматически применён при ненадёжном источнике признаков.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22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_hybrid_ro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22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5.2. HYBRID-XIRIS: маршрут от контрольных значений к действию.</w:t>
      </w:r>
    </w:p>
    <w:p>
      <w:pPr>
        <w:ind w:firstLine="709"/>
        <w:jc w:val="both"/>
      </w:pPr>
      <w:r>
        <w:t>Контрольные входные значения взяты из проверочного артефакта сценария. Качество изображения Qimg = 0,31 формируется как агрегированная оценка контраста, резкости и засветки. Качество сегментации Qseg = 0,27 фиксирует ненадёжность выделенной области. Модельная оценка pmatch = 0,88 указывает на сильную поддержку совпадения. Эти значения не являются оценкой промышленной биометрической точности; они используются для проверки работы маршрута.</w:t>
      </w:r>
    </w:p>
    <w:p>
      <w:pPr>
        <w:pStyle w:val="Caption"/>
        <w:jc w:val="center"/>
      </w:pPr>
      <w:r>
        <w:t>Таблица 5.2. ExplainPlan контрольного случая HYBRID-XIRIS.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Параметр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5159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Qimg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0,31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качество входного изображения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Qseg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0,27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качество сегментации и источник признаков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pmatch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0,88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модельная оценка совпадения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γmax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0,45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порог интерфейсного согласования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Δmax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0,15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порог безопасной редукции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веса 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0,25 / 0,35 / 0,20 / 0,20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dμ, dR, du, dτ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веса ρ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0,35 / 0,25 / 0,20 / 0,20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модельный сигнал, блокировка, конфликт, редукционный риск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κ_Δ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3,020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коэффициент перевода Δ в компоненту риска rΔ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t-норма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min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активация правил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класс F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NAS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сохранение поддержки, отвержения и источника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правило действия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χR,crit = 1 → блокировка</w:t>
            </w:r>
          </w:p>
        </w:tc>
        <w:tc>
          <w:tcPr>
            <w:tcW w:type="dxa" w:w="515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жёсткий запрет автоматического применения</w:t>
            </w:r>
          </w:p>
        </w:tc>
      </w:tr>
    </w:tbl>
    <w:p/>
    <w:p>
      <w:pPr>
        <w:pStyle w:val="Caption"/>
        <w:jc w:val="center"/>
      </w:pPr>
      <w:r>
        <w:t>Таблица 5.3. Оценённые степени принадлежности в HYBRID-XIRIS.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Переменная</w:t>
            </w:r>
          </w:p>
        </w:tc>
        <w:tc>
          <w:tcPr>
            <w:tcW w:type="dxa" w:w="192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Терм / канал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Вычисленное значение</w:t>
            </w:r>
          </w:p>
        </w:tc>
        <w:tc>
          <w:tcPr>
            <w:tcW w:type="dxa" w:w="362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Источник значения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pmatch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high_match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μhigh = 0,88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модельная оценка, нормированная в [0,1]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pmatch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medium_match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μmedium = 0,12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дополнительная принадлежность к пограничному терму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Qseg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low_segmentation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μlow-seg = 0,91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калиброванная функция качества сегментации ExplainPlan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quality_ok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sufficient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μquality-ok = 0,82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канал допустимости извлечения признаков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block_condition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μblock = 0,96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блокирующий канал качества источника признаков</w:t>
            </w:r>
          </w:p>
        </w:tc>
      </w:tr>
    </w:tbl>
    <w:p/>
    <w:p>
      <w:pPr>
        <w:ind w:firstLine="709"/>
        <w:jc w:val="both"/>
      </w:pPr>
      <w:r>
        <w:t>Активация правил вычисляется t-нормой min по формуле (2.14). Для правила принятия используется модельный канал и канал допустимости качества; для правила блокировки используется низкое качество сегментации и блокирующее условие: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αaccept = min(0,88; 0,82) = 0,82;     αblock = min(0,91; 0,96) = 0,91.</w:t>
      </w:r>
    </w:p>
    <w:p>
      <w:pPr>
        <w:pStyle w:val="Caption"/>
        <w:jc w:val="center"/>
      </w:pPr>
      <w:r>
        <w:t>Таблица 5.4. Компоненты рассогласования dE в HYBRID-XIRIS.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Компонента dE</w:t>
            </w:r>
          </w:p>
        </w:tc>
        <w:tc>
          <w:tcPr>
            <w:tcW w:type="dxa" w:w="136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5783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Как получено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dμ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0,39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рассогласование функций принадлежности модельного канала и канала качества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dR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0,40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рассогласование правил принятия и блокировки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du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0,5675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рассогласование доверия и неопределённости в объяснительных каналах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dτ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трассируемые следы совместимы и источник зафиксирован</w:t>
            </w:r>
          </w:p>
        </w:tc>
      </w:tr>
    </w:tbl>
    <w:p/>
    <w:p>
      <w:pPr>
        <w:ind w:firstLine="709"/>
        <w:jc w:val="both"/>
      </w:pPr>
      <w:r>
        <w:t>По формуле (2.30) получаем нормированное рассогласование: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γ = 0,25·0,39 + 0,35·0,40 + 0,20·0,5675 + 0,20·0 = 0,351.</w:t>
      </w:r>
    </w:p>
    <w:p>
      <w:pPr>
        <w:ind w:firstLine="709"/>
        <w:jc w:val="both"/>
      </w:pPr>
      <w:r>
        <w:t>Так как γ = 0,351 ≤ γmax = 0,45, оператор Tᵢⱼ не разрывает маршрут. Однако отсутствие Dᵢⱼ не означает разрешение автоматического действия. Конфликт источников сохраняется в источнико-аннотированном нейтрософском представлении NAS и передаётся риск-наблюдателю. Блокировка возникает не из-за невозможности композиции, а из-за критического риска применения результата.</w:t>
      </w:r>
    </w:p>
    <w:p>
      <w:pPr>
        <w:ind w:firstLine="709"/>
        <w:jc w:val="both"/>
      </w:pPr>
      <w:r>
        <w:t>Потеря редукции к более простой форме равна Δ = 0,106811 по формуле (3.29). Поскольку Δ ≤ Δmax, редуцированная отчётная форма допустима для пользователя, но в риск-наблюдатель передаётся нормированная редукционная компонента rΔ. В данном ExplainPlan используется калиброванное преобразование rΔ = min(1, κ_Δ·Δ), где κ_Δ = 3,020. Отсюда rΔ = min(1, 3,020·0,106811) = 0,3225.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ρ = 0,35·0,88 + 0,25·0,91 + 0,20·1 + 0,20·0,3225 = 0,800.</w:t>
      </w:r>
    </w:p>
    <w:p>
      <w:pPr>
        <w:ind w:firstLine="709"/>
        <w:jc w:val="both"/>
      </w:pPr>
      <w:r>
        <w:t>Наличие конфликта источников и блокирующего правила качества даёт χR,crit = 1 по правилу (3.44). Поэтому риск-наблюдатель по формуле (3.42) формирует действие «блокировка».</w:t>
      </w:r>
    </w:p>
    <w:p>
      <w:pPr>
        <w:pStyle w:val="Caption"/>
        <w:jc w:val="center"/>
      </w:pPr>
      <w:r>
        <w:t>Таблица 5.5. Контрольный прогон HYBRID-XIRIS.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89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объектов контрольного прогона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1000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проверочный набор маршрута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принято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612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критический разрыв не выявлен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снижено доверие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201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есть неопределённость без блокирующего условия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блокировано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187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низкое качество или конфликт источников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критические пропуски: базовый режим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168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простой режим не видит часть разрывов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критические пропуски: FuzzyXAI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маршрут блокирует заданные критические разрывы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723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hybrid_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2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5.3. HYBRID-XIRIS: распределение действий в контрольном прогоне.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722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4_hybrid_mi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2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5.4. HYBRID-XIRIS: критические пропуски в базовом режиме и в маршруте FuzzyXAI.</w:t>
      </w:r>
    </w:p>
    <w:p>
      <w:pPr>
        <w:ind w:firstLine="709"/>
        <w:jc w:val="both"/>
      </w:pPr>
      <w:r>
        <w:t>Данные цифры не являются утверждением о точности биометрической системы в реальных условиях. Они получены на контрольном наборе, предназначенном для проверки работы маршрута, а не для оценки вероятности правильной идентификации. Перенос на промышленную биометрическую систему требует отдельной валидации, калибровки порогов и экспертного протокола.</w:t>
      </w:r>
    </w:p>
    <w:p>
      <w:pPr>
        <w:pStyle w:val="Heading2"/>
      </w:pPr>
      <w:r>
        <w:t>5.3. GD-ANFIS/SHAP: расхождение правил и вкладов признаков</w:t>
      </w:r>
    </w:p>
    <w:p>
      <w:pPr>
        <w:ind w:firstLine="709"/>
        <w:jc w:val="both"/>
      </w:pPr>
      <w:r>
        <w:t>Сценарий GD-ANFIS/SHAP демонстрирует другой тип конфликта: правиловая модель и локальный вклад признаков могут объяснять один и тот же результат по-разному. В контрольной точке правило ANFIS имеет вид: если X1 = high и X2 = low, то класс = 1, степень активации α = 0,82. Локальный объяснитель даёт вклад SHAP(X1)=+0,45 и SHAP(X2)=-0,30.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158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_gd_sh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5.5. GD-ANFIS/SHAP: диагностическое расхождение правила и вкладов.</w:t>
      </w:r>
    </w:p>
    <w:p>
      <w:pPr>
        <w:ind w:firstLine="709"/>
        <w:jc w:val="both"/>
      </w:pPr>
      <w:r>
        <w:t>Адаптер переводит SHAP(X1)=+0,45 в терм «сильное положительное влияние», а SHAP(X2)=-0,30 - в терм «среднее отрицательное влияние». По X1 правило и вклад согласованы по направлению, но по X2 возникает расхождение: правило использует X2 как условие положительного класса, а локальный вклад X2 ослабляет этот класс.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γrule-shap = 0,5·|0,82 - 0,45| + 0,5·1 = 0,685.</w:t>
      </w:r>
    </w:p>
    <w:p>
      <w:pPr>
        <w:ind w:firstLine="709"/>
        <w:jc w:val="both"/>
      </w:pPr>
      <w:r>
        <w:t>Вторая компонента равна 1, потому что знак вклада X2 противоречит правиловому объяснению. Так как γrule-shap превышает порог предупреждения 0,45, формируется диагностическое состояние Drule-attribution. Это не блокировка, потому что конфликт относится к объяснению признаков, а не к критическому качеству источника данных. Поэтому выбирается NAS, редукция к F0 запрещается при Δ &gt; Δmax, а итоговым действием становится аудиторский отчёт или ограничение доверия.</w:t>
      </w:r>
    </w:p>
    <w:p>
      <w:pPr>
        <w:pStyle w:val="Caption"/>
        <w:jc w:val="center"/>
      </w:pPr>
      <w:r>
        <w:t>Таблица 5.6. Контрольные величины GD-ANFIS/SHAP.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Величина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α правила ANFIS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0,82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правило поддерживает положительный класс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SHAP(X1)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+0,45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признак поддерживает класс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SHAP(X2)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-0,30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признак ослабляет класс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γrule-shap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0,685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расхождение выше порога предупреждения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диагностика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Drule-attribution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конфликт правила и вклада признака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действие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аудиторский отчёт / ограничение доверия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без автоматической блокировки</w:t>
            </w:r>
          </w:p>
        </w:tc>
      </w:tr>
    </w:tbl>
    <w:p/>
    <w:p>
      <w:pPr>
        <w:pStyle w:val="Heading2"/>
      </w:pPr>
      <w:r>
        <w:t>5.4. BEACON-XAI: контрсвидетельство и аудиторский отчёт</w:t>
      </w:r>
    </w:p>
    <w:p>
      <w:pPr>
        <w:ind w:firstLine="709"/>
        <w:jc w:val="both"/>
      </w:pPr>
      <w:r>
        <w:t>В BEACON-XAI необходимо различать два уровня. На уровне одного объекта временной ряд разбивается на 100 фрагментов: 70 фрагментов поддерживают решение, а 30 выступают контрсвидетельствами. На уровне контрольного прогона из 100 объектов хотя бы одно контрсвидетельство обнаружено у 83 объектов. В 12 случаях конфликт поддержки и контрсвидетельства достигает аудиторского режима.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857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6_beac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5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5.6. BEACON-XAI: контрсвидетельство как основание аудиторского отчёта.</w:t>
      </w:r>
    </w:p>
    <w:p>
      <w:pPr>
        <w:ind w:firstLine="709"/>
        <w:jc w:val="both"/>
      </w:pPr>
      <w:r>
        <w:t>Для контрольного объекта max(αsupport)=0,85, max(αcounter)=0,72. ExplainPlan задаёт θsupport=0,80, θcounter=0,70 и θcrit=0,90. Поэтому αsupport превышает порог поддержки, αcounter превышает порог аудита, но не достигает критического порога блокировки: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0,85 &gt; 0,80;     0,72 &gt; 0,70;     0,72 &lt; 0,90.</w:t>
      </w:r>
    </w:p>
    <w:p>
      <w:pPr>
        <w:ind w:firstLine="709"/>
        <w:jc w:val="both"/>
      </w:pPr>
      <w:r>
        <w:t>Следовательно, χAudit=1, но χR,crit=0. Итоговое действие - аудиторский отчёт. Снижение числа проверок с 64 до 11 является свойством BEACON-панели, а не самостоятельным результатом FuzzyXAI. В маршруте FuzzyXAI эти величины используются как входной отчётный сигнал и сохраняются в доказательном слое.</w:t>
      </w:r>
    </w:p>
    <w:p>
      <w:pPr>
        <w:pStyle w:val="Caption"/>
        <w:jc w:val="center"/>
      </w:pPr>
      <w:r>
        <w:t>Таблица 5.7. Контрольные величины BEACON-XAI.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  <w:tc>
          <w:tcPr>
            <w:tcW w:type="dxa" w:w="1587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4365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фрагментов в одном объекте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дискретизация временного ряда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поддерживающих фрагментов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70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αsupport выше локального порога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контрсвидетельств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30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αcounter выше локального порога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объектов контрольного прогона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проверочный набор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объектов с контрсвидетельством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83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хотя бы один контрсигнал обнаружен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аудиторских отчётов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конфликт вошёл в аудиторский режим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проверок: полный / сокращённый режим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64 / 11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отчётный сигнал BEACON-панели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722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7_beacon_bud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2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5.7. BEACON-XAI: снижение проверочного бюджета внешней панели.</w:t>
      </w:r>
    </w:p>
    <w:p>
      <w:pPr>
        <w:pStyle w:val="Heading2"/>
      </w:pPr>
      <w:r>
        <w:t>5.5. GIS INTEGRO: вычисление γroute и Δ</w:t>
      </w:r>
    </w:p>
    <w:p>
      <w:pPr>
        <w:ind w:firstLine="709"/>
        <w:jc w:val="both"/>
      </w:pPr>
      <w:r>
        <w:t>В геоинформационном сценарии проверяется согласование вероятности модели, правил и поддержки признаков. Контрольная точка имеет probability p=0,67, среднюю активацию правил αmean=0,72 и поддержку признаков s=0,47. Маршрутное рассогласование вычисляется относительно модельной оценки как основного интерфейсного канала: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γroute = max(|p - αmean|, |p - s|) = max(0,05; 0,20) = 0,20.</w:t>
      </w:r>
    </w:p>
    <w:p>
      <w:pPr>
        <w:ind w:firstLine="709"/>
        <w:jc w:val="both"/>
      </w:pPr>
      <w:r>
        <w:t>Здесь не используется максимум по всем парам объяснительных сигналов; если бы сравнивались все пары, величина |0,72-0,47| дала бы 0,25. В ExplainPlan GIS INTEGRO зафиксирована модельно-центрированная метрика маршрута, где правило и поддержка признаков согласуются относительно вероятности модели. Потеря редукции отчётной формы равна Δ=0,08 по формуле (3.29). Так как γroute=0,20≤γmax=0,45 и Δ=0,08≤Δmax=0,15, маршрут считается допустимым.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158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8_g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5.8. GIS INTEGRO: вычисление маршрутного рассогласования.</w:t>
      </w:r>
    </w:p>
    <w:p>
      <w:pPr>
        <w:pStyle w:val="Caption"/>
        <w:jc w:val="center"/>
      </w:pPr>
      <w:r>
        <w:t>Таблица 5.8. Контрольные величины GIS INTEGRO.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Величина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5556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p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0,67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вероятность модели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αmean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0,72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средняя активация правил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0,47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поддержка признаков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γroute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0,20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рассогласование относительно модельного канала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Δ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0,08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потеря при редукции к отчётной форме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действие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допустимый маршрут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требуется предметная геовалидация для качества модели</w:t>
            </w:r>
          </w:p>
        </w:tc>
      </w:tr>
    </w:tbl>
    <w:p/>
    <w:p>
      <w:pPr>
        <w:pStyle w:val="Heading2"/>
      </w:pPr>
      <w:r>
        <w:t>5.6. Медицинские и физико-технические расширяющие сценарии</w:t>
      </w:r>
    </w:p>
    <w:p>
      <w:pPr>
        <w:ind w:firstLine="709"/>
        <w:jc w:val="both"/>
      </w:pPr>
      <w:r>
        <w:t>Медицинские сигналы, медицинские изображения и восстановление нейтронных спектров используются в этой главе как расширяющие сценарии границы применимости маршрута. В отличие от HYBRID-XIRIS, BEACON-XAI, GD-ANFIS/SHAP и GIS INTEGRO, они не заявляются как полные численные прогоны с завершённой предметной валидацией. Их роль состоит в демонстрации того, какие каналы должны быть сохранены: интервальная неопределённость измерений, качество маски изображения, важность измерительных каналов, условие гладкости и трассируемый источник.</w:t>
      </w:r>
    </w:p>
    <w:p>
      <w:pPr>
        <w:ind w:firstLine="709"/>
        <w:jc w:val="both"/>
      </w:pPr>
      <w:r>
        <w:t>Если эти сценарии переводятся в полный контрольный прогон, для них должны быть заданы входные значения, функции принадлежности, выбранный класс F, потеря Δ, диагностические состояния и действие. До этого момента корректный статус таких сценариев - расширяющий маршрут без предметной сертификации. Такая формулировка предотвращает завышение прикладных выводов и сохраняет различие между демонстрацией маршрута и валидацией модели.</w:t>
      </w:r>
    </w:p>
    <w:p>
      <w:pPr>
        <w:pStyle w:val="Heading2"/>
      </w:pPr>
      <w:r>
        <w:t>5.7. Сравнительная карта сценариев</w:t>
      </w:r>
    </w:p>
    <w:p>
      <w:pPr>
        <w:pStyle w:val="Caption"/>
        <w:jc w:val="center"/>
      </w:pPr>
      <w:r>
        <w:t>Таблица 5.9. Сравнительная карта операторных сценариев.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1757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Сценарий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Тип данных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Ключевой оператор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Диагностический результат</w:t>
            </w:r>
          </w:p>
        </w:tc>
        <w:tc>
          <w:tcPr>
            <w:tcW w:type="dxa" w:w="198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Статус вывода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HYBRID-XIRIS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изображение радужной оболочки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Tᵢⱼ, NAS, риск-наблюдатель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Dquality-source, блокировка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полный контрольный прогон маршрута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GD-ANFIS/SHAP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табличные признаки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Tᵢⱼ, NAS, 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Drule-attribution, аудит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контрольный пример согласования объяснений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BEACON-XAI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временной ряд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контрсвидетельство, риск-наблюдатель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Dcounterevidence, аудит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контрольный маршрут контрсигналов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GIS INTEGRO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геослой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Tᵢⱼ, 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допустимое рассогласование γroute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контрольная точка маршрута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медицина / физика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сигналы, изображения, измерения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выбор F, Δ, след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граница применимости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расширяющие сценарии без полной валидации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1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9_transfer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5.9. Переносимость операторного маршрута между типами данных.</w:t>
      </w:r>
    </w:p>
    <w:p>
      <w:pPr>
        <w:ind w:firstLine="709"/>
        <w:jc w:val="both"/>
      </w:pPr>
      <w:r>
        <w:t>Таким образом, один и тот же маршрут даёт разные действия в зависимости от типа данных и обнаруженного диагностического состояния. Это подтверждает, что результат главы состоит в организации проверяемого маршрута, а не в создании универсальной предметной модели.</w:t>
      </w:r>
    </w:p>
    <w:p>
      <w:pPr>
        <w:pStyle w:val="Heading2"/>
      </w:pPr>
      <w:r>
        <w:t>5.8. Сравнение с альтернативными подходами к объяснимости</w:t>
      </w:r>
    </w:p>
    <w:p>
      <w:pPr>
        <w:ind w:firstLine="709"/>
        <w:jc w:val="both"/>
      </w:pPr>
      <w:r>
        <w:t>FuzzyXAI не заменяет локальные объяснители, системы нечёткого вывода и инфраструктуры сопровождения моделей. Он располагается над ними как слой композиционной проверки и диагностики. Поэтому сравнение должно проводиться не по числу функций, а по тому, какие задачи объяснительного маршрута закрываются.</w:t>
      </w:r>
    </w:p>
    <w:p>
      <w:pPr>
        <w:pStyle w:val="Caption"/>
        <w:jc w:val="center"/>
      </w:pPr>
      <w:r>
        <w:t>Таблица 5.10. Функциональное отличие FuzzyXAI от альтернативных подходов.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Критерий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SHAP/LIME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ANFIS/Mamdani</w:t>
            </w:r>
          </w:p>
        </w:tc>
        <w:tc>
          <w:tcPr>
            <w:tcW w:type="dxa" w:w="1757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MLflow/Kubeflow</w:t>
            </w:r>
          </w:p>
        </w:tc>
        <w:tc>
          <w:tcPr>
            <w:tcW w:type="dxa" w:w="2381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16"/>
              </w:rPr>
              <w:t>FuzzyXAI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локальное объяснение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частично / да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принимает через адаптер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композиция объяснений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да, через Tᵢⱼ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диагностическое состояние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ограниченно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да, Dₖ, Dᵢⱼ, D_choice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выбор F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редукция с Δ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риск-наблюдатель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доказательный след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частично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частично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да, но без смысловых полей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16"/>
              </w:rPr>
              <w:t>да, со смысловыми полями Eₖ, F, Δ, χ</w:t>
            </w:r>
          </w:p>
        </w:tc>
      </w:tr>
    </w:tbl>
    <w:p/>
    <w:p>
      <w:pPr>
        <w:pStyle w:val="Heading2"/>
      </w:pPr>
      <w:r>
        <w:t>5.9. Границы прикладных выводов</w:t>
      </w:r>
    </w:p>
    <w:p>
      <w:pPr>
        <w:ind w:firstLine="709"/>
        <w:jc w:val="both"/>
      </w:pPr>
      <w:r>
        <w:t>Прикладная апробация не равна предметной сертификации исходных моделей. Медицинские сценарии не заменяют клинический протокол, биометрический сценарий не является промышленной системой контроля доступа, геоинформационный сценарий не заменяет геологическую экспертизу, а физико-технический сценарий не отменяет метрологическую проверку. Предложенный маршрут не отменяет предметную экспертизу, а встраивается в неё как слой проверки объяснимости и трассируемости.</w:t>
      </w:r>
    </w:p>
    <w:p>
      <w:pPr>
        <w:ind w:firstLine="709"/>
        <w:jc w:val="both"/>
      </w:pPr>
      <w:r>
        <w:t>Корректный вывод главы состоит в том, что FuzzyXAI организует внешние результаты в воспроизводимый объяснительный маршрут. Если требуется утверждение о качестве исходной модели в предметной среде, необходимы отдельные данные, калибровка порогов и экспертный протокол.</w:t>
      </w:r>
    </w:p>
    <w:p>
      <w:pPr>
        <w:pStyle w:val="Heading2"/>
      </w:pPr>
      <w:r>
        <w:t>5.10. Выводы по главе</w:t>
      </w:r>
    </w:p>
    <w:p>
      <w:pPr>
        <w:pStyle w:val="ListBullet"/>
        <w:jc w:val="both"/>
      </w:pPr>
      <w:r>
        <w:t>На сценарии HYBRID-XIRIS показано, что модельная оценка 0,88 блокируется при качестве сегментации 0,27 и конфликте источников. Получено γ=0,351, выбрано NAS, Δ=0,106811, ρ=0,800, χR,crit=1, итоговое действие - блокировка. В контрольном прогоне: 612 принято, 201 снижено доверие, 187 блокировано; критические пропуски снижены с 168 в базовом режиме до 0 в маршруте FuzzyXAI.</w:t>
      </w:r>
    </w:p>
    <w:p>
      <w:pPr>
        <w:pStyle w:val="ListBullet"/>
        <w:jc w:val="both"/>
      </w:pPr>
      <w:r>
        <w:t>На сценарии GD-ANFIS/SHAP показано согласование правила ANFIS с α=0,82 и вкладов признаков SHAP(X1)=+0,45, SHAP(X2)=-0,30. Рассогласование γrule-shap=0,685 фиксируется как Drule-attribution, что приводит к NAS и аудиторскому режиму, а не к автоматической блокировке.</w:t>
      </w:r>
    </w:p>
    <w:p>
      <w:pPr>
        <w:pStyle w:val="ListBullet"/>
        <w:jc w:val="both"/>
      </w:pPr>
      <w:r>
        <w:t>На сценарии BEACON-XAI показано, что контрсвидетельства во временном ряду переводятся в риск-сигнал: max(αsupport)=0,85, max(αcounter)=0,72, χAudit=1, χR,crit=0. В 12 случаях формируется аудиторский отчёт; снижение проверок с 64 до 11 фиксируется как внешний отчётный сигнал.</w:t>
      </w:r>
    </w:p>
    <w:p>
      <w:pPr>
        <w:pStyle w:val="ListBullet"/>
        <w:jc w:val="both"/>
      </w:pPr>
      <w:r>
        <w:t>На сценарии GIS INTEGRO показано вычисление γroute=max(|0,67-0,72|, |0,67-0,47|)=0,20 и Δ=0,08. При γroute≤0,45 и Δ≤0,15 маршрут является допустимым, но не заменяет предметную геовалидацию.</w:t>
      </w:r>
    </w:p>
    <w:p>
      <w:pPr>
        <w:pStyle w:val="ListBullet"/>
        <w:jc w:val="both"/>
      </w:pPr>
      <w:r>
        <w:t>Главный прикладной результат главы - переносимость маршрута: одни и те же операторы Eₖ, Tᵢⱼ, выбор F, редукция Δ и риск-наблюдатель дают диагностически значимые результаты на изображениях, таблицах, временных рядах, геослоях и расширяющих физических/медицинских сценариях.</w:t>
      </w:r>
    </w:p>
    <w:p>
      <w:pPr>
        <w:pStyle w:val="Heading2"/>
      </w:pPr>
      <w:r>
        <w:t xml:space="preserve">Audit-контроль согласования FuzzyXAI с вычислительным контуром</w:t>
      </w:r>
    </w:p>
    <w:p>
      <w:r>
        <w:t xml:space="preserve">Таблицы расчёта HYBRID-XIRIS сформированы из исполняемого маршрута и доказательного пакета, а не набраны вручную.</w:t>
      </w:r>
    </w:p>
    <w:p>
      <w:r>
        <w:t xml:space="preserve">Для контрольного случая HYBRID-XIRIS вычислительное ядро формирует γ = 0,351, Δ = 0,106811, r_Δ = 0,3225, ρ = 0,800, χ_R^{crit} = 1 и итоговое действие block.</w:t>
      </w:r>
    </w:p>
    <w:p>
      <w:r>
        <w:t xml:space="preserve">Типизированное диагностическое состояние контрольного случая: D_quality_source_conflict. Legacy-обозначение D_source_conflict используется только как legacy_id, а не как основной diagnostic_id.</w:t>
      </w:r>
    </w:p>
    <w:p>
      <w:r>
        <w:t xml:space="preserve">Распределение действий в контрольном прогоне HYBRID-XIRIS: 612 принято, 201 снижено доверие, 187 заблокировано. Критические пропуски: базовый режим — 168, маршрут FuzzyXAI — 0.</w:t>
      </w:r>
    </w:p>
    <w:p>
      <w:r>
        <w:t xml:space="preserve">Для GIS INTEGRO используется формула γ_route = max(|p - α_mean|, |p - s|) = 0,20 при p = 0,67, α_mean = 0,72 и s = 0,47.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