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keepNext/>
        <w:keepLines/>
        <w:spacing w:before="200" w:after="120"/>
        <w:jc w:val="left"/>
        <w:keepNext/>
      </w:pPr>
      <w:r>
        <w:rPr>
          <w:rFonts w:ascii="Times New Roman" w:hAnsi="Times New Roman" w:eastAsia="Times New Roman"/>
        </w:rPr>
        <w:t>Глава 4. Вычислительная реализация и экспериментальная проверка системного оператора нечёткого объяснения</w:t>
      </w:r>
    </w:p>
    <w:p>
      <w:pPr>
        <w:pStyle w:val="FirstParagraph"/>
        <w:widowControl/>
        <w:spacing w:after="80" w:line="276" w:lineRule="auto"/>
        <w:widowControl/>
      </w:pPr>
      <w:r>
        <w:rPr>
          <w:rFonts w:ascii="Times New Roman" w:hAnsi="Times New Roman" w:eastAsia="Times New Roman"/>
          <w:b w:val="0"/>
          <w:i w:val="0"/>
        </w:rPr>
        <w:t>Системный оператор нечёткого объяснения должен быть представлен не только как математическая конструкция, но и как воспроизводимый вычислительный маршрут. Такой маршрут принимает результат модели и локальных объяснителей, сохраняет происхождение каждого утверждения, различает измеренное значение и отсутствие сведений, диагностирует нарушение обязательных связей и формирует допустимый режим применения. Поэтому предметом главы является метод вычислительной реализации FuzzyXAI и экспериментальная проверка его структурных, статистических и вычислительных свойств.</w:t>
      </w:r>
    </w:p>
    <w:p>
      <w:pPr>
        <w:pStyle w:val="a0"/>
        <w:widowControl/>
        <w:spacing w:after="80" w:line="276" w:lineRule="auto"/>
        <w:widowControl/>
      </w:pPr>
      <w:r>
        <w:rPr>
          <w:rFonts w:ascii="Times New Roman" w:hAnsi="Times New Roman" w:eastAsia="Times New Roman"/>
          <w:i w:val="0"/>
        </w:rPr>
        <w:t>Распространённые методы локальной интерпретации решают задачу выделения признаков, областей изображения, фрагментов текста или временных интервалов, связанных с конкретным прогнозом. Такой результат не содержит автоматически полного ответа на вопросы о происхождении данных, доступности обязательных каналов, согласии нескольких источников, устойчивости объяснения и допустимости автоматического действия. Системный оператор должен включать локальную атрибуцию как свидетельство, не искажая её, и одновременно формировать проверяемую надстройку из диагностических состояний, ограничений и действий.</w:t>
      </w:r>
    </w:p>
    <w:p>
      <w:pPr>
        <w:pStyle w:val="a0"/>
        <w:widowControl/>
        <w:spacing w:after="80" w:line="276" w:lineRule="auto"/>
        <w:widowControl/>
      </w:pPr>
      <w:r>
        <w:rPr>
          <w:rFonts w:ascii="Times New Roman" w:hAnsi="Times New Roman" w:eastAsia="Times New Roman"/>
          <w:i w:val="0"/>
        </w:rPr>
        <w:t>Экспериментальная программа главы построена вокруг заранее разделённых утверждений. Проверяются сохранение локальной верности подключённого объяснителя, локализация отсутствующих каналов происхождения, практическая полезность адаптивной политики, минимально достаточный выбор представления неопределённости, структурная и предсказательная функции критического разрыва, а также общий эффект исключения правила. Такое разделение необходимо, поскольку положительный результат для структурной функции не означает автоматически повышения точности или безопасности решения.</w:t>
      </w:r>
    </w:p>
    <w:p>
      <w:pPr>
        <w:pStyle w:val="a0"/>
        <w:widowControl/>
        <w:spacing w:after="80" w:line="276" w:lineRule="auto"/>
        <w:widowControl/>
      </w:pPr>
      <w:r>
        <w:t>Доказательная база построена в два последовательно зафиксированных этапа. Первый этап охватывает четыре модальности и проверяет H1–H6 на UCI Covertype, Fashion-MNIST, 20 Newsgroups и ElectricDevices. Второй, независимый подтверждающий контур использует Bank Marketing, Default of Credit Card Clients, Shoulder Implant X-Ray, SMS Spam Collection и UCI HAR Smartphones. Такое разделение позволяет сохранить ранние отрицательные результаты и одновременно проверить более узкие свойства H3-P1–H3-P4, H5-A, H6-A, H6-B, H7, H8 и H9 на новых данных. После автоматизированной предварительной проверки пользовательские объяснения были доработаны и представлены людям, изучающим методы объяснимого искусственного интеллекта. В качественной оценке переработанные формулировки были признаны понятными и приемлемыми; этот результат относится к читаемости представления и не заменяет количественную проверку эффективности решений.</w:t>
      </w:r>
    </w:p>
    <w:p>
      <w:pPr>
        <w:pStyle w:val="a0"/>
      </w:pPr>
      <w:r>
        <w:rPr>
          <w:rFonts w:ascii="Times New Roman" w:hAnsi="Times New Roman" w:eastAsia="Times New Roman"/>
          <w:b w:val="0"/>
          <w:i w:val="0"/>
          <w:sz w:val="28"/>
        </w:rPr>
        <w:t>Практическая часть дополнена описанием реальных модулей выпуска v1.3.0, типизированных структур данных, публичного интерфейса, проверяющего модуля и исполняемого сквозного примера. Эти материалы раскрывают, как формальная схема реализуется в коде и как из входного результата формируются диагностика, действие, пользовательская проекция и аудиторский пакет.</w:t>
      </w:r>
    </w:p>
    <w:p>
      <w:pPr>
        <w:pStyle w:val="2"/>
        <w:keepNext/>
        <w:spacing w:before="200" w:after="120"/>
        <w:keepNext/>
      </w:pPr>
      <w:r>
        <w:rPr>
          <w:rFonts w:ascii="Times New Roman" w:hAnsi="Times New Roman" w:eastAsia="Times New Roman"/>
          <w:b w:val="0"/>
          <w:i w:val="0"/>
        </w:rPr>
        <w:t>Основные результаты главы</w:t>
      </w:r>
    </w:p>
    <w:p>
      <w:pPr>
        <w:pStyle w:val="a0"/>
        <w:spacing w:after="80" w:line="276" w:lineRule="auto"/>
        <w:widowControl/>
      </w:pPr>
      <w:r>
        <w:rPr>
          <w:rFonts w:ascii="Times New Roman" w:hAnsi="Times New Roman" w:eastAsia="Times New Roman"/>
          <w:b w:val="0"/>
          <w:i w:val="0"/>
        </w:rPr>
        <w:t>Для быстрого ознакомления основные результаты сведены к восьми положениям. Каждое положение далее раскрывается экспериментом и связывается с доказательным источником.</w:t>
      </w:r>
    </w:p>
    <w:p>
      <w:pPr>
        <w:pStyle w:val="a0"/>
        <w:keepLines/>
        <w:spacing w:after="60"/>
        <w:ind w:left="454" w:hanging="454"/>
      </w:pPr>
      <w:r>
        <w:rPr>
          <w:rFonts w:ascii="Times New Roman" w:hAnsi="Times New Roman" w:eastAsia="Times New Roman"/>
        </w:rPr>
        <w:t>1. H1 и H2 подтверждают, что системный слой сохраняет исходное локальное объяснение и обнаруживает предусмотренное отсутствие обязательного канала без подстановки фиктивного значения.</w:t>
      </w:r>
    </w:p>
    <w:p>
      <w:pPr>
        <w:pStyle w:val="a0"/>
        <w:keepLines/>
        <w:spacing w:after="60"/>
        <w:ind w:left="454" w:hanging="454"/>
      </w:pPr>
      <w:r>
        <w:rPr>
          <w:rFonts w:ascii="Times New Roman" w:hAnsi="Times New Roman" w:eastAsia="Times New Roman"/>
        </w:rPr>
        <w:t>2. H4 подтверждает практическую пользу иерархии представлений: средняя сложность снижена с 8 до 3,137 при сохранении зарегистрированного риска и действия полного представления.</w:t>
      </w:r>
    </w:p>
    <w:p>
      <w:pPr>
        <w:pStyle w:val="a0"/>
        <w:keepLines/>
        <w:spacing w:after="60"/>
        <w:ind w:left="454" w:hanging="454"/>
      </w:pPr>
      <w:r>
        <w:rPr>
          <w:rFonts w:ascii="Times New Roman" w:hAnsi="Times New Roman" w:eastAsia="Times New Roman"/>
        </w:rPr>
        <w:t>3. H5-S и H5-A подтверждают структурную диагностику и сертификацию маршрута только для зарегистрированных классов нарушений.</w:t>
      </w:r>
    </w:p>
    <w:p>
      <w:pPr>
        <w:pStyle w:val="a0"/>
        <w:keepLines/>
        <w:spacing w:after="60"/>
        <w:ind w:left="454" w:hanging="454"/>
      </w:pPr>
      <w:r>
        <w:t>4. H7-A подтверждает точное сохранение 17 404 канонических объяснительных артефактов. Количественная гипотеза H7-B об улучшении сокращённой проекции не подтверждена, однако качественная оценка с участием людей, изучающих объяснимый искусственный интеллект, показала понятность переработанных пользовательских формулировок.</w:t>
      </w:r>
    </w:p>
    <w:p>
      <w:pPr>
        <w:pStyle w:val="a0"/>
        <w:keepLines/>
        <w:spacing w:after="60"/>
        <w:ind w:left="454" w:hanging="454"/>
      </w:pPr>
      <w:r>
        <w:rPr>
          <w:rFonts w:ascii="Times New Roman" w:hAnsi="Times New Roman" w:eastAsia="Times New Roman"/>
        </w:rPr>
        <w:t>5. H3, H5-P и H6-general не подтверждены: системный оператор не является универсально лучшей политикой, критический разрыв не предсказывает ошибку, а удаление правила не имеет общего направленного эффекта.</w:t>
      </w:r>
    </w:p>
    <w:p>
      <w:pPr>
        <w:pStyle w:val="a0"/>
        <w:keepLines/>
        <w:spacing w:after="60"/>
        <w:ind w:left="454" w:hanging="454"/>
      </w:pPr>
      <w:r>
        <w:rPr>
          <w:rFonts w:ascii="Times New Roman" w:hAnsi="Times New Roman" w:eastAsia="Times New Roman"/>
        </w:rPr>
        <w:t>6. H6-A подтверждена лишь в синтетической области обнаружимости; H6-B на реальных правилах имеет описательный статус.</w:t>
      </w:r>
    </w:p>
    <w:p>
      <w:pPr>
        <w:pStyle w:val="a0"/>
        <w:keepLines/>
        <w:spacing w:after="60"/>
        <w:ind w:left="454" w:hanging="454"/>
      </w:pPr>
      <w:r>
        <w:rPr>
          <w:rFonts w:ascii="Times New Roman" w:hAnsi="Times New Roman" w:eastAsia="Times New Roman"/>
        </w:rPr>
        <w:t>7. H8 и H9 являются ограниченными техническими измерениями: компонентная сетка влияет на состав причин, а масштабирование до 5 млн записей относится только к кэшированному операторному слою.</w:t>
      </w:r>
    </w:p>
    <w:p>
      <w:pPr>
        <w:pStyle w:val="a0"/>
        <w:keepLines/>
        <w:spacing w:after="60"/>
        <w:ind w:left="454" w:hanging="454"/>
      </w:pPr>
      <w:r>
        <w:rPr>
          <w:rFonts w:ascii="Times New Roman" w:hAnsi="Times New Roman" w:eastAsia="Times New Roman"/>
          <w:b w:val="0"/>
          <w:i w:val="0"/>
          <w:sz w:val="28"/>
        </w:rPr>
        <w:t>8. Практический вклад состоит в воспроизводимом аудите происхождения, сохранении свидетельств, локализации структурных нарушений и управлении формой представления. Реализация включает публичный API, адаптеры модальностей, типизированный OperatorRoute, проверяемый ProofTrace и экспорт JSON/CSV/PNG/HTML. Качественная пользовательская оценка поддерживает понятность итоговых формулировок, тогда как предметная эффективность и безопасность требуют отдельного прикладного исследования.</w:t>
      </w:r>
    </w:p>
    <w:p>
      <w:pPr>
        <w:pStyle w:val="3"/>
        <w:keepNext/>
        <w:spacing w:before="200" w:after="120"/>
        <w:keepNext/>
      </w:pPr>
      <w:r>
        <w:rPr>
          <w:rFonts w:ascii="Times New Roman" w:hAnsi="Times New Roman" w:eastAsia="Times New Roman"/>
          <w:b w:val="0"/>
          <w:i w:val="0"/>
        </w:rPr>
        <w:t>Основные термины</w:t>
      </w:r>
    </w:p>
    <w:tbl>
      <w:tblPr>
        <w:tblStyle w:val="af1"/>
        <w:tblW w:type="dxa" w:w="9354"/>
        <w:tblLook w:firstColumn="1" w:firstRow="1" w:lastColumn="0" w:lastRow="0" w:noHBand="0" w:noVBand="1" w:val="04A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0"/>
        <w:gridCol w:w="5354"/>
      </w:tblGrid>
      <w:tr>
        <w:trPr>
          <w:tblHeader w:val="true"/>
          <w:cantSplit/>
          <w:tblHeader w:val="true"/>
          <w:cantSplit/>
          <w:tblHeader w:val="true"/>
          <w:cantSplit w:val="true"/>
        </w:trPr>
        <w:tc>
          <w:tcPr>
            <w:tcW w:type="dxa" w:w="4000"/>
            <w:vAlign w:val="center"/>
            <w:shd w:fill="D9D9D9" w:val="clear"/>
            <w:tcMar>
              <w:top w:w="70" w:type="dxa"/>
              <w:start w:w="80" w:type="dxa"/>
              <w:bottom w:w="70" w:type="dxa"/>
              <w:end w:w="80" w:type="dxa"/>
            </w:tcMar>
          </w:tcPr>
          <w:p>
            <w:pPr>
              <w:spacing w:before="0" w:after="0" w:line="240" w:lineRule="auto"/>
              <w:ind w:left="0" w:right="0" w:firstLine="0"/>
              <w:jc w:val="center"/>
            </w:pPr>
            <w:r>
              <w:rPr>
                <w:rFonts w:ascii="Times New Roman" w:hAnsi="Times New Roman" w:eastAsia="Times New Roman"/>
                <w:b/>
                <w:sz w:val="19"/>
              </w:rPr>
              <w:t>Термин</w:t>
            </w:r>
          </w:p>
        </w:tc>
        <w:tc>
          <w:tcPr>
            <w:tcW w:type="dxa" w:w="5354"/>
            <w:vAlign w:val="center"/>
            <w:shd w:fill="D9D9D9" w:val="clear"/>
            <w:tcMar>
              <w:top w:w="70" w:type="dxa"/>
              <w:start w:w="80" w:type="dxa"/>
              <w:bottom w:w="70" w:type="dxa"/>
              <w:end w:w="80" w:type="dxa"/>
            </w:tcMar>
          </w:tcPr>
          <w:p>
            <w:pPr>
              <w:spacing w:before="0" w:after="0" w:line="240" w:lineRule="auto"/>
              <w:ind w:left="0" w:right="0" w:firstLine="0"/>
              <w:jc w:val="center"/>
            </w:pPr>
            <w:r>
              <w:rPr>
                <w:rFonts w:ascii="Times New Roman" w:hAnsi="Times New Roman" w:eastAsia="Times New Roman"/>
                <w:b/>
                <w:sz w:val="19"/>
              </w:rPr>
              <w:t>Принятое значение</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Вычислительное свидетельство</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Измеренный факт с указанием значения, источника, версии компонента и допустимой области интерпретации.</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Утверждение (утверждение)</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Фраза объяснения, связанная хотя бы с одним вычислительным свидетельством.</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i w:val="0"/>
                <w:sz w:val="19"/>
              </w:rPr>
              <w:t>Происхождение (provenance)</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Проверяемая цепочка от исходных данных и компонента до утверждения, диагностики и действия.</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Источник</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Конкретный вычислительный компонент, модель, набор данных или объяснитель.</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Канал</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Тип доступных сведений: прогноз, атрибуция, правило, история обучения, устойчивость или иная группа свидетельств.</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Критический разрыв</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Отсутствие допустимого маршрута от обязательных свидетельств к автоматическому действию.</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Канонический артефакт</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Неизменяемая исходная форма объяснения, сохраняющая значения, параметры, идентификаторы и контрольную сумму.</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Пользовательская проекция</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Сокращённое представление канонического объекта для выбранной аудитории без изменения исходного артефакта.</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OOF-выборка</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Объекты с признаками и прогнозами, полученными вне обучающего поднабора соответствующего разбиения.</w:t>
            </w:r>
          </w:p>
        </w:tc>
      </w:tr>
      <w:tr>
        <w:trPr>
          <w:cantSplit/>
          <w:cantSplit/>
          <w:cantSplit w:val="true"/>
        </w:trPr>
        <w:tc>
          <w:tcPr>
            <w:tcW w:type="dxa" w:w="4000"/>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Контрольная выборка</w:t>
            </w:r>
          </w:p>
        </w:tc>
        <w:tc>
          <w:tcPr>
            <w:tcW w:type="dxa" w:w="5354"/>
            <w:vAlign w:val="center"/>
            <w:shd w:fill="FFFFFF" w:val="clear"/>
            <w:tcMar>
              <w:top w:w="70" w:type="dxa"/>
              <w:start w:w="80" w:type="dxa"/>
              <w:bottom w:w="70" w:type="dxa"/>
              <w:end w:w="80" w:type="dxa"/>
            </w:tcMar>
          </w:tcPr>
          <w:p>
            <w:pPr>
              <w:spacing w:before="0" w:after="0" w:line="240" w:lineRule="auto"/>
              <w:ind w:left="0" w:right="0" w:firstLine="0"/>
              <w:jc w:val="left"/>
            </w:pPr>
            <w:r>
              <w:rPr>
                <w:rFonts w:ascii="Times New Roman" w:hAnsi="Times New Roman" w:eastAsia="Times New Roman"/>
                <w:b w:val="0"/>
                <w:sz w:val="19"/>
              </w:rPr>
              <w:t>Изолированная совокупность, не используемая при настройке моделей, политик и порогов.</w:t>
            </w:r>
          </w:p>
        </w:tc>
      </w:tr>
    </w:tbl>
    <w:p>
      <w:pPr>
        <w:pStyle w:val="a0"/>
        <w:spacing w:after="80" w:line="276" w:lineRule="auto"/>
        <w:widowControl/>
      </w:pPr>
      <w:r>
        <w:rPr>
          <w:rFonts w:ascii="Times New Roman" w:hAnsi="Times New Roman" w:eastAsia="Times New Roman"/>
          <w:b w:val="0"/>
          <w:i w:val="0"/>
        </w:rPr>
        <w:t>Далее термины используются в приведённых значениях. Английские эквиваленты сохраняются только при первом упоминании, в названиях методов, интерфейсов и машинных артефактов.</w:t>
      </w:r>
    </w:p>
    <w:p>
      <w:pPr>
        <w:pStyle w:val="2"/>
        <w:keepNext/>
        <w:keepLines/>
        <w:spacing w:before="200" w:after="120"/>
        <w:keepNext/>
      </w:pPr>
      <w:r>
        <w:rPr>
          <w:rFonts w:ascii="Times New Roman" w:hAnsi="Times New Roman" w:eastAsia="Times New Roman"/>
        </w:rPr>
        <w:t>4.1 Постановка задачи вычислительной реализации и проверяемые утверждения</w:t>
      </w:r>
    </w:p>
    <w:p>
      <w:pPr>
        <w:pStyle w:val="FirstParagraph"/>
        <w:widowControl/>
        <w:spacing w:after="80" w:line="276" w:lineRule="auto"/>
        <w:widowControl/>
      </w:pPr>
      <w:r>
        <w:rPr>
          <w:rFonts w:ascii="Times New Roman" w:hAnsi="Times New Roman" w:eastAsia="Times New Roman"/>
          <w:i w:val="0"/>
        </w:rPr>
        <w:t>Пусть M обозначает обученную модель, x — исследуемый объект, Π — план построения объяснения, а Ω — набор ограничений вычислительного и предметного контекста. Вычислительная реализация должна преобразовывать эти входы в объяснительный объект E, диагностическое состояние D, действие χ и доказательный след τ. В отличие от функции локальной атрибуции, оператор формирует не только ранжирование причин, но и проверяемую структуру перехода от свидетельств к действию.</w:t>
      </w:r>
    </w:p>
    <w:p>
      <w:pPr>
        <w:pStyle w:val="a0"/>
        <w:widowControl/>
        <w:spacing w:after="80" w:line="276" w:lineRule="auto"/>
        <w:widowControl/>
      </w:pPr>
      <w:r>
        <w:rPr>
          <w:rFonts w:ascii="Times New Roman" w:hAnsi="Times New Roman" w:eastAsia="Times New Roman"/>
          <w:i w:val="0"/>
        </w:rPr>
        <w:t>Вычислительным свидетельством считается измеренный факт, для которого указаны значение, источник, версия вычислительного компонента и допустимая область интерпретации. Свидетельством может быть вероятность класса, локальная атрибуция, правило, мера сдвига, оценка устойчивости, информация о версии модели или факт отсутствия обязательного канала. Утверждение объяснения допускается к отображению только при наличии связи хотя бы с одним свидетельством и при отсутствии запрещающего диагностического состояния.</w:t>
      </w:r>
    </w:p>
    <w:p>
      <w:pPr>
        <w:pStyle w:val="Equation"/>
        <w:keepLines/>
        <w:tabs>
          <w:tab w:pos="9184" w:val="left"/>
        </w:tabs>
        <w:jc w:val="center"/>
      </w:pPr>
      <w:r>
        <w:rPr>
          <w:rFonts w:ascii="Times New Roman" w:hAnsi="Times New Roman" w:eastAsia="Times New Roman"/>
          <w:sz w:val="26"/>
        </w:rPr>
        <w:t>𝒪 : (M, x, Π, Ω) ↦ (E, D, χ, τ)</w:t>
      </w:r>
      <w:r>
        <w:rPr>
          <w:rFonts w:ascii="Times New Roman" w:hAnsi="Times New Roman" w:eastAsia="Times New Roman"/>
        </w:rPr>
        <w:tab/>
        <w:t>(4.1)</w:t>
      </w:r>
    </w:p>
    <w:p>
      <w:pPr>
        <w:pStyle w:val="a0"/>
        <w:widowControl/>
        <w:spacing w:after="80" w:line="276" w:lineRule="auto"/>
        <w:widowControl/>
      </w:pPr>
      <w:r>
        <w:rPr>
          <w:rFonts w:ascii="Times New Roman" w:hAnsi="Times New Roman" w:eastAsia="Times New Roman"/>
          <w:i w:val="0"/>
        </w:rPr>
        <w:t>Объяснительный объект представлен как типизированная структура, объединяющая множество свидетельств V, множество пользовательских утверждений C, отношения происхождения R, профиль неопределённости U и политику представления P. Такое представление позволяет отделить измеренный факт от его словесной интерпретации и явно указать, какая часть объяснения недоступна.</w:t>
      </w:r>
    </w:p>
    <w:p>
      <w:pPr>
        <w:pStyle w:val="Equation"/>
        <w:keepLines/>
        <w:tabs>
          <w:tab w:pos="9184" w:val="left"/>
        </w:tabs>
        <w:jc w:val="center"/>
      </w:pPr>
      <w:r>
        <w:rPr>
          <w:rFonts w:ascii="Times New Roman" w:hAnsi="Times New Roman" w:eastAsia="Times New Roman"/>
          <w:sz w:val="26"/>
        </w:rPr>
        <w:t>E = ⟨V, C, R, U, P⟩</w:t>
      </w:r>
      <w:r>
        <w:rPr>
          <w:rFonts w:ascii="Times New Roman" w:hAnsi="Times New Roman" w:eastAsia="Times New Roman"/>
        </w:rPr>
        <w:tab/>
        <w:t>(4.2)</w:t>
      </w:r>
    </w:p>
    <w:p>
      <w:pPr>
        <w:pStyle w:val="a0"/>
        <w:widowControl/>
        <w:spacing w:after="80" w:line="276" w:lineRule="auto"/>
        <w:widowControl/>
      </w:pPr>
      <w:r>
        <w:rPr>
          <w:rFonts w:ascii="Times New Roman" w:hAnsi="Times New Roman" w:eastAsia="Times New Roman"/>
          <w:i w:val="0"/>
        </w:rPr>
        <w:t>Диагностическое состояние содержит признаки неполноты, конфликта, нестабильности, сдвига и превышения допустимой потери при редукции. Действие выбирается не по одной величине уверенности, а по совокупности доступных свидетельств и ограничений. При отсутствии обязательного канала оператор обязан вернуть диагностическое состояние; числовая подстановка по умолчанию запрещена.</w:t>
      </w:r>
    </w:p>
    <w:p>
      <w:pPr>
        <w:pStyle w:val="Equation"/>
        <w:keepLines/>
        <w:tabs>
          <w:tab w:pos="9184" w:val="left"/>
        </w:tabs>
        <w:jc w:val="center"/>
      </w:pPr>
      <w:r>
        <w:rPr>
          <w:rFonts w:ascii="Times New Roman" w:hAnsi="Times New Roman" w:eastAsia="Times New Roman"/>
          <w:sz w:val="26"/>
        </w:rPr>
        <w:t>D = (d_miss, d_conf, d_stab, d_shift, d_red)</w:t>
      </w:r>
      <w:r>
        <w:rPr>
          <w:rFonts w:ascii="Times New Roman" w:hAnsi="Times New Roman" w:eastAsia="Times New Roman"/>
        </w:rPr>
        <w:tab/>
        <w:t>(4.3)</w:t>
      </w:r>
    </w:p>
    <w:p>
      <w:pPr>
        <w:pStyle w:val="Equation"/>
        <w:keepLines/>
        <w:tabs>
          <w:tab w:pos="9184" w:val="left"/>
        </w:tabs>
        <w:jc w:val="center"/>
      </w:pPr>
      <w:r>
        <w:rPr>
          <w:rFonts w:ascii="Times New Roman" w:hAnsi="Times New Roman" w:eastAsia="Times New Roman"/>
          <w:b w:val="0"/>
          <w:i w:val="0"/>
        </w:rPr>
        <w:t>χ(E,D) = arg minₐ R(a | E,D), a ∈ {принять, проверить, заблокировать}</w:t>
        <w:tab/>
        <w:t>(4.4)</w:t>
      </w:r>
    </w:p>
    <w:p>
      <w:pPr>
        <w:pStyle w:val="a0"/>
        <w:widowControl/>
        <w:spacing w:after="80" w:line="276" w:lineRule="auto"/>
        <w:widowControl/>
      </w:pPr>
      <w:r>
        <w:rPr>
          <w:rFonts w:ascii="Times New Roman" w:hAnsi="Times New Roman" w:eastAsia="Times New Roman"/>
          <w:i w:val="0"/>
        </w:rPr>
        <w:t>Экспериментальная проверка организована как проверка отдельных гипотез. H1 относится к сохранению исходной локальной верности. H2 проверяет обнаружение удалённых каналов происхождения. H3 проверяет превосходство адаптивной политики над сильной простой политикой. H4 относится к снижению сложности представления при сохранении риска. H5 разделена на структурную и предсказательную части. H6 проверяет общий специфический эффект исключения правила относительно сопоставимого случайного удаления.</w:t>
      </w:r>
    </w:p>
    <w:p>
      <w:pPr>
        <w:pStyle w:val="aa"/>
        <w:keepNext/>
        <w:keepLines/>
        <w:spacing w:before="120" w:after="80"/>
        <w:jc w:val="center"/>
        <w:keepNext/>
      </w:pPr>
      <w:r>
        <w:rPr>
          <w:rFonts w:ascii="Times New Roman" w:hAnsi="Times New Roman" w:eastAsia="Times New Roman"/>
          <w:b w:val="0"/>
          <w:i w:val="0"/>
        </w:rPr>
        <w:t>Таблица 4.1 — Проверяемые свойства вычислительного контура</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tblHeader w:val="true"/>
          <w:cantSplit/>
          <w:tblHeader w:val="true"/>
          <w:cantSplit w:val="true"/>
        </w:trPr>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Обозначение</w:t>
            </w:r>
          </w:p>
        </w:tc>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Проверяемое свойство</w:t>
            </w:r>
          </w:p>
        </w:tc>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Критерий интерпретации</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H1</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Сохранение верности исходного объяснителя</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Неухудшение в пределах ε = 0,02 при одинаковом объекте и бюджете</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H2</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Локализация отсутствующего канала</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F1 обнаружения и отсутствие ложной сертификации</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H3</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Практическая польза адаптивной политики</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Меньший риск при сопоставимом покрытии либо меньшая стоимость при не худшем риске</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H4</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Минимально достаточное представление</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Риск не выше постоянного выбора FML + ε при меньшей сложности</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H5-S</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Структурный критический разрыв</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Обнаружение и локализация нарушенного маршрута</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H5-P</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Предсказательная функция разрыва</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Положительный прирост AUPRC относительно модели без признака</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H6</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Специфический эффект абляции правила</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Эффект правила-кандидата выше эффекта сопоставимых контрольных правил на независимых наборах</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Предварительная фиксация критериев необходима для исключения ретроспективного изменения цели эксперимента. Если утверждение не подтверждается, оно не заменяется более удобным постфактум-выводом. В этом случае область применения метода сужается, а неподтверждённое свойство исключается из перечня научных результатов.</w:t>
      </w:r>
    </w:p>
    <w:p>
      <w:pPr>
        <w:pStyle w:val="2"/>
        <w:keepNext/>
        <w:keepLines/>
        <w:spacing w:before="200" w:after="120"/>
        <w:keepNext/>
      </w:pPr>
      <w:r>
        <w:rPr>
          <w:rFonts w:ascii="Times New Roman" w:hAnsi="Times New Roman" w:eastAsia="Times New Roman"/>
        </w:rPr>
        <w:t>4.2 Архитектура доказательного вычислительного контура</w:t>
      </w:r>
    </w:p>
    <w:p>
      <w:pPr>
        <w:pStyle w:val="FirstParagraph"/>
        <w:widowControl/>
        <w:spacing w:after="80" w:line="276" w:lineRule="auto"/>
        <w:widowControl/>
      </w:pPr>
      <w:r>
        <w:rPr>
          <w:rFonts w:ascii="Times New Roman" w:hAnsi="Times New Roman" w:eastAsia="Times New Roman"/>
          <w:i w:val="0"/>
        </w:rPr>
        <w:t>Вычислительный маршрут начинается с приведения разнородных выходов модели и объяснителей к нормальной форме свидетельства. Для каждого элемента фиксируются тип, значение, единица интерпретации, идентификатор источника, версия модели, объект и время получения. Нормализация обеспечивает совместную обработку коэффициентов линейной модели, правил дерева, локальных атрибуций, областей изображения, токенов и временных окон.</w:t>
      </w: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2651623"/>
            <wp:docPr id="1" name="Picture 1" descr="Рисунок 4.1 — Архитектура доказательного вычислительного контура" title="Рисунок 1"/>
            <wp:cNvGraphicFramePr>
              <a:graphicFrameLocks noChangeAspect="1"/>
            </wp:cNvGraphicFramePr>
            <a:graphic>
              <a:graphicData uri="http://schemas.openxmlformats.org/drawingml/2006/picture">
                <pic:pic>
                  <pic:nvPicPr>
                    <pic:cNvPr id="0" name="fig4_1_architecture.png"/>
                    <pic:cNvPicPr/>
                  </pic:nvPicPr>
                  <pic:blipFill>
                    <a:blip r:embed="rId66"/>
                    <a:stretch>
                      <a:fillRect/>
                    </a:stretch>
                  </pic:blipFill>
                  <pic:spPr>
                    <a:xfrm>
                      <a:off x="0" y="0"/>
                      <a:ext cx="5580000" cy="2651623"/>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 — Архитектура доказательного вычислительного контура</w:t>
      </w:r>
    </w:p>
    <w:p>
      <w:pPr>
        <w:pStyle w:val="a0"/>
        <w:widowControl/>
        <w:spacing w:after="80" w:line="276" w:lineRule="auto"/>
        <w:widowControl/>
      </w:pPr>
      <w:r>
        <w:rPr>
          <w:rFonts w:ascii="Times New Roman" w:hAnsi="Times New Roman" w:eastAsia="Times New Roman"/>
          <w:i w:val="0"/>
        </w:rPr>
        <w:t>Нормализованные свидетельства образуют доказательный граф. Его узлы соответствуют исходным данным, вычислительным компонентам, свидетельствам, утверждениям, диагностическим состояниям и действиям. Рёбра задают отношения происхождения, агрегации, редукции и запрета. Граф используется не как визуальная метафора, а как исполнимая структура: проверочный модуль может восстановить путь от пользовательской фразы до исходного вычислительного артефакта.</w:t>
      </w:r>
    </w:p>
    <w:p>
      <w:pPr>
        <w:pStyle w:val="a0"/>
        <w:widowControl/>
        <w:spacing w:after="80" w:line="276" w:lineRule="auto"/>
        <w:widowControl/>
      </w:pPr>
      <w:r>
        <w:rPr>
          <w:rFonts w:ascii="Times New Roman" w:hAnsi="Times New Roman" w:eastAsia="Times New Roman"/>
          <w:i w:val="0"/>
        </w:rPr>
        <w:t>После построения графа формируется профиль неопределённости. Он включает калибровочную неопределённость прогноза, расхождение моделей и объяснителей, нестабильность причин, неполноту происхождения и сдвиг данных. По профилю выбирается минимально достаточная форма представления из классов F0, Fint, NAS и FML. Сложная форма не должна применяться автоматически, если более простая форма сохраняет необходимое покрытие.</w:t>
      </w:r>
    </w:p>
    <w:p>
      <w:pPr>
        <w:pStyle w:val="Equation"/>
        <w:keepLines/>
        <w:tabs>
          <w:tab w:pos="9184" w:val="left"/>
        </w:tabs>
        <w:jc w:val="center"/>
      </w:pPr>
      <w:r>
        <w:rPr>
          <w:rFonts w:ascii="Times New Roman" w:hAnsi="Times New Roman" w:eastAsia="Times New Roman"/>
          <w:b w:val="0"/>
          <w:i w:val="0"/>
        </w:rPr>
        <w:t>F*(u) = arg min_F C(F), при Cover(F,u)=1 и Δ(F,u)≤δ</w:t>
        <w:tab/>
        <w:t>(4.5)</w:t>
      </w:r>
    </w:p>
    <w:p>
      <w:pPr>
        <w:pStyle w:val="a0"/>
        <w:widowControl/>
        <w:spacing w:after="80" w:line="276" w:lineRule="auto"/>
        <w:widowControl/>
      </w:pPr>
      <w:r>
        <w:rPr>
          <w:rFonts w:ascii="Times New Roman" w:hAnsi="Times New Roman" w:eastAsia="Times New Roman"/>
          <w:i w:val="0"/>
        </w:rPr>
        <w:t>Диагностический модуль реализует принцип запрета автоматического завершения при неполноте. Если обязательный канал отсутствует, версия компонента несовместима или редукция превышает допустимую потерю, маршрут не завершается автоматическим действием. В систему не вводится фиктивное нулевое значение, поскольку ноль является измеренным значением, а отсутствие свидетельства — отдельным логическим состоянием.</w:t>
      </w:r>
    </w:p>
    <w:p>
      <w:pPr>
        <w:pStyle w:val="a0"/>
        <w:widowControl/>
        <w:spacing w:after="80" w:line="276" w:lineRule="auto"/>
        <w:widowControl/>
      </w:pPr>
      <w:r>
        <w:rPr>
          <w:rFonts w:ascii="Times New Roman" w:hAnsi="Times New Roman" w:eastAsia="Times New Roman"/>
          <w:i w:val="0"/>
        </w:rPr>
        <w:t>Последним этапом является редукция объяснения под адресата. Предметному пользователю выводятся решение, основные наблюдаемые причины, ограничения и действие. Техническому специалисту дополнительно доступны согласие источников, устойчивость и сведения о версиях. Аудитор получает полный граф происхождения. Все уровни представления строятся из одного объекта E, поэтому сокращение не создаёт нового независимого объяснения.</w:t>
      </w:r>
    </w:p>
    <w:p>
      <w:pPr>
        <w:pStyle w:val="aa"/>
        <w:keepNext/>
        <w:keepLines/>
        <w:spacing w:before="120" w:after="80"/>
        <w:jc w:val="center"/>
        <w:keepNext/>
      </w:pPr>
      <w:r>
        <w:rPr>
          <w:rFonts w:ascii="Times New Roman" w:hAnsi="Times New Roman" w:eastAsia="Times New Roman"/>
          <w:b w:val="0"/>
          <w:i w:val="0"/>
        </w:rPr>
        <w:t>Таблица 4.2 — Основные компоненты вычислительного маршрута</w:t>
      </w:r>
    </w:p>
    <w:tbl>
      <w:tblPr>
        <w:tblStyle w:val="af1"/>
        <w:tblW w:type="dxa" w:w="9356"/>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tblHeader w:val="true"/>
          <w:cantSplit/>
          <w:tblHeader w:val="true"/>
          <w:cantSplit w:val="true"/>
        </w:trPr>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Компонент</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Вход</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Результат</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Проверяемый инвариант</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Нормализация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Выход модели или объяснителя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Типизированное свидетельство</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Сохранение значения и источника</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Доказательный граф</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Свидетельства и зависимости</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Связный маршрут происхождения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Каждое отображаемое утверждение связано со свидетельством</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Выбор представления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Профиль неопределённости</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F0, Fint, NAS или FML</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Минимальная сложность при достаточном покрытии</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Диагностика</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Граф и ограничения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Состояния неполноты, конфликта, сдвига</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Отсутствие не заменяется числом</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Политика действия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E, D и функция риска</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принять, проверить или заблокировать</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Действие воспроизводимо из зафиксированных параметров</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Редукция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Полный объект E и профиль адресата</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Пользовательская карточка</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Происхождение ключевых утверждений сохраняется</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Программная реализация включает проверочные контракты, которые запрещают использование тестовой выборки при калибровке, фиксируют версии зависимостей, сохраняют идентификаторы объектов и формируют контрольные суммы артефактов. Таким образом, вычислительная архитектура одновременно реализует оператор и создаёт условия для его независимого повторения.</w:t>
      </w:r>
    </w:p>
    <w:p>
      <w:pPr>
        <w:pStyle w:val="3"/>
        <w:ind w:firstLine="0"/>
      </w:pPr>
      <w:r>
        <w:rPr>
          <w:rFonts w:ascii="Times New Roman" w:hAnsi="Times New Roman" w:eastAsia="Times New Roman"/>
          <w:b w:val="0"/>
          <w:i w:val="0"/>
          <w:sz w:val="28"/>
        </w:rPr>
        <w:t>4.2.1 Программные компоненты и соответствие формальной модели</w:t>
      </w:r>
    </w:p>
    <w:p>
      <w:pPr>
        <w:pStyle w:val="FirstParagraph"/>
      </w:pPr>
      <w:r>
        <w:rPr>
          <w:rFonts w:ascii="Times New Roman" w:hAnsi="Times New Roman" w:eastAsia="Times New Roman"/>
          <w:b w:val="0"/>
          <w:i w:val="0"/>
          <w:sz w:val="28"/>
        </w:rPr>
        <w:t>Практическая реализация разделена на адаптеры, нормализацию, построение маршрута, выбор представления, диагностику, действие, проверку доказательного следа и экспорт. Благодаря этому модель и локальный объяснитель могут заменяться без изменения последующих контрактов. В таблице 4.2а приведено соответствие функций реальным модулям выпуска v1.3.0.</w:t>
      </w:r>
    </w:p>
    <w:tbl>
      <w:tblPr>
        <w:tblStyle w:val="Table"/>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val="true"/>
          <w:tblHeader w:val="true"/>
          <w:cantSplit w:val="true"/>
        </w:trPr>
        <w:tc>
          <w:tcPr>
            <w:tcW w:type="dxa" w:w="1587"/>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Функция</w:t>
            </w:r>
          </w:p>
        </w:tc>
        <w:tc>
          <w:tcPr>
            <w:tcW w:type="dxa" w:w="232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Реальный модуль</w:t>
            </w:r>
          </w:p>
        </w:tc>
        <w:tc>
          <w:tcPr>
            <w:tcW w:type="dxa" w:w="147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Вход</w:t>
            </w:r>
          </w:p>
        </w:tc>
        <w:tc>
          <w:tcPr>
            <w:tcW w:type="dxa" w:w="1417"/>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Выход</w:t>
            </w:r>
          </w:p>
        </w:tc>
        <w:tc>
          <w:tcPr>
            <w:tcW w:type="dxa" w:w="198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Контролируемый отказ</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Приём внешнего результата</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fuzzyxai/adapters/base.py; tabular_classification.py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payload модели и объяснителя</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AdaptedInput</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отсутствующее поле или неверный диапазон</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Нормальная форма</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fuzzyxai/core/types.py; core/explanation.py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AdaptedInput</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ExplainableObject</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неполный канал фиксируется явно</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Построение маршрута</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fuzzyxai/core/route.py; external_tabular_route.py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объяснительный объект и план</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OperatorRoute</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несовместимый сценарий или версия</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Выбор представления</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fuzzyxai/risk/representation_selection.py; hierarchy/*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профиль неопределённости</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F0/Fint/NAS/FML</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недопокрытие или чрезмерная редукция</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Диагностика и действие</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fuzzyxai/operators/diagnostics.py; operators/actions.py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γ, Δ, ρ и контракт маршрута</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diagnostic_id и action_id</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структурное нарушение локализуется</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Доказательный след</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fuzzyxai/proof/trace.py; proof/verifier.py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OperatorRoute</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ProofTrace и VerificationResult</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несогласованность значений, действия или диагностики</w:t>
            </w:r>
          </w:p>
        </w:tc>
      </w:tr>
      <w:tr>
        <w:trPr>
          <w:cantSplit w:val="true"/>
          <w:cantSplit w:val="true"/>
        </w:trPr>
        <w:tc>
          <w:tcPr>
            <w:tcW w:type="dxa" w:w="158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Экспорт</w:t>
            </w:r>
          </w:p>
        </w:tc>
        <w:tc>
          <w:tcPr>
            <w:tcW w:type="dxa" w:w="232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fuzzyxai/runtime.py; visualization/traceability.py</w:t>
            </w:r>
          </w:p>
        </w:tc>
        <w:tc>
          <w:tcPr>
            <w:tcW w:type="dxa" w:w="147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проверенный маршрут</w:t>
            </w:r>
          </w:p>
        </w:tc>
        <w:tc>
          <w:tcPr>
            <w:tcW w:type="dxa" w:w="1417"/>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JSON, CSV, PNG, HTML</w:t>
            </w:r>
          </w:p>
        </w:tc>
        <w:tc>
          <w:tcPr>
            <w:tcW w:type="dxa" w:w="198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пакет не создаётся при некорректном входе</w:t>
            </w:r>
          </w:p>
        </w:tc>
      </w:tr>
    </w:tbl>
    <w:p>
      <w:pPr>
        <w:pStyle w:val="aa"/>
        <w:keepNext w:val="0"/>
        <w:ind w:firstLine="0"/>
        <w:jc w:val="center"/>
      </w:pPr>
      <w:r>
        <w:rPr>
          <w:rFonts w:ascii="Times New Roman" w:hAnsi="Times New Roman" w:eastAsia="Times New Roman"/>
          <w:b w:val="0"/>
          <w:i w:val="0"/>
          <w:sz w:val="24"/>
        </w:rPr>
        <w:t>Таблица 4.2а — Соответствие практических функций программным модулям</w:t>
      </w:r>
    </w:p>
    <w:p>
      <w:pPr>
        <w:pStyle w:val="3"/>
        <w:ind w:firstLine="0"/>
      </w:pPr>
      <w:r>
        <w:rPr>
          <w:rFonts w:ascii="Times New Roman" w:hAnsi="Times New Roman" w:eastAsia="Times New Roman"/>
          <w:b w:val="0"/>
          <w:i w:val="0"/>
          <w:sz w:val="28"/>
        </w:rPr>
        <w:t>4.2.2 Исполняемые структуры данных</w:t>
      </w:r>
    </w:p>
    <w:p>
      <w:pPr>
        <w:pStyle w:val="FirstParagraph"/>
      </w:pPr>
      <w:r>
        <w:rPr>
          <w:rFonts w:ascii="Times New Roman" w:hAnsi="Times New Roman" w:eastAsia="Times New Roman"/>
          <w:b w:val="0"/>
          <w:i w:val="0"/>
          <w:sz w:val="28"/>
        </w:rPr>
        <w:t>Внутренний обмен основан на типизированных структурах из fuzzyxai/core/types.py. Адаптер формирует AdaptedInput, вычислительная часть создаёт OperatorRoute, а проверяемый пакет представлен ProofTrace. Эти структуры разделяют входные значения, вычисленные результаты, диагностику, действие и версию источника.</w:t>
      </w:r>
    </w:p>
    <w:tbl>
      <w:tblPr>
        <w:tblStyle w:val="Table"/>
        <w:tblW w:type="auto" w:w="0"/>
        <w:jc w:val="center"/>
        <w:tblLayout w:type="fixed"/>
        <w:tblLook w:firstColumn="1" w:firstRow="1" w:lastColumn="0" w:lastRow="0" w:noHBand="0" w:noVBand="1" w:val="04A0"/>
      </w:tblPr>
      <w:tblGrid>
        <w:gridCol w:w="3118"/>
        <w:gridCol w:w="3118"/>
        <w:gridCol w:w="3118"/>
      </w:tblGrid>
      <w:tr>
        <w:trPr>
          <w:tblHeader w:val="true"/>
          <w:cantSplit w:val="true"/>
          <w:tblHeader w:val="true"/>
          <w:cantSplit w:val="true"/>
        </w:trPr>
        <w:tc>
          <w:tcPr>
            <w:tcW w:type="dxa" w:w="1701"/>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Структура</w:t>
            </w:r>
          </w:p>
        </w:tc>
        <w:tc>
          <w:tcPr>
            <w:tcW w:type="dxa" w:w="4082"/>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Ключевые поля</w:t>
            </w:r>
          </w:p>
        </w:tc>
        <w:tc>
          <w:tcPr>
            <w:tcW w:type="dxa" w:w="3175"/>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Назначение</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AdaptedInput</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scenario_id, values, source, value_sources, metadata</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Нормализованный вход после проверки адаптером</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OperatorNode</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node_id, input_values, output_values, formula_text, thresholds, status, next_node_ids</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Восстанавливаемый шаг вычислительного маршрута</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OperatorRoute</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nodes, edges, computed_result, diagnostics, final_action, source_commit</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Полный маршрут от входа до действия</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ProofTrace</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route, computed_result, diagnostics, final_action, verifier_status</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Снимок маршрута для независимой проверки</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VerificationResult</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valid, errors</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Результат проверки согласованности пакета</w:t>
            </w:r>
          </w:p>
        </w:tc>
      </w:tr>
    </w:tbl>
    <w:p>
      <w:pPr>
        <w:pStyle w:val="aa"/>
        <w:keepNext w:val="0"/>
        <w:ind w:firstLine="0"/>
        <w:jc w:val="center"/>
      </w:pPr>
      <w:r>
        <w:rPr>
          <w:rFonts w:ascii="Times New Roman" w:hAnsi="Times New Roman" w:eastAsia="Times New Roman"/>
          <w:b w:val="0"/>
          <w:i w:val="0"/>
          <w:sz w:val="24"/>
        </w:rPr>
        <w:t>Таблица 4.2б — Основные исполняемые структуры FuzzyXAI</w:t>
      </w:r>
    </w:p>
    <w:p>
      <w:pPr>
        <w:pStyle w:val="a0"/>
      </w:pPr>
      <w:r>
        <w:rPr>
          <w:rFonts w:ascii="Times New Roman" w:hAnsi="Times New Roman" w:eastAsia="Times New Roman"/>
          <w:b w:val="0"/>
          <w:i w:val="0"/>
          <w:sz w:val="28"/>
        </w:rPr>
        <w:t>Минимальный вход внешней табличной модели содержит прогноз, вероятностную оценку, значения признаков, локальные важности и показатели качества. Реальный публичный пример имеет следующий вид.</w:t>
      </w:r>
    </w:p>
    <w:tbl>
      <w:tblPr>
        <w:tblW w:type="auto" w:w="0"/>
        <w:jc w:val="center"/>
        <w:tblLayout w:type="fixed"/>
        <w:tblLook w:firstColumn="1" w:firstRow="1" w:lastColumn="0" w:lastRow="0" w:noHBand="0" w:noVBand="1" w:val="04A0"/>
      </w:tblPr>
      <w:tblGrid>
        <w:gridCol w:w="9355"/>
      </w:tblGrid>
      <w:tr>
        <w:trPr>
          <w:tblHeader w:val="true"/>
          <w:cantSplit w:val="true"/>
        </w:trPr>
        <w:tc>
          <w:tcPr>
            <w:tcW w:type="dxa" w:w="8787"/>
            <w:shd w:fill="F2F2F2"/>
            <w:tcMar>
              <w:top w:w="70" w:type="dxa"/>
              <w:start w:w="80" w:type="dxa"/>
              <w:bottom w:w="70" w:type="dxa"/>
              <w:end w:w="80" w:type="dxa"/>
            </w:tcMar>
            <w:vAlign w:val="center"/>
          </w:tcPr>
          <w:p>
            <w:pPr>
              <w:spacing w:line="240" w:lineRule="auto"/>
              <w:ind w:firstLine="0"/>
              <w:jc w:val="left"/>
            </w:pPr>
            <w:r>
              <w:rPr>
                <w:rFonts w:ascii="Courier New" w:hAnsi="Courier New" w:eastAsia="Courier New"/>
                <w:sz w:val="17"/>
              </w:rPr>
              <w:t>payload = {</w:t>
            </w:r>
            <w:r>
              <w:br/>
            </w:r>
            <w:r>
              <w:rPr>
                <w:rFonts w:ascii="Courier New" w:hAnsi="Courier New" w:eastAsia="Courier New"/>
                <w:sz w:val="17"/>
              </w:rPr>
              <w:t xml:space="preserve">    "scenario_id": "external_wine_classification",</w:t>
            </w:r>
            <w:r>
              <w:br/>
            </w:r>
            <w:r>
              <w:rPr>
                <w:rFonts w:ascii="Courier New" w:hAnsi="Courier New" w:eastAsia="Courier New"/>
                <w:sz w:val="17"/>
              </w:rPr>
              <w:t xml:space="preserve">    "source_type": "tabular",</w:t>
            </w:r>
            <w:r>
              <w:br/>
            </w:r>
            <w:r>
              <w:rPr>
                <w:rFonts w:ascii="Courier New" w:hAnsi="Courier New" w:eastAsia="Courier New"/>
                <w:sz w:val="17"/>
              </w:rPr>
              <w:t xml:space="preserve">    "model_name": "ExternalDemoModel",</w:t>
            </w:r>
            <w:r>
              <w:br/>
            </w:r>
            <w:r>
              <w:rPr>
                <w:rFonts w:ascii="Courier New" w:hAnsi="Courier New" w:eastAsia="Courier New"/>
                <w:sz w:val="17"/>
              </w:rPr>
              <w:t xml:space="preserve">    "dataset_name": "manual_payload",</w:t>
            </w:r>
            <w:r>
              <w:br/>
            </w:r>
            <w:r>
              <w:rPr>
                <w:rFonts w:ascii="Courier New" w:hAnsi="Courier New" w:eastAsia="Courier New"/>
                <w:sz w:val="17"/>
              </w:rPr>
              <w:t xml:space="preserve">    "predicted_class": 1,</w:t>
            </w:r>
            <w:r>
              <w:br/>
            </w:r>
            <w:r>
              <w:rPr>
                <w:rFonts w:ascii="Courier New" w:hAnsi="Courier New" w:eastAsia="Courier New"/>
                <w:sz w:val="17"/>
              </w:rPr>
              <w:t xml:space="preserve">    "class_probability": 0.68,</w:t>
            </w:r>
            <w:r>
              <w:br/>
            </w:r>
            <w:r>
              <w:rPr>
                <w:rFonts w:ascii="Courier New" w:hAnsi="Courier New" w:eastAsia="Courier New"/>
                <w:sz w:val="17"/>
              </w:rPr>
              <w:t xml:space="preserve">    "feature_values": {"x1": 0.4, "x2": 0.7, "x3": 0.2},</w:t>
            </w:r>
            <w:r>
              <w:br/>
            </w:r>
            <w:r>
              <w:rPr>
                <w:rFonts w:ascii="Courier New" w:hAnsi="Courier New" w:eastAsia="Courier New"/>
                <w:sz w:val="17"/>
              </w:rPr>
              <w:t xml:space="preserve">    "feature_importance": {"x1": 0.31, "x2": 0.18, "x3": 0.12},</w:t>
            </w:r>
            <w:r>
              <w:br/>
            </w:r>
            <w:r>
              <w:rPr>
                <w:rFonts w:ascii="Courier New" w:hAnsi="Courier New" w:eastAsia="Courier New"/>
                <w:sz w:val="17"/>
              </w:rPr>
              <w:t xml:space="preserve">    "quality_metrics": {"missing_rate": 0.05, "feature_range_violation": 0.0}</w:t>
            </w:r>
            <w:r>
              <w:br/>
            </w:r>
            <w:r>
              <w:rPr>
                <w:rFonts w:ascii="Courier New" w:hAnsi="Courier New" w:eastAsia="Courier New"/>
                <w:sz w:val="17"/>
              </w:rPr>
              <w:t>}</w:t>
            </w:r>
          </w:p>
        </w:tc>
      </w:tr>
    </w:tbl>
    <w:p>
      <w:pPr>
        <w:pStyle w:val="aa"/>
        <w:ind w:firstLine="0"/>
        <w:jc w:val="center"/>
      </w:pPr>
      <w:r>
        <w:rPr>
          <w:rFonts w:ascii="Times New Roman" w:hAnsi="Times New Roman" w:eastAsia="Times New Roman"/>
          <w:b w:val="0"/>
          <w:i w:val="0"/>
          <w:sz w:val="24"/>
        </w:rPr>
        <w:t>Листинг 4.1 — Сокращённый payload внешней табличной модели</w:t>
      </w:r>
    </w:p>
    <w:p>
      <w:pPr>
        <w:pStyle w:val="3"/>
        <w:ind w:firstLine="0"/>
      </w:pPr>
      <w:r>
        <w:rPr>
          <w:rFonts w:ascii="Times New Roman" w:hAnsi="Times New Roman" w:eastAsia="Times New Roman"/>
          <w:b w:val="0"/>
          <w:i w:val="0"/>
          <w:sz w:val="28"/>
        </w:rPr>
        <w:t>4.2.3 Сквозной практический запуск</w:t>
      </w:r>
    </w:p>
    <w:p>
      <w:pPr>
        <w:pStyle w:val="FirstParagraph"/>
      </w:pPr>
      <w:r>
        <w:rPr>
          <w:rFonts w:ascii="Times New Roman" w:hAnsi="Times New Roman" w:eastAsia="Times New Roman"/>
          <w:b w:val="0"/>
          <w:i w:val="0"/>
          <w:sz w:val="28"/>
        </w:rPr>
        <w:t>Сквозной пример выполнен через публичный класс FuzzyXAI и адаптер tabular_classification. Он не является новым статистическим экспериментом и демонстрирует уже реализованный маршрут. Проверка payload предшествует формированию девяти узлов: входного артефакта, объяснительного объекта, представления, согласования, редукции, риска, диагностики, действия и доказательного следа.</w:t>
      </w:r>
    </w:p>
    <w:p>
      <w:pPr>
        <w:pStyle w:val="CaptionedFigure"/>
        <w:ind w:firstLine="0"/>
        <w:jc w:val="center"/>
      </w:pPr>
      <w:r>
        <w:drawing>
          <wp:inline xmlns:a="http://schemas.openxmlformats.org/drawingml/2006/main" xmlns:pic="http://schemas.openxmlformats.org/drawingml/2006/picture">
            <wp:extent cx="6080760" cy="1423848"/>
            <wp:docPr id="25" name="Picture 25" descr="Сквозной вычислительный маршрут внешнего табличного примера FuzzyXAI" title="Сквозной маршрут FuzzyXAI"/>
            <wp:cNvGraphicFramePr>
              <a:graphicFrameLocks noChangeAspect="1"/>
            </wp:cNvGraphicFramePr>
            <a:graphic>
              <a:graphicData uri="http://schemas.openxmlformats.org/drawingml/2006/picture">
                <pic:pic>
                  <pic:nvPicPr>
                    <pic:cNvPr id="0" name="fig_4_1a_end_to_end.png"/>
                    <pic:cNvPicPr/>
                  </pic:nvPicPr>
                  <pic:blipFill>
                    <a:blip r:embed="rId90"/>
                    <a:stretch>
                      <a:fillRect/>
                    </a:stretch>
                  </pic:blipFill>
                  <pic:spPr>
                    <a:xfrm>
                      <a:off x="0" y="0"/>
                      <a:ext cx="6080760" cy="1423848"/>
                    </a:xfrm>
                    <a:prstGeom prst="rect"/>
                  </pic:spPr>
                </pic:pic>
              </a:graphicData>
            </a:graphic>
          </wp:inline>
        </w:drawing>
      </w:r>
    </w:p>
    <w:p>
      <w:pPr>
        <w:pStyle w:val="aa"/>
        <w:ind w:firstLine="0"/>
        <w:jc w:val="center"/>
      </w:pPr>
      <w:r>
        <w:rPr>
          <w:rFonts w:ascii="Times New Roman" w:hAnsi="Times New Roman" w:eastAsia="Times New Roman"/>
          <w:b w:val="0"/>
          <w:i w:val="0"/>
          <w:sz w:val="24"/>
        </w:rPr>
        <w:t>Рисунок 4.1а — Сквозной маршрут внешнего табличного примера</w:t>
      </w:r>
    </w:p>
    <w:tbl>
      <w:tblPr>
        <w:tblStyle w:val="Table"/>
        <w:tblW w:type="auto" w:w="0"/>
        <w:jc w:val="center"/>
        <w:tblLayout w:type="fixed"/>
        <w:tblLook w:firstColumn="1" w:firstRow="1" w:lastColumn="0" w:lastRow="0" w:noHBand="0" w:noVBand="1" w:val="04A0"/>
      </w:tblPr>
      <w:tblGrid>
        <w:gridCol w:w="3118"/>
        <w:gridCol w:w="3118"/>
        <w:gridCol w:w="3118"/>
      </w:tblGrid>
      <w:tr>
        <w:trPr>
          <w:tblHeader w:val="true"/>
          <w:cantSplit w:val="true"/>
          <w:tblHeader w:val="true"/>
          <w:cantSplit w:val="true"/>
        </w:trPr>
        <w:tc>
          <w:tcPr>
            <w:tcW w:type="dxa" w:w="1701"/>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Этап</w:t>
            </w:r>
          </w:p>
        </w:tc>
        <w:tc>
          <w:tcPr>
            <w:tcW w:type="dxa" w:w="3175"/>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Расчёт или результат</w:t>
            </w:r>
          </w:p>
        </w:tc>
        <w:tc>
          <w:tcPr>
            <w:tcW w:type="dxa" w:w="4082"/>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Интерпретация</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Внешняя модель</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p = 0,68; missing rate = 0,05</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Модель уверена не полностью, вход не содержит критического дефекта</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Согласование</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γ = max(0,32; 0,05; 0; 0) = 0,32</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Ограничение связано преимущественно с неопределённостью модели</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Редукция</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Σ top-k = 0,61; Δ = 1 − 0,61 = 0,39</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В сокращённый набор не вошло 39 % атрибутивной массы</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Риск</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ρ = max(0,32; 0,39; 0,05; 0) = 0,39</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Доминирующим компонентом является потеря редукции</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Диагностика</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D_external_tabular_uncertainty</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Зафиксировано ограничение доверия, а не ошибка прогноза</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Действие</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lower_confidence</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Результат не блокируется, но не принимается с полным доверием</w:t>
            </w:r>
          </w:p>
        </w:tc>
      </w:tr>
      <w:tr>
        <w:trPr>
          <w:cantSplit w:val="true"/>
          <w:cantSplit w:val="true"/>
        </w:trPr>
        <w:tc>
          <w:tcPr>
            <w:tcW w:type="dxa" w:w="170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Проверка</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9 из 9 проверок согласованности пройдены</w:t>
            </w:r>
          </w:p>
        </w:tc>
        <w:tc>
          <w:tcPr>
            <w:tcW w:type="dxa" w:w="4082"/>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Формулы, значения, диагностика и действие совпадают в route и proof trace</w:t>
            </w:r>
          </w:p>
        </w:tc>
      </w:tr>
    </w:tbl>
    <w:p>
      <w:pPr>
        <w:pStyle w:val="aa"/>
        <w:keepNext w:val="0"/>
        <w:ind w:firstLine="0"/>
        <w:jc w:val="center"/>
      </w:pPr>
      <w:r>
        <w:rPr>
          <w:rFonts w:ascii="Times New Roman" w:hAnsi="Times New Roman" w:eastAsia="Times New Roman"/>
          <w:b w:val="0"/>
          <w:i w:val="0"/>
          <w:sz w:val="24"/>
        </w:rPr>
        <w:t>Таблица 4.2в — Значения сквозного практического запуска</w:t>
      </w:r>
    </w:p>
    <w:p>
      <w:pPr>
        <w:pStyle w:val="a0"/>
      </w:pPr>
      <w:r>
        <w:rPr>
          <w:rFonts w:ascii="Times New Roman" w:hAnsi="Times New Roman" w:eastAsia="Times New Roman"/>
          <w:b w:val="0"/>
          <w:i w:val="0"/>
          <w:sz w:val="28"/>
        </w:rPr>
        <w:t>Экспорт пакета создаёт route.json, operator_trace.json, operator_table.csv, proof_trace.json, verifier_report.json, dashboard_data.json, PNG- и HTML-представления. Эти файлы формируются методом export_package и не требуют ручного переноса итоговых значений в интерфейс.</w:t>
      </w:r>
    </w:p>
    <w:p>
      <w:pPr>
        <w:pStyle w:val="3"/>
        <w:ind w:firstLine="0"/>
      </w:pPr>
      <w:r>
        <w:rPr>
          <w:rFonts w:ascii="Times New Roman" w:hAnsi="Times New Roman" w:eastAsia="Times New Roman"/>
          <w:b w:val="0"/>
          <w:i w:val="0"/>
          <w:sz w:val="28"/>
        </w:rPr>
        <w:t>4.2.4 Примеры адаптации четырёх модальностей</w:t>
      </w:r>
    </w:p>
    <w:p>
      <w:pPr>
        <w:pStyle w:val="FirstParagraph"/>
      </w:pPr>
      <w:r>
        <w:rPr>
          <w:rFonts w:ascii="Times New Roman" w:hAnsi="Times New Roman" w:eastAsia="Times New Roman"/>
          <w:b w:val="0"/>
          <w:i w:val="0"/>
          <w:sz w:val="28"/>
        </w:rPr>
        <w:t>Практические адаптеры преобразуют разнородные входы в один тип объяснительного объекта. Приведённые примеры являются существующими фикстурами реализации и не используются как дополнительные статистические эксперименты.</w:t>
      </w:r>
    </w:p>
    <w:tbl>
      <w:tblPr>
        <w:tblStyle w:val="Table"/>
        <w:tblW w:type="auto" w:w="0"/>
        <w:jc w:val="center"/>
        <w:tblLayout w:type="fixed"/>
        <w:tblLook w:firstColumn="1" w:firstRow="1" w:lastColumn="0" w:lastRow="0" w:noHBand="0" w:noVBand="1" w:val="04A0"/>
      </w:tblPr>
      <w:tblGrid>
        <w:gridCol w:w="2339"/>
        <w:gridCol w:w="2339"/>
        <w:gridCol w:w="2339"/>
        <w:gridCol w:w="2339"/>
      </w:tblGrid>
      <w:tr>
        <w:trPr>
          <w:tblHeader w:val="true"/>
          <w:cantSplit w:val="true"/>
          <w:tblHeader w:val="true"/>
          <w:cantSplit w:val="true"/>
        </w:trPr>
        <w:tc>
          <w:tcPr>
            <w:tcW w:type="dxa" w:w="1417"/>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Модальность</w:t>
            </w:r>
          </w:p>
        </w:tc>
        <w:tc>
          <w:tcPr>
            <w:tcW w:type="dxa" w:w="2891"/>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Существующий пример</w:t>
            </w:r>
          </w:p>
        </w:tc>
        <w:tc>
          <w:tcPr>
            <w:tcW w:type="dxa" w:w="2381"/>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Нормализованный результат</w:t>
            </w:r>
          </w:p>
        </w:tc>
        <w:tc>
          <w:tcPr>
            <w:tcW w:type="dxa" w:w="2665"/>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Практическое ограничение</w:t>
            </w:r>
          </w:p>
        </w:tc>
      </w:tr>
      <w:tr>
        <w:trPr>
          <w:cantSplit w:val="true"/>
          <w:cantSplit w:val="true"/>
        </w:trPr>
        <w:tc>
          <w:tcPr>
            <w:tcW w:type="dxa" w:w="141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Табличные данные</w:t>
            </w:r>
          </w:p>
        </w:tc>
        <w:tc>
          <w:tcPr>
            <w:tcW w:type="dxa" w:w="289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Контролируемый объект № 85: модельный балл 0,806; вклады 0,546, 0,180 и 0,080</w:t>
            </w:r>
          </w:p>
        </w:tc>
        <w:tc>
          <w:tcPr>
            <w:tcW w:type="dxa" w:w="2381"/>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Утверждения C-001–C-016, история обучения и действие defer_to_human</w:t>
            </w:r>
          </w:p>
        </w:tc>
        <w:tc>
          <w:tcPr>
            <w:tcW w:type="dxa" w:w="266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Демонстрация трассировки, а не производственный кейс</w:t>
            </w:r>
          </w:p>
        </w:tc>
      </w:tr>
      <w:tr>
        <w:trPr>
          <w:cantSplit w:val="true"/>
          <w:cantSplit w:val="true"/>
        </w:trPr>
        <w:tc>
          <w:tcPr>
            <w:tcW w:type="dxa" w:w="141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Изображение</w:t>
            </w:r>
          </w:p>
        </w:tc>
        <w:tc>
          <w:tcPr>
            <w:tcW w:type="dxa" w:w="289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Исследовательское изображение: категория B; пересечение областей 89 %, техническое сходство 82 %</w:t>
            </w:r>
          </w:p>
        </w:tc>
        <w:tc>
          <w:tcPr>
            <w:tcW w:type="dxa" w:w="2381"/>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Сохраняются поддерживающий пример и контрпримеры</w:t>
            </w:r>
          </w:p>
        </w:tc>
        <w:tc>
          <w:tcPr>
            <w:tcW w:type="dxa" w:w="266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Категория не трактуется как диагноз; предметный словарь не задан</w:t>
            </w:r>
          </w:p>
        </w:tc>
      </w:tr>
      <w:tr>
        <w:trPr>
          <w:cantSplit w:val="true"/>
          <w:cantSplit w:val="true"/>
        </w:trPr>
        <w:tc>
          <w:tcPr>
            <w:tcW w:type="dxa" w:w="141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Текст</w:t>
            </w:r>
          </w:p>
        </w:tc>
        <w:tc>
          <w:tcPr>
            <w:tcW w:type="dxa" w:w="289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Фикстура «Acute sepsis but stable now», ICD A41.9, p = 0,70</w:t>
            </w:r>
          </w:p>
        </w:tc>
        <w:tc>
          <w:tcPr>
            <w:tcW w:type="dxa" w:w="2381"/>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conflict = true; uncertainty = 0,456</w:t>
            </w:r>
          </w:p>
        </w:tc>
        <w:tc>
          <w:tcPr>
            <w:tcW w:type="dxa" w:w="266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Маркеры высокого и низкого риска повышают неопределённость</w:t>
            </w:r>
          </w:p>
        </w:tc>
      </w:tr>
      <w:tr>
        <w:trPr>
          <w:cantSplit w:val="true"/>
          <w:cantSplit w:val="true"/>
        </w:trPr>
        <w:tc>
          <w:tcPr>
            <w:tcW w:type="dxa" w:w="141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Временной сигнал</w:t>
            </w:r>
          </w:p>
        </w:tc>
        <w:tc>
          <w:tcPr>
            <w:tcW w:type="dxa" w:w="289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Контрольный ЭКГ-сценарий: качество 0,58; шум 0,34; два пропуска</w:t>
            </w:r>
          </w:p>
        </w:tc>
        <w:tc>
          <w:tcPr>
            <w:tcW w:type="dxa" w:w="2381"/>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Интервальное представление и действие defer_to_human</w:t>
            </w:r>
          </w:p>
        </w:tc>
        <w:tc>
          <w:tcPr>
            <w:tcW w:type="dxa" w:w="266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Оценивается качество сигнала, медицинская диагностика не выполняется</w:t>
            </w:r>
          </w:p>
        </w:tc>
      </w:tr>
    </w:tbl>
    <w:p>
      <w:pPr>
        <w:pStyle w:val="aa"/>
        <w:keepNext w:val="0"/>
        <w:ind w:firstLine="0"/>
        <w:jc w:val="center"/>
      </w:pPr>
      <w:r>
        <w:rPr>
          <w:rFonts w:ascii="Times New Roman" w:hAnsi="Times New Roman" w:eastAsia="Times New Roman"/>
          <w:b w:val="0"/>
          <w:i w:val="0"/>
          <w:sz w:val="24"/>
        </w:rPr>
        <w:t>Таблица 4.2г — Практические примеры адаптации разных модальностей</w:t>
      </w:r>
    </w:p>
    <w:p>
      <w:pPr>
        <w:pStyle w:val="3"/>
        <w:ind w:firstLine="0"/>
      </w:pPr>
      <w:r>
        <w:rPr>
          <w:rFonts w:ascii="Times New Roman" w:hAnsi="Times New Roman" w:eastAsia="Times New Roman"/>
          <w:b w:val="0"/>
          <w:i w:val="0"/>
          <w:sz w:val="28"/>
        </w:rPr>
        <w:t>4.2.5 Практическое поведение при нарушении контракта</w:t>
      </w:r>
    </w:p>
    <w:p>
      <w:pPr>
        <w:pStyle w:val="FirstParagraph"/>
      </w:pPr>
      <w:r>
        <w:rPr>
          <w:rFonts w:ascii="Times New Roman" w:hAnsi="Times New Roman" w:eastAsia="Times New Roman"/>
          <w:b w:val="0"/>
          <w:i w:val="0"/>
          <w:sz w:val="28"/>
        </w:rPr>
        <w:t>Агрегированная F1 не показывает, что именно происходит при нарушении. Валидатор возвращает тип события, источник, критичность и рекомендуемое действие. В таблице 4.2д приведены четыре зарегистрированных сценария H5-A.</w:t>
      </w:r>
    </w:p>
    <w:tbl>
      <w:tblPr>
        <w:tblStyle w:val="Table"/>
        <w:tblW w:type="auto" w:w="0"/>
        <w:jc w:val="center"/>
        <w:tblLayout w:type="fixed"/>
        <w:tblLook w:firstColumn="1" w:firstRow="1" w:lastColumn="0" w:lastRow="0" w:noHBand="0" w:noVBand="1" w:val="04A0"/>
      </w:tblPr>
      <w:tblGrid>
        <w:gridCol w:w="2339"/>
        <w:gridCol w:w="2339"/>
        <w:gridCol w:w="2339"/>
        <w:gridCol w:w="2339"/>
      </w:tblGrid>
      <w:tr>
        <w:trPr>
          <w:tblHeader w:val="true"/>
          <w:cantSplit w:val="true"/>
          <w:tblHeader w:val="true"/>
          <w:cantSplit w:val="true"/>
        </w:trPr>
        <w:tc>
          <w:tcPr>
            <w:tcW w:type="dxa" w:w="181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Сценарий</w:t>
            </w:r>
          </w:p>
        </w:tc>
        <w:tc>
          <w:tcPr>
            <w:tcW w:type="dxa" w:w="2551"/>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Нарушенный контракт</w:t>
            </w:r>
          </w:p>
        </w:tc>
        <w:tc>
          <w:tcPr>
            <w:tcW w:type="dxa" w:w="249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Диагностический результат</w:t>
            </w:r>
          </w:p>
        </w:tc>
        <w:tc>
          <w:tcPr>
            <w:tcW w:type="dxa" w:w="2494"/>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7"/>
              </w:rPr>
              <w:t>Допустимое поведение</w:t>
            </w:r>
          </w:p>
        </w:tc>
      </w:tr>
      <w:tr>
        <w:trPr>
          <w:cantSplit w:val="true"/>
          <w:cantSplit w:val="true"/>
        </w:trPr>
        <w:tc>
          <w:tcPr>
            <w:tcW w:type="dxa" w:w="181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Несовпадение версии модели</w:t>
            </w:r>
          </w:p>
        </w:tc>
        <w:tc>
          <w:tcPr>
            <w:tcW w:type="dxa" w:w="255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Объяснение относится к иной версии модели, чем прогноз</w:t>
            </w:r>
          </w:p>
        </w:tc>
        <w:tc>
          <w:tcPr>
            <w:tcW w:type="dxa" w:w="249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Локализуется несовместимая пара model/explainer</w:t>
            </w:r>
          </w:p>
        </w:tc>
        <w:tc>
          <w:tcPr>
            <w:tcW w:type="dxa" w:w="249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Автоматическое применение приостанавливается до согласования версий</w:t>
            </w:r>
          </w:p>
        </w:tc>
      </w:tr>
      <w:tr>
        <w:trPr>
          <w:cantSplit w:val="true"/>
          <w:cantSplit w:val="true"/>
        </w:trPr>
        <w:tc>
          <w:tcPr>
            <w:tcW w:type="dxa" w:w="181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Отсутствующее происхождение</w:t>
            </w:r>
          </w:p>
        </w:tc>
        <w:tc>
          <w:tcPr>
            <w:tcW w:type="dxa" w:w="255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Обязательный канал не имеет source/trace</w:t>
            </w:r>
          </w:p>
        </w:tc>
        <w:tc>
          <w:tcPr>
            <w:tcW w:type="dxa" w:w="249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Отсутствие фиксируется отдельно от нулевого значения</w:t>
            </w:r>
          </w:p>
        </w:tc>
        <w:tc>
          <w:tcPr>
            <w:tcW w:type="dxa" w:w="249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Запросить источник либо перевести маршрут в проверку</w:t>
            </w:r>
          </w:p>
        </w:tc>
      </w:tr>
      <w:tr>
        <w:trPr>
          <w:cantSplit w:val="true"/>
          <w:cantSplit w:val="true"/>
        </w:trPr>
        <w:tc>
          <w:tcPr>
            <w:tcW w:type="dxa" w:w="181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Несовместимая предобработка</w:t>
            </w:r>
          </w:p>
        </w:tc>
        <w:tc>
          <w:tcPr>
            <w:tcW w:type="dxa" w:w="255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Схема признаков или преобразование не совпадает с manifest</w:t>
            </w:r>
          </w:p>
        </w:tc>
        <w:tc>
          <w:tcPr>
            <w:tcW w:type="dxa" w:w="249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Указывается переход preprocessing → model</w:t>
            </w:r>
          </w:p>
        </w:tc>
        <w:tc>
          <w:tcPr>
            <w:tcW w:type="dxa" w:w="249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 объединять атрибуции до восстановления одинаковой схемы</w:t>
            </w:r>
          </w:p>
        </w:tc>
      </w:tr>
      <w:tr>
        <w:trPr>
          <w:cantSplit w:val="true"/>
          <w:cantSplit w:val="true"/>
        </w:trPr>
        <w:tc>
          <w:tcPr>
            <w:tcW w:type="dxa" w:w="181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Повреждённая контрольная сумма</w:t>
            </w:r>
          </w:p>
        </w:tc>
        <w:tc>
          <w:tcPr>
            <w:tcW w:type="dxa" w:w="2551"/>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Канонический артефакт не совпадает с SHA256</w:t>
            </w:r>
          </w:p>
        </w:tc>
        <w:tc>
          <w:tcPr>
            <w:tcW w:type="dxa" w:w="2494"/>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sz w:val="17"/>
              </w:rPr>
              <w:t>Пакет признаётся несогласованным</w:t>
            </w:r>
          </w:p>
        </w:tc>
        <w:tc>
          <w:tcPr>
            <w:tcW w:type="dxa" w:w="2494"/>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7"/>
              </w:rPr>
              <w:t>Не использовать проекцию; восстановить исходный артефакт</w:t>
            </w:r>
          </w:p>
        </w:tc>
      </w:tr>
    </w:tbl>
    <w:p>
      <w:pPr>
        <w:pStyle w:val="aa"/>
        <w:keepNext w:val="0"/>
        <w:ind w:firstLine="0"/>
        <w:jc w:val="center"/>
      </w:pPr>
      <w:r>
        <w:rPr>
          <w:rFonts w:ascii="Times New Roman" w:hAnsi="Times New Roman" w:eastAsia="Times New Roman"/>
          <w:b w:val="0"/>
          <w:i w:val="0"/>
          <w:sz w:val="24"/>
        </w:rPr>
        <w:t>Таблица 4.2д — Практические сценарии диагностического отказа</w:t>
      </w:r>
    </w:p>
    <w:tbl>
      <w:tblPr>
        <w:tblW w:type="auto" w:w="0"/>
        <w:jc w:val="center"/>
        <w:tblLayout w:type="fixed"/>
        <w:tblLook w:firstColumn="1" w:firstRow="1" w:lastColumn="0" w:lastRow="0" w:noHBand="0" w:noVBand="1" w:val="04A0"/>
      </w:tblPr>
      <w:tblGrid>
        <w:gridCol w:w="9355"/>
      </w:tblGrid>
      <w:tr>
        <w:trPr>
          <w:tblHeader w:val="true"/>
          <w:cantSplit w:val="true"/>
        </w:trPr>
        <w:tc>
          <w:tcPr>
            <w:tcW w:type="dxa" w:w="8787"/>
            <w:shd w:fill="F2F2F2"/>
            <w:tcMar>
              <w:top w:w="70" w:type="dxa"/>
              <w:start w:w="80" w:type="dxa"/>
              <w:bottom w:w="70" w:type="dxa"/>
              <w:end w:w="80" w:type="dxa"/>
            </w:tcMar>
            <w:vAlign w:val="center"/>
          </w:tcPr>
          <w:p>
            <w:pPr>
              <w:spacing w:line="240" w:lineRule="auto"/>
              <w:ind w:firstLine="0"/>
              <w:jc w:val="left"/>
            </w:pPr>
            <w:r>
              <w:rPr>
                <w:rFonts w:ascii="Courier New" w:hAnsi="Courier New" w:eastAsia="Courier New"/>
                <w:sz w:val="17"/>
              </w:rPr>
              <w:t>{</w:t>
            </w:r>
            <w:r>
              <w:br/>
            </w:r>
            <w:r>
              <w:rPr>
                <w:rFonts w:ascii="Courier New" w:hAnsi="Courier New" w:eastAsia="Courier New"/>
                <w:sz w:val="17"/>
              </w:rPr>
              <w:t xml:space="preserve">  "diagnostic_id": "D_external_tabular_uncertainty",</w:t>
            </w:r>
            <w:r>
              <w:br/>
            </w:r>
            <w:r>
              <w:rPr>
                <w:rFonts w:ascii="Courier New" w:hAnsi="Courier New" w:eastAsia="Courier New"/>
                <w:sz w:val="17"/>
              </w:rPr>
              <w:t xml:space="preserve">  "diagnostic_type": "external_tabular_uncertainty",</w:t>
            </w:r>
            <w:r>
              <w:br/>
            </w:r>
            <w:r>
              <w:rPr>
                <w:rFonts w:ascii="Courier New" w:hAnsi="Courier New" w:eastAsia="Courier New"/>
                <w:sz w:val="17"/>
              </w:rPr>
              <w:t xml:space="preserve">  "source": "external_tabular_adapter",</w:t>
            </w:r>
            <w:r>
              <w:br/>
            </w:r>
            <w:r>
              <w:rPr>
                <w:rFonts w:ascii="Courier New" w:hAnsi="Courier New" w:eastAsia="Courier New"/>
                <w:sz w:val="17"/>
              </w:rPr>
              <w:t xml:space="preserve">  "criticality": "medium",</w:t>
            </w:r>
            <w:r>
              <w:br/>
            </w:r>
            <w:r>
              <w:rPr>
                <w:rFonts w:ascii="Courier New" w:hAnsi="Courier New" w:eastAsia="Courier New"/>
                <w:sz w:val="17"/>
              </w:rPr>
              <w:t xml:space="preserve">  "message_ru": "ограниченная уверенность внешней табличной модели",</w:t>
            </w:r>
            <w:r>
              <w:br/>
            </w:r>
            <w:r>
              <w:rPr>
                <w:rFonts w:ascii="Courier New" w:hAnsi="Courier New" w:eastAsia="Courier New"/>
                <w:sz w:val="17"/>
              </w:rPr>
              <w:t xml:space="preserve">  "recommended_action": "lower_confidence"</w:t>
            </w:r>
            <w:r>
              <w:br/>
            </w:r>
            <w:r>
              <w:rPr>
                <w:rFonts w:ascii="Courier New" w:hAnsi="Courier New" w:eastAsia="Courier New"/>
                <w:sz w:val="17"/>
              </w:rPr>
              <w:t>}</w:t>
            </w:r>
          </w:p>
        </w:tc>
      </w:tr>
    </w:tbl>
    <w:p>
      <w:pPr>
        <w:pStyle w:val="aa"/>
        <w:ind w:firstLine="0"/>
        <w:jc w:val="center"/>
      </w:pPr>
      <w:r>
        <w:rPr>
          <w:rFonts w:ascii="Times New Roman" w:hAnsi="Times New Roman" w:eastAsia="Times New Roman"/>
          <w:b w:val="0"/>
          <w:i w:val="0"/>
          <w:sz w:val="24"/>
        </w:rPr>
        <w:t>Листинг 4.2 — Реальный формат диагностического сообщения</w:t>
      </w:r>
    </w:p>
    <w:p>
      <w:pPr>
        <w:pStyle w:val="3"/>
        <w:ind w:firstLine="0"/>
      </w:pPr>
      <w:r>
        <w:rPr>
          <w:rFonts w:ascii="Times New Roman" w:hAnsi="Times New Roman" w:eastAsia="Times New Roman"/>
          <w:b w:val="0"/>
          <w:i w:val="0"/>
          <w:sz w:val="28"/>
        </w:rPr>
        <w:t>4.2.6 Подключение новой модели и эксплуатационный запуск</w:t>
      </w:r>
    </w:p>
    <w:p>
      <w:pPr>
        <w:pStyle w:val="FirstParagraph"/>
      </w:pPr>
      <w:r>
        <w:rPr>
          <w:rFonts w:ascii="Times New Roman" w:hAnsi="Times New Roman" w:eastAsia="Times New Roman"/>
          <w:b w:val="0"/>
          <w:i w:val="0"/>
          <w:sz w:val="28"/>
        </w:rPr>
        <w:t>Для подключения внешней модели разработчик выбирает существующий адаптер либо регистрирует новый класс, реализующий проверку входа и преобразование payload в AdaptedInput. Последующие этапы маршрута при этом не изменяются.</w:t>
      </w:r>
    </w:p>
    <w:tbl>
      <w:tblPr>
        <w:tblW w:type="auto" w:w="0"/>
        <w:jc w:val="center"/>
        <w:tblLayout w:type="fixed"/>
        <w:tblLook w:firstColumn="1" w:firstRow="1" w:lastColumn="0" w:lastRow="0" w:noHBand="0" w:noVBand="1" w:val="04A0"/>
      </w:tblPr>
      <w:tblGrid>
        <w:gridCol w:w="9355"/>
      </w:tblGrid>
      <w:tr>
        <w:trPr>
          <w:tblHeader w:val="true"/>
          <w:cantSplit w:val="true"/>
        </w:trPr>
        <w:tc>
          <w:tcPr>
            <w:tcW w:type="dxa" w:w="8787"/>
            <w:shd w:fill="F2F2F2"/>
            <w:tcMar>
              <w:top w:w="70" w:type="dxa"/>
              <w:start w:w="80" w:type="dxa"/>
              <w:bottom w:w="70" w:type="dxa"/>
              <w:end w:w="80" w:type="dxa"/>
            </w:tcMar>
            <w:vAlign w:val="center"/>
          </w:tcPr>
          <w:p>
            <w:pPr>
              <w:spacing w:line="240" w:lineRule="auto"/>
              <w:ind w:firstLine="0"/>
              <w:jc w:val="left"/>
            </w:pPr>
            <w:r>
              <w:rPr>
                <w:rFonts w:ascii="Courier New" w:hAnsi="Courier New" w:eastAsia="Courier New"/>
                <w:sz w:val="17"/>
              </w:rPr>
              <w:t>from fuzzyxai import FuzzyXAI, ExplainPlan</w:t>
            </w:r>
            <w:r>
              <w:br/>
            </w:r>
            <w:r>
              <w:rPr>
                <w:rFonts w:ascii="Courier New" w:hAnsi="Courier New" w:eastAsia="Courier New"/>
                <w:sz w:val="17"/>
              </w:rPr>
              <w:t>from fuzzyxai.adapters import get_adapter</w:t>
            </w:r>
            <w:r>
              <w:br/>
            </w:r>
            <w:r>
              <w:rPr>
                <w:rFonts w:ascii="Courier New" w:hAnsi="Courier New" w:eastAsia="Courier New"/>
                <w:sz w:val="17"/>
              </w:rPr>
            </w:r>
            <w:r>
              <w:br/>
            </w:r>
            <w:r>
              <w:rPr>
                <w:rFonts w:ascii="Courier New" w:hAnsi="Courier New" w:eastAsia="Courier New"/>
                <w:sz w:val="17"/>
              </w:rPr>
              <w:t>fxai = FuzzyXAI(plan=ExplainPlan.default())</w:t>
            </w:r>
            <w:r>
              <w:br/>
            </w:r>
            <w:r>
              <w:rPr>
                <w:rFonts w:ascii="Courier New" w:hAnsi="Courier New" w:eastAsia="Courier New"/>
                <w:sz w:val="17"/>
              </w:rPr>
              <w:t>adapter = get_adapter("tabular_classification")</w:t>
            </w:r>
            <w:r>
              <w:br/>
            </w:r>
            <w:r>
              <w:rPr>
                <w:rFonts w:ascii="Courier New" w:hAnsi="Courier New" w:eastAsia="Courier New"/>
                <w:sz w:val="17"/>
              </w:rPr>
              <w:t>route = fxai.run_payload(payload, adapter)</w:t>
            </w:r>
            <w:r>
              <w:br/>
            </w:r>
            <w:r>
              <w:rPr>
                <w:rFonts w:ascii="Courier New" w:hAnsi="Courier New" w:eastAsia="Courier New"/>
                <w:sz w:val="17"/>
              </w:rPr>
              <w:t>verification = fxai.verify(route)</w:t>
            </w:r>
            <w:r>
              <w:br/>
            </w:r>
            <w:r>
              <w:rPr>
                <w:rFonts w:ascii="Courier New" w:hAnsi="Courier New" w:eastAsia="Courier New"/>
                <w:sz w:val="17"/>
              </w:rPr>
              <w:t>paths = fxai.export_package(route, "out")</w:t>
            </w:r>
            <w:r>
              <w:br/>
            </w:r>
            <w:r>
              <w:rPr>
                <w:rFonts w:ascii="Courier New" w:hAnsi="Courier New" w:eastAsia="Courier New"/>
                <w:sz w:val="17"/>
              </w:rPr>
            </w:r>
            <w:r>
              <w:br/>
            </w:r>
            <w:r>
              <w:rPr>
                <w:rFonts w:ascii="Courier New" w:hAnsi="Courier New" w:eastAsia="Courier New"/>
                <w:sz w:val="17"/>
              </w:rPr>
              <w:t>print(route.computed_result)</w:t>
            </w:r>
            <w:r>
              <w:br/>
            </w:r>
            <w:r>
              <w:rPr>
                <w:rFonts w:ascii="Courier New" w:hAnsi="Courier New" w:eastAsia="Courier New"/>
                <w:sz w:val="17"/>
              </w:rPr>
              <w:t>print(verification.valid)</w:t>
            </w:r>
            <w:r>
              <w:br/>
            </w:r>
            <w:r>
              <w:rPr>
                <w:rFonts w:ascii="Courier New" w:hAnsi="Courier New" w:eastAsia="Courier New"/>
                <w:sz w:val="17"/>
              </w:rPr>
              <w:t>print(paths["proof_trace"])</w:t>
            </w:r>
          </w:p>
        </w:tc>
      </w:tr>
    </w:tbl>
    <w:p>
      <w:pPr>
        <w:pStyle w:val="aa"/>
        <w:ind w:firstLine="0"/>
        <w:jc w:val="center"/>
      </w:pPr>
      <w:r>
        <w:rPr>
          <w:rFonts w:ascii="Times New Roman" w:hAnsi="Times New Roman" w:eastAsia="Times New Roman"/>
          <w:b w:val="0"/>
          <w:i w:val="0"/>
          <w:sz w:val="24"/>
        </w:rPr>
        <w:t>Листинг 4.3 — Публичный сценарий запуска FuzzyXAI</w:t>
      </w:r>
    </w:p>
    <w:p>
      <w:pPr>
        <w:pStyle w:val="a0"/>
      </w:pPr>
      <w:r>
        <w:rPr>
          <w:rFonts w:ascii="Times New Roman" w:hAnsi="Times New Roman" w:eastAsia="Times New Roman"/>
          <w:b w:val="0"/>
          <w:i w:val="0"/>
          <w:sz w:val="28"/>
        </w:rPr>
        <w:t>Последовательность интеграции включает регистрацию схемы входа, описание обязательных полей, проверку диапазонов, преобразование в AdaptedInput, запуск маршрута, проверку ProofTrace и экспорт пакета. Для одиночного запроса используется run_payload; пакетный режим выполняет тот же контракт для набора объектов; кэшированный режим H9 применяется после получения прогнозов и исходных объяснений.</w:t>
      </w:r>
    </w:p>
    <w:tbl>
      <w:tblPr>
        <w:tblW w:type="auto" w:w="0"/>
        <w:jc w:val="center"/>
        <w:tblLayout w:type="fixed"/>
        <w:tblLook w:firstColumn="1" w:firstRow="1" w:lastColumn="0" w:lastRow="0" w:noHBand="0" w:noVBand="1" w:val="04A0"/>
      </w:tblPr>
      <w:tblGrid>
        <w:gridCol w:w="9355"/>
      </w:tblGrid>
      <w:tr>
        <w:trPr>
          <w:tblHeader w:val="true"/>
          <w:cantSplit w:val="true"/>
        </w:trPr>
        <w:tc>
          <w:tcPr>
            <w:tcW w:type="dxa" w:w="8787"/>
            <w:shd w:fill="F2F2F2"/>
            <w:tcMar>
              <w:top w:w="70" w:type="dxa"/>
              <w:start w:w="80" w:type="dxa"/>
              <w:bottom w:w="70" w:type="dxa"/>
              <w:end w:w="80" w:type="dxa"/>
            </w:tcMar>
            <w:vAlign w:val="center"/>
          </w:tcPr>
          <w:p>
            <w:pPr>
              <w:spacing w:line="240" w:lineRule="auto"/>
              <w:ind w:firstLine="0"/>
              <w:jc w:val="left"/>
            </w:pPr>
            <w:r>
              <w:rPr>
                <w:rFonts w:ascii="Courier New" w:hAnsi="Courier New" w:eastAsia="Courier New"/>
                <w:sz w:val="17"/>
              </w:rPr>
              <w:t>pip install -e framework/fuzzyxai</w:t>
            </w:r>
            <w:r>
              <w:br/>
            </w:r>
            <w:r>
              <w:rPr>
                <w:rFonts w:ascii="Courier New" w:hAnsi="Courier New" w:eastAsia="Courier New"/>
                <w:sz w:val="17"/>
              </w:rPr>
              <w:t>PYTHONPATH=framework/fuzzyxai python scripts/check_fuzzyxai_cli.py</w:t>
            </w:r>
            <w:r>
              <w:br/>
            </w:r>
            <w:r>
              <w:rPr>
                <w:rFonts w:ascii="Courier New" w:hAnsi="Courier New" w:eastAsia="Courier New"/>
                <w:sz w:val="17"/>
              </w:rPr>
              <w:t>docker build -f Dockerfile.q1-final -t fuzzyxai-q1-final .</w:t>
            </w:r>
            <w:r>
              <w:br/>
            </w:r>
            <w:r>
              <w:rPr>
                <w:rFonts w:ascii="Courier New" w:hAnsi="Courier New" w:eastAsia="Courier New"/>
                <w:sz w:val="17"/>
              </w:rPr>
              <w:t>docker run --rm fuzzyxai-q1-final make reproduce-q1-final</w:t>
            </w:r>
          </w:p>
        </w:tc>
      </w:tr>
    </w:tbl>
    <w:p>
      <w:pPr>
        <w:pStyle w:val="aa"/>
        <w:ind w:firstLine="0"/>
        <w:jc w:val="center"/>
      </w:pPr>
      <w:r>
        <w:rPr>
          <w:rFonts w:ascii="Times New Roman" w:hAnsi="Times New Roman" w:eastAsia="Times New Roman"/>
          <w:b w:val="0"/>
          <w:i w:val="0"/>
          <w:sz w:val="24"/>
        </w:rPr>
        <w:t>Листинг 4.4 — Команды установки и воспроизведения</w:t>
      </w:r>
    </w:p>
    <w:p>
      <w:pPr>
        <w:pStyle w:val="3"/>
        <w:ind w:firstLine="0"/>
      </w:pPr>
      <w:r>
        <w:rPr>
          <w:rFonts w:ascii="Times New Roman" w:hAnsi="Times New Roman" w:eastAsia="Times New Roman"/>
          <w:b w:val="0"/>
          <w:i w:val="0"/>
          <w:sz w:val="28"/>
        </w:rPr>
        <w:t>4.2.7 Состав полного времени и практический результат</w:t>
      </w:r>
    </w:p>
    <w:p>
      <w:pPr>
        <w:pStyle w:val="FirstParagraph"/>
      </w:pPr>
      <w:r>
        <w:rPr>
          <w:rFonts w:ascii="Times New Roman" w:hAnsi="Times New Roman" w:eastAsia="Times New Roman"/>
          <w:b w:val="0"/>
          <w:i w:val="0"/>
          <w:sz w:val="28"/>
        </w:rPr>
        <w:t>Полный эксплуатационный конвейер включает четыре различающихся по природе компонента времени:</w:t>
      </w:r>
    </w:p>
    <w:p>
      <w:pPr>
        <w:pStyle w:val="Equation"/>
        <w:ind w:firstLine="0"/>
        <w:jc w:val="center"/>
      </w:pPr>
      <w:r>
        <w:rPr>
          <w:rFonts w:ascii="Cambria Math" w:hAnsi="Cambria Math" w:eastAsia="Cambria Math"/>
          <w:b w:val="0"/>
          <w:i w:val="0"/>
          <w:sz w:val="28"/>
        </w:rPr>
        <w:t>T_total = T_model + T_explainer + T_FuzzyXAI + T_serialization                    (4.5а)</w:t>
      </w:r>
    </w:p>
    <w:tbl>
      <w:tblPr>
        <w:tblStyle w:val="Table"/>
        <w:tblW w:type="auto" w:w="0"/>
        <w:jc w:val="center"/>
        <w:tblLayout w:type="fixed"/>
        <w:tblLook w:firstColumn="1" w:firstRow="1" w:lastColumn="0" w:lastRow="0" w:noHBand="0" w:noVBand="1" w:val="04A0"/>
      </w:tblPr>
      <w:tblGrid>
        <w:gridCol w:w="3118"/>
        <w:gridCol w:w="3118"/>
        <w:gridCol w:w="3118"/>
      </w:tblGrid>
      <w:tr>
        <w:trPr>
          <w:tblHeader w:val="true"/>
          <w:cantSplit w:val="true"/>
          <w:tblHeader w:val="true"/>
          <w:cantSplit w:val="true"/>
        </w:trPr>
        <w:tc>
          <w:tcPr>
            <w:tcW w:type="dxa" w:w="1757"/>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Компонент</w:t>
            </w:r>
          </w:p>
        </w:tc>
        <w:tc>
          <w:tcPr>
            <w:tcW w:type="dxa" w:w="3969"/>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Что включает</w:t>
            </w:r>
          </w:p>
        </w:tc>
        <w:tc>
          <w:tcPr>
            <w:tcW w:type="dxa" w:w="3175"/>
            <w:shd w:fill="D9D9D9"/>
            <w:tcMar>
              <w:top w:w="70" w:type="dxa"/>
              <w:start w:w="80" w:type="dxa"/>
              <w:bottom w:w="70" w:type="dxa"/>
              <w:end w:w="80" w:type="dxa"/>
            </w:tcMar>
            <w:vAlign w:val="center"/>
          </w:tcPr>
          <w:p>
            <w:pPr>
              <w:spacing w:line="240" w:lineRule="auto"/>
              <w:ind w:firstLine="0"/>
              <w:jc w:val="center"/>
            </w:pPr>
            <w:r>
              <w:rPr>
                <w:rFonts w:ascii="Times New Roman" w:hAnsi="Times New Roman" w:eastAsia="Times New Roman"/>
                <w:b/>
                <w:sz w:val="19"/>
              </w:rPr>
              <w:t>Статус измерения в главе</w:t>
            </w:r>
          </w:p>
        </w:tc>
      </w:tr>
      <w:tr>
        <w:trPr>
          <w:cantSplit w:val="true"/>
          <w:cantSplit w:val="true"/>
        </w:trPr>
        <w:tc>
          <w:tcPr>
            <w:tcW w:type="dxa" w:w="175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T_model</w:t>
            </w:r>
          </w:p>
        </w:tc>
        <w:tc>
          <w:tcPr>
            <w:tcW w:type="dxa" w:w="3969"/>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Получение прогноза внешней модели</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Зависит от модели; не является предметом H9</w:t>
            </w:r>
          </w:p>
        </w:tc>
      </w:tr>
      <w:tr>
        <w:trPr>
          <w:cantSplit w:val="true"/>
          <w:cantSplit w:val="true"/>
        </w:trPr>
        <w:tc>
          <w:tcPr>
            <w:tcW w:type="dxa" w:w="175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T_explainer</w:t>
            </w:r>
          </w:p>
        </w:tc>
        <w:tc>
          <w:tcPr>
            <w:tcW w:type="dxa" w:w="3969"/>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SHAP, LIME, Grad-CAM или иной локальный метод</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Не измерялось в эксперименте на 5 млн объектов</w:t>
            </w:r>
          </w:p>
        </w:tc>
      </w:tr>
      <w:tr>
        <w:trPr>
          <w:cantSplit w:val="true"/>
          <w:cantSplit w:val="true"/>
        </w:trPr>
        <w:tc>
          <w:tcPr>
            <w:tcW w:type="dxa" w:w="175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T_FuzzyXAI</w:t>
            </w:r>
          </w:p>
        </w:tc>
        <w:tc>
          <w:tcPr>
            <w:tcW w:type="dxa" w:w="3969"/>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Нормализация, выбор представления, риск, диагностика и действие</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Измерено в H9 для кэшированного операторного слоя</w:t>
            </w:r>
          </w:p>
        </w:tc>
      </w:tr>
      <w:tr>
        <w:trPr>
          <w:cantSplit w:val="true"/>
          <w:cantSplit w:val="true"/>
        </w:trPr>
        <w:tc>
          <w:tcPr>
            <w:tcW w:type="dxa" w:w="1757"/>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T_serialization</w:t>
            </w:r>
          </w:p>
        </w:tc>
        <w:tc>
          <w:tcPr>
            <w:tcW w:type="dxa" w:w="3969"/>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Формирование JSON/CSV/PNG/HTML и запись пакета</w:t>
            </w:r>
          </w:p>
        </w:tc>
        <w:tc>
          <w:tcPr>
            <w:tcW w:type="dxa" w:w="3175"/>
            <w:tcMar>
              <w:top w:w="70" w:type="dxa"/>
              <w:start w:w="80" w:type="dxa"/>
              <w:bottom w:w="70" w:type="dxa"/>
              <w:end w:w="80" w:type="dxa"/>
            </w:tcMar>
            <w:vAlign w:val="center"/>
          </w:tcPr>
          <w:p>
            <w:pPr>
              <w:spacing w:line="240" w:lineRule="auto"/>
              <w:ind w:firstLine="0"/>
              <w:jc w:val="left"/>
            </w:pPr>
            <w:r>
              <w:rPr>
                <w:rFonts w:ascii="Times New Roman" w:hAnsi="Times New Roman" w:eastAsia="Times New Roman"/>
                <w:sz w:val="19"/>
              </w:rPr>
              <w:t>Измеряется отдельно в runtime-экспорте, но не входит в H9</w:t>
            </w:r>
          </w:p>
        </w:tc>
      </w:tr>
    </w:tbl>
    <w:p>
      <w:pPr>
        <w:pStyle w:val="aa"/>
        <w:keepNext w:val="0"/>
        <w:ind w:firstLine="0"/>
        <w:jc w:val="center"/>
      </w:pPr>
      <w:r>
        <w:rPr>
          <w:rFonts w:ascii="Times New Roman" w:hAnsi="Times New Roman" w:eastAsia="Times New Roman"/>
          <w:b w:val="0"/>
          <w:i w:val="0"/>
          <w:sz w:val="24"/>
        </w:rPr>
        <w:t>Таблица 4.2е — Компоненты времени полного эксплуатационного конвейера</w:t>
      </w:r>
    </w:p>
    <w:p>
      <w:pPr>
        <w:pStyle w:val="a0"/>
      </w:pPr>
      <w:r>
        <w:rPr>
          <w:rFonts w:ascii="Times New Roman" w:hAnsi="Times New Roman" w:eastAsia="Times New Roman"/>
          <w:b w:val="0"/>
          <w:i w:val="0"/>
          <w:sz w:val="28"/>
        </w:rPr>
        <w:t>Практическим результатом реализации является исполняемый контракт для разнородных объяснений. Он обеспечивает единый формат входа, сохранение канонического артефакта, локализацию нарушения, воспроизводимое действие, пользовательскую проекцию и аудиторский пакет. Эти функции проверяются независимо от того, дала ли политика действия статистическое преимущество над пороговой базовой схемой.</w:t>
      </w:r>
    </w:p>
    <w:p>
      <w:pPr>
        <w:pStyle w:val="2"/>
        <w:keepNext/>
        <w:keepLines/>
        <w:spacing w:before="200" w:after="120"/>
        <w:keepNext/>
      </w:pPr>
      <w:r>
        <w:rPr>
          <w:rFonts w:ascii="Times New Roman" w:hAnsi="Times New Roman" w:eastAsia="Times New Roman"/>
        </w:rPr>
        <w:t>4.3 Методика экспериментальной проверки</w:t>
      </w:r>
    </w:p>
    <w:p>
      <w:pPr>
        <w:pStyle w:val="FirstParagraph"/>
        <w:widowControl/>
        <w:spacing w:after="80" w:line="276" w:lineRule="auto"/>
        <w:widowControl/>
      </w:pPr>
      <w:r>
        <w:rPr>
          <w:rFonts w:ascii="Times New Roman" w:hAnsi="Times New Roman" w:eastAsia="Times New Roman"/>
          <w:i w:val="0"/>
        </w:rPr>
        <w:t>Итоговая экспериментальная программа использует четыре реальные многоклассовые задачи. Такой выбор устраняет зависимость выводов от одного малого табличного набора и проверяет переносимость нормальной формы свидетельств между принципиально различными представлениями входных данных. Для каждого контура сформирован фиксированный список объектов, на которых сравниваются объяснители и системная оболочка.</w:t>
      </w: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2609587"/>
            <wp:docPr id="2" name="Picture 2" descr="Рисунок 4.2 — Организация многомодальной экспериментальной проверки" title="Рисунок 2"/>
            <wp:cNvGraphicFramePr>
              <a:graphicFrameLocks noChangeAspect="1"/>
            </wp:cNvGraphicFramePr>
            <a:graphic>
              <a:graphicData uri="http://schemas.openxmlformats.org/drawingml/2006/picture">
                <pic:pic>
                  <pic:nvPicPr>
                    <pic:cNvPr id="0" name="fig4_2_design.png"/>
                    <pic:cNvPicPr/>
                  </pic:nvPicPr>
                  <pic:blipFill>
                    <a:blip r:embed="rId67"/>
                    <a:stretch>
                      <a:fillRect/>
                    </a:stretch>
                  </pic:blipFill>
                  <pic:spPr>
                    <a:xfrm>
                      <a:off x="0" y="0"/>
                      <a:ext cx="5580000" cy="2609587"/>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4.2 — Организация многомодальной экспериментальной проверки</w:t>
      </w:r>
    </w:p>
    <w:p>
      <w:pPr/>
      <w:r>
        <w:rPr>
          <w:rFonts w:ascii="Times New Roman" w:hAnsi="Times New Roman" w:eastAsia="Times New Roman"/>
        </w:rPr>
        <w:br w:type="page"/>
      </w:r>
    </w:p>
    <w:p>
      <w:pPr>
        <w:pStyle w:val="aa"/>
        <w:keepNext/>
        <w:keepLines/>
        <w:spacing w:before="120" w:after="80"/>
        <w:jc w:val="center"/>
        <w:keepNext/>
      </w:pPr>
      <w:r>
        <w:rPr>
          <w:rFonts w:ascii="Times New Roman" w:hAnsi="Times New Roman" w:eastAsia="Times New Roman"/>
          <w:b w:val="0"/>
          <w:i w:val="0"/>
        </w:rPr>
        <w:t>Таблица 4.3 — Реальные контуры экспериментальной проверки</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Тип данных</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Набор данных</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Классов</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Объектов</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Объектов для оценки объяснений</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Табличные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UCI Covertype</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581 012</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Изображения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Fashion-MNIST</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70 000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Текст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 Newsgroups</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18 846</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Врем. ряды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Electric-</w:t>
              <w:br/>
              <w:t>Devices</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16 637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r>
    </w:tbl>
    <w:p>
      <w:pPr>
        <w:pStyle w:val="a0"/>
        <w:spacing w:after="80" w:line="276" w:lineRule="auto"/>
        <w:widowControl/>
      </w:pPr>
    </w:p>
    <w:p>
      <w:pPr>
        <w:pStyle w:val="aa"/>
        <w:keepNext/>
        <w:keepLines/>
        <w:spacing w:before="120" w:after="80"/>
        <w:jc w:val="center"/>
        <w:keepNext/>
      </w:pPr>
      <w:r>
        <w:rPr>
          <w:rFonts w:ascii="Times New Roman" w:hAnsi="Times New Roman" w:eastAsia="Times New Roman"/>
          <w:b w:val="0"/>
          <w:i w:val="0"/>
        </w:rPr>
        <w:t>Таблица 4.4 — Карта всех экспериментальных контуров главы</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Контур</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Объём</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Основная величина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Фактический результат</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Статус</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H1: сохранение локального объяснения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6 000 пар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Разность локальной верности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95%-й ДИ [0,000; 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H2: неполнота происхождения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2 000 удалений</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F1 и ложная сертификация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F1 = 1,000; ложная сертификация = 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H3: политика действия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Риск и автоматическое покрытие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Адаптивная политика хуже сильного порога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 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H4: иерархия представлений</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504 260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Риск и средняя сложность</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Риск 0,7410; сложность 3,137 вместо 8</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H5-S: структурный разрыв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4 000 нарушений</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F1 и локализация источника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F1 = 1,000; локализация = 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H5-P: предсказание ошибки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Прирост AUPRC</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 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H6: абляция правила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400 пар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Спец. эффект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−0,00042; ДИ включает ноль</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 подтверждено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Сравнение объяснителей</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100–2 000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Верность, устойчивость, полнота, время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Метрики измерены без универсального победителя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Описательный результат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Анализ</w:t>
              <w:br/>
              <w:t>чувствительности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2 000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Смена действия и стоимость</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Наибольшая чувствительность к порогу уверенности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Описательный результат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Масштаб</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1 000–100 000 объектов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Время, память, размер графа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Рост близок к линейному</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Подтверждено для эталонного контура</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Слепая AI-предпроверка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240 случаев, 720 вариантов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R1–R10 и критические дефекты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Выявлены пропущенные ограничения и термины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Только формирующий этап</w:t>
            </w:r>
          </w:p>
        </w:tc>
      </w:tr>
      <w:tr>
        <w:trPr>
          <w:cantSplit/>
          <w:cantSplit/>
          <w:cantSplit w:val="true"/>
        </w:trPr>
        <w:tc>
          <w:tcPr>
            <w:tcW w:type="dxa" w:w="1871"/>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Качественная пользовательская оценка</w:t>
            </w:r>
          </w:p>
        </w:tc>
        <w:tc>
          <w:tcPr>
            <w:tcW w:type="dxa" w:w="1871"/>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Участники, изучающие XAI</w:t>
            </w:r>
          </w:p>
        </w:tc>
        <w:tc>
          <w:tcPr>
            <w:tcW w:type="dxa" w:w="1871"/>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Понятность терминов, ограничений и действия</w:t>
            </w:r>
          </w:p>
        </w:tc>
        <w:tc>
          <w:tcPr>
            <w:tcW w:type="dxa" w:w="1871"/>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После доработки объяснения оценены как понятные и приемлемые</w:t>
            </w:r>
          </w:p>
        </w:tc>
        <w:tc>
          <w:tcPr>
            <w:tcW w:type="dxa" w:w="1871"/>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Проведено качественно</w:t>
            </w:r>
          </w:p>
        </w:tc>
      </w:tr>
    </w:tbl>
    <w:p>
      <w:pPr>
        <w:pStyle w:val="a0"/>
        <w:spacing w:after="80" w:line="276" w:lineRule="auto"/>
        <w:widowControl/>
      </w:pPr>
    </w:p>
    <w:p>
      <w:pPr>
        <w:pStyle w:val="a0"/>
        <w:widowControl/>
        <w:spacing w:after="80" w:line="276" w:lineRule="auto"/>
        <w:widowControl/>
      </w:pPr>
      <w:r>
        <w:t>Таблица 4.4 задаёт полную карту главы: для каждого эксперимента указаны объект, размер, основная измеряемая величина, фактический результат и допустимый статус вывода. Автоматизированная предварительная проверка использовалась для поиска недостатков текста, после чего переработанные объяснения получили положительную качественную оценку участников, изучающих объяснимый искусственный интеллект.</w:t>
      </w:r>
    </w:p>
    <w:p>
      <w:pPr>
        <w:pStyle w:val="a0"/>
        <w:widowControl/>
        <w:spacing w:after="80" w:line="276" w:lineRule="auto"/>
        <w:widowControl/>
      </w:pPr>
      <w:r>
        <w:rPr>
          <w:rFonts w:ascii="Times New Roman" w:hAnsi="Times New Roman" w:eastAsia="Times New Roman"/>
          <w:i w:val="0"/>
        </w:rPr>
        <w:t>В каждом контуре использованы классические и нейросетевые модели. Для табличных данных применялись линейная модель, ансамбль деревьев, градиентный бустинг и многослойная сеть; для изображений — свёрточная сеть; для текста — линейный классификатор и последовательная нейросетевая модель; для временных рядов — признаковая модель и одномерная нейросетевая архитектура. Одна из нейросетевых моделей экспортирована в ONNX, что подтверждает переносимость адаптера между средами исполнения.</w:t>
      </w:r>
    </w:p>
    <w:p>
      <w:pPr>
        <w:pStyle w:val="aa"/>
        <w:keepNext/>
        <w:keepLines/>
        <w:spacing w:before="120" w:after="80"/>
        <w:jc w:val="center"/>
        <w:keepNext/>
      </w:pPr>
      <w:r>
        <w:rPr>
          <w:rFonts w:ascii="Times New Roman" w:hAnsi="Times New Roman" w:eastAsia="Times New Roman"/>
          <w:b w:val="0"/>
          <w:i w:val="0"/>
        </w:rPr>
        <w:t>Таблица 4.5 — Методы объяснения и объём измерений</w:t>
      </w:r>
    </w:p>
    <w:tbl>
      <w:tblPr>
        <w:tblStyle w:val="af1"/>
        <w:tblW w:type="dxa" w:w="9356"/>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tblHeader w:val="true"/>
          <w:cantSplit/>
          <w:tblHeader w:val="true"/>
          <w:cantSplit w:val="true"/>
        </w:trPr>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Модальность</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Метод</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Число объяснений</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Средняя локальная верность</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Изображения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Grad-CAM</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0,114</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Изображения</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Integrated Gradients</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0,453</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Табличные данные</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SHAP</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0,249</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Табличные данные</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LIME</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0,200</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Табличные данные</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Anchors</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0,910</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Табличные данные</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RuleFit</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0,883</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Текст</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Маскирование токенов</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0,279</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Временные ряды</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Маскирование окон</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0,621</w:t>
            </w:r>
          </w:p>
        </w:tc>
      </w:tr>
    </w:tbl>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2619992"/>
            <wp:docPr id="3" name="Picture 3" descr="Рисунок 4.3 — Средняя измеренная локальная верность применённых объяснителей" title="Рисунок 3"/>
            <wp:cNvGraphicFramePr>
              <a:graphicFrameLocks noChangeAspect="1"/>
            </wp:cNvGraphicFramePr>
            <a:graphic>
              <a:graphicData uri="http://schemas.openxmlformats.org/drawingml/2006/picture">
                <pic:pic>
                  <pic:nvPicPr>
                    <pic:cNvPr id="0" name="fig4_3_fidelity.png"/>
                    <pic:cNvPicPr/>
                  </pic:nvPicPr>
                  <pic:blipFill>
                    <a:blip r:embed="rId68"/>
                    <a:stretch>
                      <a:fillRect/>
                    </a:stretch>
                  </pic:blipFill>
                  <pic:spPr>
                    <a:xfrm>
                      <a:off x="0" y="0"/>
                      <a:ext cx="5580000" cy="2619992"/>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4.3 — Средняя измеренная локальная верность применённых объяснителей</w:t>
      </w:r>
    </w:p>
    <w:p>
      <w:pPr>
        <w:pStyle w:val="a0"/>
        <w:widowControl/>
        <w:spacing w:after="80" w:line="276" w:lineRule="auto"/>
        <w:widowControl/>
      </w:pPr>
      <w:r>
        <w:rPr>
          <w:rFonts w:ascii="Times New Roman" w:hAnsi="Times New Roman" w:eastAsia="Times New Roman"/>
          <w:i w:val="0"/>
        </w:rPr>
        <w:t>Значения локальной верности в таблице 4.5 относятся к различным методам и типам данных, поэтому они не образуют универсального рейтинга. Их назначение состоит в фиксации качества исходного локального сигнала, который затем передаётся в системный слой. Сравнение H1 проводится парно: для одного объекта, одной модели, одного результата объяснителя, одной фоновой выборки, одинакового бюджета и случайного состояния.</w:t>
      </w:r>
    </w:p>
    <w:p>
      <w:pPr>
        <w:pStyle w:val="Equation"/>
        <w:keepLines/>
        <w:tabs>
          <w:tab w:pos="9184" w:val="left"/>
        </w:tabs>
        <w:jc w:val="center"/>
      </w:pPr>
      <w:r>
        <w:rPr>
          <w:rFonts w:ascii="Times New Roman" w:hAnsi="Times New Roman" w:eastAsia="Times New Roman"/>
          <w:sz w:val="26"/>
        </w:rPr>
        <w:t>Δfid = Kfid(FuzzyXAI + Base) − Kfid(Base)</w:t>
      </w:r>
      <w:r>
        <w:rPr>
          <w:rFonts w:ascii="Times New Roman" w:hAnsi="Times New Roman" w:eastAsia="Times New Roman"/>
        </w:rPr>
        <w:tab/>
        <w:t>(4.6)</w:t>
      </w:r>
    </w:p>
    <w:p>
      <w:pPr>
        <w:pStyle w:val="a0"/>
        <w:widowControl/>
        <w:spacing w:after="80" w:line="276" w:lineRule="auto"/>
        <w:widowControl/>
      </w:pPr>
      <w:r>
        <w:rPr>
          <w:rFonts w:ascii="Times New Roman" w:hAnsi="Times New Roman" w:eastAsia="Times New Roman"/>
          <w:i w:val="0"/>
        </w:rPr>
        <w:t>Гипотеза сохранения верности считается подтверждённой, если нижняя граница доверительного интервала для Δ_fid не ниже −0,02. Для оценки неполноты на реальных контурах выполнялось контролируемое удаление идентифицируемого канала происхождения. Такая процедура проверяет способность системы обнаружить известное нарушение, но не заменяет анализ всех возможных естественных сбоев.</w:t>
      </w:r>
    </w:p>
    <w:p>
      <w:pPr>
        <w:pStyle w:val="a0"/>
        <w:widowControl/>
        <w:spacing w:after="80" w:line="276" w:lineRule="auto"/>
        <w:widowControl/>
      </w:pPr>
      <w:r>
        <w:rPr>
          <w:rFonts w:ascii="Times New Roman" w:hAnsi="Times New Roman" w:eastAsia="Times New Roman"/>
          <w:i w:val="0"/>
        </w:rPr>
        <w:t>Политики действия сравнивались на фиксированной выборке из 2 500 объясняемых объектов. Сложные случаи определялись по валидационной части как низкая уверенность, измеренное расхождение объяснителей, конфликт моделей, редкий класс или нахождение в фиксированной пограничной полосе. Тестовые исходы не использовались для определения этих групп.</w:t>
      </w:r>
    </w:p>
    <w:p>
      <w:pPr>
        <w:pStyle w:val="a0"/>
        <w:widowControl/>
        <w:spacing w:after="80" w:line="276" w:lineRule="auto"/>
        <w:widowControl/>
      </w:pPr>
      <w:r>
        <w:rPr>
          <w:rFonts w:ascii="Times New Roman" w:hAnsi="Times New Roman" w:eastAsia="Times New Roman"/>
          <w:i w:val="0"/>
        </w:rPr>
        <w:t>В подтверждающей проверке абляции правила использованы два независимых табличных набора, четыре семейства моделей, десять разбиений и пять случайных состояний. Правило-кандидат выбиралось по обучающей и валидационной частям, после чего сравнивалось с сопоставимыми контрольными правилами. Основной показатель представляет разность между эффектом удаления выбранного правила и медианным эффектом сопоставимых контрольных правил.</w:t>
      </w:r>
    </w:p>
    <w:p>
      <w:pPr>
        <w:pStyle w:val="Equation"/>
        <w:keepLines/>
        <w:tabs>
          <w:tab w:pos="9184" w:val="left"/>
        </w:tabs>
        <w:jc w:val="center"/>
      </w:pPr>
      <w:r>
        <w:rPr>
          <w:rFonts w:ascii="Times New Roman" w:hAnsi="Times New Roman" w:eastAsia="Times New Roman"/>
          <w:sz w:val="26"/>
        </w:rPr>
        <w:t>Δspec = Δcand − median(Δmatch)</w:t>
      </w:r>
      <w:r>
        <w:rPr>
          <w:rFonts w:ascii="Times New Roman" w:hAnsi="Times New Roman" w:eastAsia="Times New Roman"/>
        </w:rPr>
        <w:tab/>
        <w:t>(4.7)</w:t>
      </w:r>
    </w:p>
    <w:p>
      <w:pPr>
        <w:pStyle w:val="a0"/>
        <w:spacing w:after="80" w:line="276" w:lineRule="auto"/>
        <w:widowControl/>
      </w:pPr>
      <w:r>
        <w:rPr>
          <w:rFonts w:ascii="Times New Roman" w:hAnsi="Times New Roman" w:eastAsia="Times New Roman"/>
          <w:b w:val="0"/>
          <w:i w:val="0"/>
        </w:rPr>
        <w:t>Таким образом, методика разделяет качество исходного объяснения, структурную корректность маршрута и качество политики действия. Последующие разделы рассматривают эти свойства независимо, что исключает перенос положительного результата одного контура на другой.</w:t>
      </w:r>
    </w:p>
    <w:p>
      <w:pPr>
        <w:pStyle w:val="2"/>
        <w:keepNext/>
        <w:keepLines/>
        <w:spacing w:before="200" w:after="120"/>
        <w:keepNext/>
      </w:pPr>
      <w:r>
        <w:rPr>
          <w:rFonts w:ascii="Times New Roman" w:hAnsi="Times New Roman" w:eastAsia="Times New Roman"/>
        </w:rPr>
        <w:t>4.4 Сохранение локальной верности и диагностика неполноты</w:t>
      </w:r>
    </w:p>
    <w:p>
      <w:pPr>
        <w:pStyle w:val="FirstParagraph"/>
        <w:widowControl/>
        <w:spacing w:after="80" w:line="276" w:lineRule="auto"/>
        <w:widowControl/>
      </w:pPr>
      <w:r>
        <w:rPr>
          <w:rFonts w:ascii="Times New Roman" w:hAnsi="Times New Roman" w:eastAsia="Times New Roman"/>
          <w:i w:val="0"/>
        </w:rPr>
        <w:t>В H1 выполнено 6 000 парных сравнений. Системная оболочка использовала готовый результат локального объяснителя как неизменяемое свидетельство; поэтому средняя разность локальной верности для всех методов равна нулю, а доверительный интервал имеет границы [0; 0]. Критерий неухудшения выполнен для всех восьми методов и четырёх модальностей.</w:t>
      </w:r>
    </w:p>
    <w:p>
      <w:pPr>
        <w:pStyle w:val="aa"/>
        <w:keepNext/>
        <w:keepLines/>
        <w:spacing w:before="120" w:after="80"/>
        <w:jc w:val="center"/>
        <w:keepNext/>
      </w:pPr>
      <w:r>
        <w:rPr>
          <w:rFonts w:ascii="Times New Roman" w:hAnsi="Times New Roman" w:eastAsia="Times New Roman"/>
          <w:b w:val="0"/>
          <w:i w:val="0"/>
        </w:rPr>
        <w:t>Таблица 4.6 — Результат парной проверки сохранения локальной верности</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Метод</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Данные</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Пар</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Средняя разность</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95%-й ДИ</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Не хуже</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Grad-</w:t>
              <w:br/>
              <w:t>CAM</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Изобр.</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Integrated</w:t>
              <w:br/>
              <w:t>Gradients</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Изобр.</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SHAP</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Табл.</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LIME</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Табл.</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Anchors</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Табл.</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RuleFit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Табл.</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1 000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Токены</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Текст</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Окна</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Врем. ряды</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 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Полученный результат не означает превосходства системного оператора над локальными объяснителями. Он подтверждает более узкое, но необходимое свойство: включение локального результата в доказательный граф, типизация, диагностика и редукция не меняют исходную атрибуцию. Таким образом, вклад метода относится к организации объяснительного маршрута, а не к повышению внутренней верности подключённого объяснителя.</w:t>
      </w:r>
    </w:p>
    <w:p>
      <w:pPr>
        <w:pStyle w:val="a0"/>
        <w:widowControl/>
        <w:spacing w:after="80" w:line="276" w:lineRule="auto"/>
        <w:widowControl/>
      </w:pPr>
      <w:r>
        <w:rPr>
          <w:rFonts w:ascii="Times New Roman" w:hAnsi="Times New Roman" w:eastAsia="Times New Roman"/>
          <w:i w:val="0"/>
        </w:rPr>
        <w:t>В H2 выполнено 2 000 контролируемых удалений каналов, по 500 на каждую модальность. Во всех случаях система обнаружила отсутствие и указала точный источник. Точность положительных решений, полнота и F1 составили 1,0; доля ложной сертификации равна нулю. Пользовательская редукция сохранила доступное происхождение полностью.</w:t>
      </w:r>
    </w:p>
    <w:p>
      <w:pPr>
        <w:pStyle w:val="aa"/>
        <w:keepNext/>
        <w:keepLines/>
        <w:spacing w:before="120" w:after="80"/>
        <w:jc w:val="center"/>
        <w:keepNext/>
      </w:pPr>
      <w:r>
        <w:rPr>
          <w:rFonts w:ascii="Times New Roman" w:hAnsi="Times New Roman" w:eastAsia="Times New Roman"/>
          <w:b w:val="0"/>
          <w:i w:val="0"/>
        </w:rPr>
        <w:t>Таблица 4.7 — Локализация отсутствующих каналов происхождения</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Данные</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Удалений</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Точность</w:t>
              <w:br/>
              <w:t>источника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Сохранение</w:t>
              <w:br/>
              <w:t>происхождения</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Время,</w:t>
              <w:br/>
              <w:t>мс</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Табличные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0,7274</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Изображения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0,6694</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Текст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0,6761</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Врем. ряды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0,6815</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Совершенные показатели H2 следует интерпретировать в пределах протокола контролируемого внесения отказов. Удалялся канал с известной идентичностью в реально измеренном вычислительном контуре. Результат подтверждает корректность реализованного контракта неполноты для предусмотренных типов каналов, но не доказывает обнаружение любого неизвестного сбоя внешней системы.</w:t>
      </w:r>
    </w:p>
    <w:p>
      <w:pPr>
        <w:pStyle w:val="a0"/>
        <w:widowControl/>
        <w:spacing w:after="80" w:line="276" w:lineRule="auto"/>
        <w:widowControl/>
      </w:pPr>
      <w:r>
        <w:rPr>
          <w:rFonts w:ascii="Times New Roman" w:hAnsi="Times New Roman" w:eastAsia="Times New Roman"/>
          <w:i w:val="0"/>
        </w:rPr>
        <w:t>Совместное подтверждение H1 и H2 показывает, что системная надстройка не обязана повышать локальную верность, чтобы давать самостоятельный результат. Её измеримый вклад состоит в сохранении исходного объяснения, добавлении происхождения и явном различении отсутствия данных и измеренного нулевого значения.</w:t>
      </w:r>
    </w:p>
    <w:p>
      <w:pPr>
        <w:pStyle w:val="a0"/>
        <w:spacing w:after="80" w:line="276" w:lineRule="auto"/>
        <w:widowControl/>
      </w:pPr>
      <w:r>
        <w:rPr>
          <w:rFonts w:ascii="Times New Roman" w:hAnsi="Times New Roman" w:eastAsia="Times New Roman"/>
          <w:b w:val="0"/>
          <w:i w:val="0"/>
        </w:rPr>
        <w:t>Совместное подтверждение H1 и H2 устанавливает базовый инвариант реализации: системная надстройка сохраняет исходное объяснение и одновременно делает отсутствие обязательных сведений наблюдаемым состоянием.</w:t>
      </w:r>
    </w:p>
    <w:p>
      <w:pPr>
        <w:pStyle w:val="2"/>
        <w:keepNext/>
        <w:keepLines/>
        <w:spacing w:before="200" w:after="120"/>
        <w:keepNext/>
      </w:pPr>
      <w:r>
        <w:rPr>
          <w:rFonts w:ascii="Times New Roman" w:hAnsi="Times New Roman" w:eastAsia="Times New Roman"/>
        </w:rPr>
        <w:t>4.5 Экспериментальная проверка иерархии представлений неопределённости</w:t>
      </w:r>
    </w:p>
    <w:p>
      <w:pPr>
        <w:pStyle w:val="FirstParagraph"/>
        <w:widowControl/>
        <w:spacing w:after="80" w:line="276" w:lineRule="auto"/>
        <w:widowControl/>
      </w:pPr>
      <w:r>
        <w:rPr>
          <w:rFonts w:ascii="Times New Roman" w:hAnsi="Times New Roman" w:eastAsia="Times New Roman"/>
          <w:i w:val="0"/>
        </w:rPr>
        <w:t>Гипотеза H4 проверялась на измеренных профилях 504 260 объектов. Для каждого объекта определялся минимальный класс представления, способный покрыть доступные типы неопределённости. Сравнивались постоянный выбор F0, Fint, NAS, FML, адаптивный выбор и диагностический отказ.</w:t>
      </w:r>
    </w:p>
    <w:p>
      <w:pPr>
        <w:pStyle w:val="aa"/>
        <w:keepNext/>
        <w:keepLines/>
        <w:spacing w:before="120" w:after="80"/>
        <w:jc w:val="center"/>
        <w:keepNext/>
      </w:pPr>
      <w:r>
        <w:rPr>
          <w:rFonts w:ascii="Times New Roman" w:hAnsi="Times New Roman" w:eastAsia="Times New Roman"/>
          <w:b w:val="0"/>
          <w:i w:val="0"/>
        </w:rPr>
        <w:t>Таблица 4.8 — Сравнение режимов представления неопределённости</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Режим</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Покр.</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Недоп.</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Сложн.</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Риск</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Стоим.</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0,3612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0,6388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0,8510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6,749</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Fint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0,3612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0,4412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0,8510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6,749</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NAS</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0,6484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0,1539</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4,164</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FML</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0,6484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4,164</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Адапт.</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0,6484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3,137</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4,164</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Отказ</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r>
    </w:tbl>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586710"/>
            <wp:docPr id="4" name="Picture 4" descr="Рисунок 4.4 — Соотношение сложности представления и риска действия" title="Рисунок 4"/>
            <wp:cNvGraphicFramePr>
              <a:graphicFrameLocks noChangeAspect="1"/>
            </wp:cNvGraphicFramePr>
            <a:graphic>
              <a:graphicData uri="http://schemas.openxmlformats.org/drawingml/2006/picture">
                <pic:pic>
                  <pic:nvPicPr>
                    <pic:cNvPr id="0" name="fig4_5_hierarchy.png"/>
                    <pic:cNvPicPr/>
                  </pic:nvPicPr>
                  <pic:blipFill>
                    <a:blip r:embed="rId69"/>
                    <a:stretch>
                      <a:fillRect/>
                    </a:stretch>
                  </pic:blipFill>
                  <pic:spPr>
                    <a:xfrm>
                      <a:off x="0" y="0"/>
                      <a:ext cx="5580000" cy="3586710"/>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4.4 — Соотношение сложности представления и риска действия</w:t>
      </w:r>
    </w:p>
    <w:p>
      <w:pPr>
        <w:pStyle w:val="a0"/>
        <w:widowControl/>
        <w:spacing w:after="80" w:line="276" w:lineRule="auto"/>
        <w:widowControl/>
      </w:pPr>
      <w:r>
        <w:rPr>
          <w:rFonts w:ascii="Times New Roman" w:hAnsi="Times New Roman" w:eastAsia="Times New Roman"/>
          <w:i w:val="0"/>
        </w:rPr>
        <w:t>Постоянные F0 и Fint имеют риск 0,8510 и существенное недопокрытие. NAS уменьшает риск до 0,7410, но оставляет недопокрытие 0,1539. Постоянный выбор FML устраняет недопокрытие при средней сложности 8. Адаптивный режим имеет тот же риск 0,7410 и нулевое недопокрытие, но уменьшает среднюю сложность до 3,137.</w:t>
      </w:r>
    </w:p>
    <w:p>
      <w:pPr>
        <w:pStyle w:val="a0"/>
        <w:widowControl/>
        <w:spacing w:after="80" w:line="276" w:lineRule="auto"/>
        <w:widowControl/>
      </w:pPr>
      <w:r>
        <w:rPr>
          <w:rFonts w:ascii="Times New Roman" w:hAnsi="Times New Roman" w:eastAsia="Times New Roman"/>
          <w:i w:val="0"/>
        </w:rPr>
        <w:t>В адаптивном режиме F0 выбран для 182 122 объектов, Fint — для 99 668, NAS — для 144 856, FML — для 77 614. Доля FML составляет 0,1539, поэтому селектор не вырождается в постоянный выбор наиболее сложного класса. Критерий неухудшения относительно постоянного выбора FML выполнен при ε = 0,02.</w:t>
      </w:r>
    </w:p>
    <w:p>
      <w:pPr>
        <w:pStyle w:val="Equation"/>
        <w:keepLines/>
        <w:tabs>
          <w:tab w:pos="9184" w:val="left"/>
        </w:tabs>
        <w:jc w:val="center"/>
      </w:pPr>
      <w:r>
        <w:rPr>
          <w:rFonts w:ascii="Times New Roman" w:hAnsi="Times New Roman" w:eastAsia="Times New Roman"/>
          <w:b w:val="0"/>
          <w:i w:val="0"/>
        </w:rPr>
        <w:t>R_adapt ≤ R_FML + 0,02; C_adapt &lt; C_FML</w:t>
        <w:tab/>
        <w:t>(4.8)</w:t>
      </w:r>
    </w:p>
    <w:p>
      <w:pPr>
        <w:pStyle w:val="a0"/>
        <w:widowControl/>
        <w:spacing w:after="80" w:line="276" w:lineRule="auto"/>
        <w:widowControl/>
      </w:pPr>
      <w:r>
        <w:rPr>
          <w:rFonts w:ascii="Times New Roman" w:hAnsi="Times New Roman" w:eastAsia="Times New Roman"/>
          <w:i w:val="0"/>
        </w:rPr>
        <w:t>Научный результат H4 состоит не в предложении нового класса нечётких множеств. Новизна относится к операциональной процедуре выбора минимально достаточного представления при совместном ограничении на покрытие, риск и сложность. Эксперимент показывает, что использование наиболее выразительного класса для каждого объекта избыточно в измеренных профилях.</w:t>
      </w:r>
    </w:p>
    <w:p>
      <w:pPr>
        <w:pStyle w:val="a0"/>
        <w:widowControl/>
        <w:spacing w:after="80" w:line="276" w:lineRule="auto"/>
        <w:widowControl/>
      </w:pPr>
      <w:r>
        <w:rPr>
          <w:rFonts w:ascii="Times New Roman" w:hAnsi="Times New Roman" w:eastAsia="Times New Roman"/>
          <w:i w:val="0"/>
        </w:rPr>
        <w:t>Граница вывода определяется способом формирования профилей. Часть признаков неопределённости возникает из реальных измерений уверенности, расхождения и нестабильности, а часть структурных нарушений вносится контролируемо. Поэтому вывод относится к реализованному множеству профилей и функции риска и не распространяется автоматически на любые предметные типы неопределённости.</w:t>
      </w:r>
    </w:p>
    <w:p>
      <w:pPr>
        <w:pStyle w:val="a0"/>
        <w:spacing w:after="80" w:line="276" w:lineRule="auto"/>
        <w:widowControl/>
      </w:pPr>
      <w:r>
        <w:rPr>
          <w:rFonts w:ascii="Times New Roman" w:hAnsi="Times New Roman" w:eastAsia="Times New Roman"/>
          <w:b w:val="0"/>
          <w:i w:val="0"/>
        </w:rPr>
        <w:t>После подтверждения сохранности и неполноты следующий вопрос относится к сложности представления: можно ли уменьшить объём объяснительного объекта без изменения установленного риска.</w:t>
      </w:r>
    </w:p>
    <w:p>
      <w:pPr>
        <w:pStyle w:val="a0"/>
        <w:widowControl/>
      </w:pPr>
      <w:r>
        <w:rPr>
          <w:rFonts w:ascii="Times New Roman" w:hAnsi="Times New Roman" w:eastAsia="Times New Roman"/>
          <w:i/>
          <w:sz w:val="19"/>
        </w:rPr>
        <w:t>Доказательная основа раздела: E02. Замороженная сводка фиксирует 504 260 объектов, снижение средней сложности с 8 до 3,137 и сохранение зарегистрированного риска.</w:t>
      </w:r>
    </w:p>
    <w:p>
      <w:pPr>
        <w:pStyle w:val="2"/>
        <w:keepNext/>
        <w:keepLines/>
        <w:spacing w:before="200" w:after="120"/>
        <w:keepNext/>
      </w:pPr>
      <w:r>
        <w:rPr>
          <w:rFonts w:ascii="Times New Roman" w:hAnsi="Times New Roman" w:eastAsia="Times New Roman"/>
        </w:rPr>
        <w:t>4.6 Сравнение политик действия и границы практического эффекта</w:t>
      </w:r>
    </w:p>
    <w:p>
      <w:pPr>
        <w:pStyle w:val="FirstParagraph"/>
        <w:widowControl/>
        <w:spacing w:after="80" w:line="276" w:lineRule="auto"/>
        <w:widowControl/>
      </w:pPr>
      <w:r>
        <w:rPr>
          <w:rFonts w:ascii="Times New Roman" w:hAnsi="Times New Roman" w:eastAsia="Times New Roman"/>
          <w:i w:val="0"/>
        </w:rPr>
        <w:t>Гипотеза H3 предполагала, что адаптивная политика действия сможет превзойти сильнейшую простую политику на всей выборке или на заранее определённых сложных случаях. Сравнивались безусловное принятие P0, два порога уверенности P1 и P2, эвристика расхождения объяснителей P3, правило конфликта P4, полный анализ P5, случайная эскалация P6, адаптивная политика P7 и аналитический ориентир P8.</w:t>
      </w:r>
    </w:p>
    <w:p>
      <w:pPr>
        <w:pStyle w:val="a0"/>
        <w:widowControl/>
        <w:spacing w:after="80" w:line="276" w:lineRule="auto"/>
        <w:widowControl/>
      </w:pPr>
      <w:r>
        <w:rPr>
          <w:rFonts w:ascii="Times New Roman" w:hAnsi="Times New Roman" w:eastAsia="Times New Roman"/>
          <w:i w:val="0"/>
        </w:rPr>
        <w:t>Коды политик используются для компактного представления результатов: P0 — безусловное принятие, P1 и P2 — пороги уверенности 0,70 и 0,75, P3 — расхождение объяснителей, P4 — конфликт моделей или редкого класса, P5 — полный анализ, P6 — случайная эскалация, P7 — адаптивная политика, P8 — аналитический ориентир.</w:t>
      </w:r>
    </w:p>
    <w:p>
      <w:pPr>
        <w:pStyle w:val="aa"/>
        <w:keepNext/>
        <w:keepLines/>
        <w:spacing w:before="120" w:after="80"/>
        <w:jc w:val="center"/>
        <w:keepNext/>
      </w:pPr>
      <w:r>
        <w:rPr>
          <w:rFonts w:ascii="Times New Roman" w:hAnsi="Times New Roman" w:eastAsia="Times New Roman"/>
          <w:b w:val="0"/>
          <w:i w:val="0"/>
        </w:rPr>
        <w:t>Таблица 4.9 — Сравнение политик на полной выборке из 2 500 объектов</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Код</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Покрытие</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Риск</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Ошибочных автоматических</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На проверку</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Стоимость</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1,6460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823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0,4512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0,8828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167</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1372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0,3676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0,8584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1581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0,4708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1,4672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469</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1323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2,500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0,6608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1,0052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333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848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P5</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0,1596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0,9724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2101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0,1596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1,1124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2101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8,564</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P7</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0,1596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0,9724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2101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8,564</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0,6708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0,3292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823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r>
    </w:tbl>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592561"/>
            <wp:docPr id="5" name="Picture 5" descr="Рисунок 4.5 — Риск и автоматическое покрытие политик на полной выборке" title="Рисунок 5"/>
            <wp:cNvGraphicFramePr>
              <a:graphicFrameLocks noChangeAspect="1"/>
            </wp:cNvGraphicFramePr>
            <a:graphic>
              <a:graphicData uri="http://schemas.openxmlformats.org/drawingml/2006/picture">
                <pic:pic>
                  <pic:nvPicPr>
                    <pic:cNvPr id="0" name="fig4_4_policy.png"/>
                    <pic:cNvPicPr/>
                  </pic:nvPicPr>
                  <pic:blipFill>
                    <a:blip r:embed="rId70"/>
                    <a:stretch>
                      <a:fillRect/>
                    </a:stretch>
                  </pic:blipFill>
                  <pic:spPr>
                    <a:xfrm>
                      <a:off x="0" y="0"/>
                      <a:ext cx="5580000" cy="3592561"/>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4.5 — Риск и автоматическое покрытие политик на полной выборке</w:t>
      </w:r>
    </w:p>
    <w:p>
      <w:pPr>
        <w:pStyle w:val="a0"/>
        <w:widowControl/>
        <w:spacing w:after="80" w:line="276" w:lineRule="auto"/>
        <w:widowControl/>
      </w:pPr>
      <w:r>
        <w:rPr>
          <w:rFonts w:ascii="Times New Roman" w:hAnsi="Times New Roman" w:eastAsia="Times New Roman"/>
          <w:i w:val="0"/>
        </w:rPr>
        <w:t>Минимальный риск среди простых реализуемых политик получен для P2 и равен 0,8584 при покрытии 0,3676. Адаптивная политика P7 имеет риск 0,9724 и покрытие 0,1596. Она уменьшает число ошибочных автоматических решений до 66, но достигает этого за счёт передачи 2 101 объекта на проверку и не превосходит сильную простую пороговую политику по принятому критерию.</w:t>
      </w:r>
    </w:p>
    <w:p>
      <w:pPr>
        <w:pStyle w:val="a0"/>
        <w:widowControl/>
        <w:spacing w:after="80" w:line="276" w:lineRule="auto"/>
        <w:widowControl/>
      </w:pPr>
      <w:r>
        <w:rPr>
          <w:rFonts w:ascii="Times New Roman" w:hAnsi="Times New Roman" w:eastAsia="Times New Roman"/>
          <w:i w:val="0"/>
        </w:rPr>
        <w:t>На подмножестве из 2 101 заранее определённого сложного объекта результат сохраняется. Для P2 риск равен 0,9134, тогда как P7 переводит все сложные объекты на проверку и получает риск 1,0. Поэтому H3 не подтверждена ни на полной выборке, ни на заранее определённых сложных случаях. Полный системный контур не может быть представлен как универсально лучшая политика действия.</w:t>
      </w:r>
    </w:p>
    <w:p>
      <w:pPr>
        <w:pStyle w:val="a0"/>
        <w:widowControl/>
        <w:spacing w:after="80" w:line="276" w:lineRule="auto"/>
        <w:widowControl/>
      </w:pPr>
      <w:r>
        <w:rPr>
          <w:rFonts w:ascii="Times New Roman" w:hAnsi="Times New Roman" w:eastAsia="Times New Roman"/>
          <w:i w:val="0"/>
        </w:rPr>
        <w:t>Отрицательный результат уточняет функцию метода. Системный оператор обеспечивает воспроизводимую диагностику и структурное ограничение действия, но оптимальная политика зависит от предметной стоимости ошибок и проверки. Простая калиброванная политика может быть предпочтительнее, если доступные системные сигналы не дают дополнительной селективной информации.</w:t>
      </w:r>
    </w:p>
    <w:p>
      <w:pPr>
        <w:pStyle w:val="a0"/>
        <w:widowControl/>
        <w:spacing w:after="80" w:line="276" w:lineRule="auto"/>
        <w:widowControl/>
      </w:pPr>
      <w:r>
        <w:rPr>
          <w:rFonts w:ascii="Times New Roman" w:hAnsi="Times New Roman" w:eastAsia="Times New Roman"/>
          <w:i w:val="0"/>
        </w:rPr>
        <w:t>Причина отсутствия превосходства P7 видна из структуры решений. Объединение признаков низкой уверенности, редкого класса, близости к границе, расхождения моделей и объяснителей охватывает 2 101 из 2 500 объектов, то есть 84,04% выборки. В таком режиме политика теряет селективность и практически превращается в правило тотальной передачи на проверку. Порог уверенности P2, напротив, использует наиболее информативный модельный сигнал и сохраняет больше автоматического покрытия. Следовательно, происхождение, конфликт и нестабильность полезны как диагностические признаки, но в данном эксперименте не дали дополнительной селективной мощности для оптимизации действия.</w:t>
      </w:r>
    </w:p>
    <w:p>
      <w:pPr>
        <w:pStyle w:val="a0"/>
        <w:widowControl/>
        <w:spacing w:after="80" w:line="276" w:lineRule="auto"/>
        <w:widowControl/>
      </w:pPr>
      <w:r>
        <w:t>В главе не формулируется утверждение о доказанном снижении ошибочных автоматических решений относительно сильного порога. Практическая польза политики должна проверяться в конкретной предметной области при заранее заданной стоимости ошибок и ручной проверки. Поскольку такое преимущество в настоящем эксперименте не установлено, H3 сохраняет статус «не подтверждена».</w:t>
      </w:r>
    </w:p>
    <w:p>
      <w:pPr>
        <w:pStyle w:val="a0"/>
        <w:spacing w:after="80" w:line="276" w:lineRule="auto"/>
        <w:widowControl/>
      </w:pPr>
      <w:r>
        <w:rPr>
          <w:rFonts w:ascii="Times New Roman" w:hAnsi="Times New Roman" w:eastAsia="Times New Roman"/>
          <w:b w:val="0"/>
          <w:i w:val="0"/>
        </w:rPr>
        <w:t>Результат H3 следует читать как границу практического эффекта, а не как отказ всей архитектуры: диагностические признаки оказались полезны для аудита, но не дали универсального селективного преимущества.</w:t>
      </w:r>
    </w:p>
    <w:p>
      <w:pPr>
        <w:pStyle w:val="2"/>
        <w:keepNext/>
        <w:keepLines/>
        <w:spacing w:before="200" w:after="120"/>
        <w:keepNext/>
      </w:pPr>
      <w:r>
        <w:rPr>
          <w:rFonts w:ascii="Times New Roman" w:hAnsi="Times New Roman" w:eastAsia="Times New Roman"/>
        </w:rPr>
        <w:t>4.7 Критический разрыв и абляция правил</w:t>
      </w:r>
    </w:p>
    <w:p>
      <w:pPr>
        <w:pStyle w:val="FirstParagraph"/>
        <w:widowControl/>
        <w:spacing w:after="80" w:line="276" w:lineRule="auto"/>
        <w:widowControl/>
      </w:pPr>
      <w:r>
        <w:rPr>
          <w:rFonts w:ascii="Times New Roman" w:hAnsi="Times New Roman" w:eastAsia="Times New Roman"/>
          <w:i w:val="0"/>
        </w:rPr>
        <w:t>Критическим разрывом называется отсутствие допустимого сертифицируемого маршрута от обязательных свидетельств к автоматическому действию. В вычислительной реализации он типизирован по источнику нарушения: отсутствующее свидетельство, несовместимая версия, повреждённое происхождение, недопокрытие представления, превышение потери редукции и другие предусмотренные состояния.</w:t>
      </w:r>
    </w:p>
    <w:p>
      <w:pPr>
        <w:pStyle w:val="Equation"/>
        <w:keepLines/>
        <w:tabs>
          <w:tab w:pos="9184" w:val="left"/>
        </w:tabs>
        <w:jc w:val="center"/>
      </w:pPr>
      <w:r>
        <w:rPr>
          <w:rFonts w:ascii="Times New Roman" w:hAnsi="Times New Roman" w:eastAsia="Times New Roman"/>
          <w:b w:val="0"/>
          <w:i w:val="0"/>
        </w:rPr>
        <w:t>χcrit(E)=1 ⇔ не существует допустимого пути V → C → χ</w:t>
        <w:tab/>
        <w:t>(4.9)</w:t>
      </w:r>
    </w:p>
    <w:p>
      <w:pPr>
        <w:pStyle w:val="a0"/>
        <w:widowControl/>
        <w:spacing w:after="80" w:line="276" w:lineRule="auto"/>
        <w:widowControl/>
      </w:pPr>
      <w:r>
        <w:rPr>
          <w:rFonts w:ascii="Times New Roman" w:hAnsi="Times New Roman" w:eastAsia="Times New Roman"/>
          <w:i w:val="0"/>
        </w:rPr>
        <w:t>Структурная проверка H5-S включала 4 000 внесённых нарушений, по 1 000 на каждую модальность. Точность положительных решений, полнота, F1, точность типа и локализация источника равны 1,0; ложная сертификация отсутствует. Среднее время обнаружения составляет 0,00063 мс. Результат подтверждает корректность структурного индикатора для реализованных классов нарушений.</w:t>
      </w:r>
    </w:p>
    <w:p>
      <w:pPr>
        <w:pStyle w:val="aa"/>
        <w:keepNext/>
        <w:keepLines/>
        <w:spacing w:before="120" w:after="80"/>
        <w:jc w:val="center"/>
        <w:keepNext/>
      </w:pPr>
      <w:r>
        <w:rPr>
          <w:rFonts w:ascii="Times New Roman" w:hAnsi="Times New Roman" w:eastAsia="Times New Roman"/>
          <w:b w:val="0"/>
          <w:i w:val="0"/>
        </w:rPr>
        <w:t>Таблица 4.10 — Результаты проверки критического разрыва</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Режим</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N</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F1</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Локал.</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AUPRC</w:t>
              <w:br/>
              <w:t>M0 / M1</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Статус</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Структ.</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4 000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Да</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Предикт.</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Тестовая выборка</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0,5326 / 0,5326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Нет</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Предсказательная гипотеза H5-P не подтверждена. Добавление признаков критического разрыва не изменило AUPRC модели риска: M0 и M1 имеют значение 0,5326. Следовательно, критический разрыв нельзя интерпретировать как самостоятельный предиктор ошибки или безопасности. Его назначение ограничивается проверкой структурной допустимости объяснительного маршрута.</w:t>
      </w:r>
    </w:p>
    <w:p>
      <w:pPr>
        <w:pStyle w:val="a0"/>
        <w:widowControl/>
        <w:spacing w:after="80" w:line="276" w:lineRule="auto"/>
        <w:widowControl/>
      </w:pPr>
      <w:r>
        <w:rPr>
          <w:rFonts w:ascii="Times New Roman" w:hAnsi="Times New Roman" w:eastAsia="Times New Roman"/>
          <w:i w:val="0"/>
        </w:rPr>
        <w:t>Абляция правил проверялась относительно сопоставимых контрольных правил на 400 парных сравнениях. Средний специфический эффект равен −0,00042, а 95%-й доверительный интервал [−0,07895; 0,07808] включает практически нулевую область [−0,01; 0,01]. В двух наборах получены противоположные эффекты: 0,1283 для Adult и −0,1292 для Covertype.</w:t>
      </w: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178213"/>
            <wp:docPr id="6" name="Picture 6" descr="Рисунок 4.6 — Гетерогенность специфического эффекта исключения правила" title="Рисунок 6"/>
            <wp:cNvGraphicFramePr>
              <a:graphicFrameLocks noChangeAspect="1"/>
            </wp:cNvGraphicFramePr>
            <a:graphic>
              <a:graphicData uri="http://schemas.openxmlformats.org/drawingml/2006/picture">
                <pic:pic>
                  <pic:nvPicPr>
                    <pic:cNvPr id="0" name="fig4_6_rule_ablation.png"/>
                    <pic:cNvPicPr/>
                  </pic:nvPicPr>
                  <pic:blipFill>
                    <a:blip r:embed="rId71"/>
                    <a:stretch>
                      <a:fillRect/>
                    </a:stretch>
                  </pic:blipFill>
                  <pic:spPr>
                    <a:xfrm>
                      <a:off x="0" y="0"/>
                      <a:ext cx="5580000" cy="3178213"/>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4.6 — Гетерогенность специфического эффекта исключения правила</w:t>
      </w:r>
    </w:p>
    <w:p>
      <w:pPr>
        <w:pStyle w:val="aa"/>
        <w:keepNext/>
        <w:keepLines/>
        <w:spacing w:before="120" w:after="80"/>
        <w:jc w:val="center"/>
        <w:keepNext/>
      </w:pPr>
      <w:r>
        <w:rPr>
          <w:rFonts w:ascii="Times New Roman" w:hAnsi="Times New Roman" w:eastAsia="Times New Roman"/>
          <w:b w:val="0"/>
          <w:i w:val="0"/>
        </w:rPr>
        <w:t>Таблица 4.11 — Подтверждающая проверка абляции правила</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tblHeader w:val="true"/>
          <w:cantSplit/>
          <w:tblHeader w:val="true"/>
          <w:cantSplit w:val="true"/>
        </w:trPr>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Показатель</w:t>
            </w:r>
          </w:p>
        </w:tc>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Значение</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Число парных сравнений</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Средний специфический эффект</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-0,00042</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95%-й доверительный интервал</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[−0,07895; 0,07808]</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Практически нулевая область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[−0,01; 0,01]</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Эффект Adult</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0,1283</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Эффект Covertype</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-0,1292</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Итоговый статус</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Не подтверждено</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Противоположность эффектов показывает, что удаление правила не имеет общей направленности даже при предварительном выборе правила-кандидата. Поэтому абляция сохраняется как локальная диагностическая процедура конкретной модели, набора данных и разбиения. Утверждения об общем предсказательном эффекте или эффекте повышения безопасности удаления правила исключаются.</w:t>
      </w:r>
    </w:p>
    <w:p>
      <w:pPr>
        <w:pStyle w:val="a0"/>
        <w:spacing w:after="80" w:line="276" w:lineRule="auto"/>
        <w:widowControl/>
      </w:pPr>
      <w:r>
        <w:rPr>
          <w:rFonts w:ascii="Times New Roman" w:hAnsi="Times New Roman" w:eastAsia="Times New Roman"/>
          <w:b w:val="0"/>
          <w:i w:val="0"/>
        </w:rPr>
        <w:t>Структурный разрыв и ошибка прогноза далее рассматриваются раздельно. Это различие необходимо, поскольку корректный прогноз может иметь повреждённое происхождение, а ошибочный прогноз — полный и воспроизводимый маршрут.</w:t>
      </w:r>
    </w:p>
    <w:p>
      <w:pPr>
        <w:pStyle w:val="2"/>
        <w:keepNext/>
        <w:keepLines/>
        <w:spacing w:before="200" w:after="120"/>
        <w:keepNext/>
      </w:pPr>
      <w:r>
        <w:rPr>
          <w:rFonts w:ascii="Times New Roman" w:hAnsi="Times New Roman" w:eastAsia="Times New Roman"/>
        </w:rPr>
        <w:t>4.8 Масштабируемость, воспроизводимость и статус технического выпуска</w:t>
      </w:r>
    </w:p>
    <w:p>
      <w:pPr>
        <w:pStyle w:val="FirstParagraph"/>
        <w:widowControl/>
        <w:spacing w:after="80" w:line="276" w:lineRule="auto"/>
        <w:widowControl/>
      </w:pPr>
      <w:r>
        <w:rPr>
          <w:rFonts w:ascii="Times New Roman" w:hAnsi="Times New Roman" w:eastAsia="Times New Roman"/>
          <w:b w:val="0"/>
          <w:i w:val="0"/>
          <w:sz w:val="28"/>
        </w:rPr>
        <w:t>Масштабируемость оценивалась в двух режимах. Ранний эталонный маршрут до 100 000 объектов включал загрузку, уже доступные прогнозы и объяснительные признаки, операторную обработку и сериализацию. Отдельная H9 расширила измерение до 5 млн записей только для кэшированного операторного слоя. Стоимость внешней модели и тяжёлых методов SHAP, LIME или Grad-CAM в это измерение не включалась.</w:t>
      </w:r>
    </w:p>
    <w:p>
      <w:pPr>
        <w:pStyle w:val="a0"/>
        <w:spacing w:before="60" w:after="120"/>
      </w:pPr>
      <w:r>
        <w:rPr>
          <w:rFonts w:ascii="Times New Roman" w:hAnsi="Times New Roman" w:eastAsia="Times New Roman"/>
        </w:rPr>
        <w:t>Ранний эталонный контур показал близкий к линейному рост времени и памяти до 100 000 объектов. Полные значения перенесены в таблицу А.1; основное итоговое измерение до 5 млн записей приведено далее в разделе H9.</w:t>
      </w:r>
    </w:p>
    <w:p>
      <w:pPr>
        <w:pStyle w:val="a0"/>
        <w:spacing w:after="80" w:line="276" w:lineRule="auto"/>
        <w:widowControl/>
      </w:pPr>
    </w:p>
    <w:p>
      <w:pPr>
        <w:pStyle w:val="a0"/>
        <w:spacing w:before="60" w:after="120"/>
      </w:pPr>
      <w:r>
        <w:rPr>
          <w:rFonts w:ascii="Times New Roman" w:hAnsi="Times New Roman" w:eastAsia="Times New Roman"/>
        </w:rPr>
        <w:t>Размер доказательного графа и сериализованного представления также рос близко к линейному. Полные строки приведены в таблице А.2.</w:t>
      </w:r>
    </w:p>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383102"/>
            <wp:docPr id="7" name="Picture 7" descr="Рисунок 4.7 — Изменение времени и памяти при увеличении числа объектов" title="Рисунок 7"/>
            <wp:cNvGraphicFramePr>
              <a:graphicFrameLocks noChangeAspect="1"/>
            </wp:cNvGraphicFramePr>
            <a:graphic>
              <a:graphicData uri="http://schemas.openxmlformats.org/drawingml/2006/picture">
                <pic:pic>
                  <pic:nvPicPr>
                    <pic:cNvPr id="0" name="fig4_7_scalability.png"/>
                    <pic:cNvPicPr/>
                  </pic:nvPicPr>
                  <pic:blipFill>
                    <a:blip r:embed="rId72"/>
                    <a:stretch>
                      <a:fillRect/>
                    </a:stretch>
                  </pic:blipFill>
                  <pic:spPr>
                    <a:xfrm>
                      <a:off x="0" y="0"/>
                      <a:ext cx="5580000" cy="3383102"/>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4.7 — Изменение времени и памяти при увеличении числа объектов</w:t>
      </w:r>
    </w:p>
    <w:p>
      <w:pPr>
        <w:pStyle w:val="a0"/>
        <w:widowControl/>
        <w:spacing w:after="80" w:line="276" w:lineRule="auto"/>
        <w:widowControl/>
      </w:pPr>
      <w:r>
        <w:rPr>
          <w:rFonts w:ascii="Times New Roman" w:hAnsi="Times New Roman" w:eastAsia="Times New Roman"/>
          <w:i w:val="0"/>
        </w:rPr>
        <w:t>Для 1 000 объектов полный измеренный маршрут занимает 0,0098 с и использует 0,65 МБ пиковой памяти; для 100 000 объектов — 0,8656 с и 63,7 МБ. Время и память растут близко к линейной зависимости для данного эталонного контура. Основная доля накладных расходов связана с формированием пользовательского текста и сериализацией, а не с построением самого графа.</w:t>
      </w:r>
    </w:p>
    <w:p>
      <w:pPr>
        <w:pStyle w:val="a0"/>
        <w:widowControl/>
        <w:spacing w:after="80" w:line="276" w:lineRule="auto"/>
        <w:widowControl/>
      </w:pPr>
      <w:r>
        <w:rPr>
          <w:rFonts w:ascii="Times New Roman" w:hAnsi="Times New Roman" w:eastAsia="Times New Roman"/>
          <w:i w:val="0"/>
        </w:rPr>
        <w:t>Публичные режимы интерфейса дополнительно проверены для одного объекта, пакетов из 100 и 1 000 объектов, глобального объяснения и сравнения моделей. Пакет из 1 000 объектов формируется за 4,97 с. Эти значения характеризуют эталонную конфигурацию и не включают произвольную стоимость внешнего тяжёлого объяснителя, которая должна измеряться отдельно.</w:t>
      </w:r>
    </w:p>
    <w:p>
      <w:pPr>
        <w:pStyle w:val="a0"/>
        <w:widowControl/>
        <w:spacing w:after="80" w:line="276" w:lineRule="auto"/>
        <w:widowControl/>
      </w:pPr>
      <w:r>
        <w:rPr>
          <w:rFonts w:ascii="Times New Roman" w:hAnsi="Times New Roman" w:eastAsia="Times New Roman"/>
          <w:i w:val="0"/>
        </w:rPr>
        <w:t>Воспроизводимость обеспечивается фиксированными версиями библиотек, контрольными суммами данных и моделей, списками идентификаторов объектов, контейнерной сборкой и автоматическим формированием таблиц и отчётов. Итоговая техническая версия прошла публичную автоматизированную проверку, чистое контейнерное воспроизведение и проверку внутренних контрольных сумм архивов.</w:t>
      </w:r>
    </w:p>
    <w:p>
      <w:pPr>
        <w:pStyle w:val="aa"/>
        <w:keepNext/>
        <w:keepLines/>
        <w:spacing w:before="120" w:after="80"/>
        <w:jc w:val="center"/>
        <w:keepNext/>
      </w:pPr>
      <w:r>
        <w:rPr>
          <w:rFonts w:ascii="Times New Roman" w:hAnsi="Times New Roman" w:eastAsia="Times New Roman"/>
          <w:b w:val="0"/>
          <w:i w:val="0"/>
        </w:rPr>
        <w:t>Таблица 4.12 — Итоговый статус экспериментальных гипотез</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tblHeader w:val="true"/>
          <w:cantSplit/>
          <w:tblHeader w:val="true"/>
          <w:cantSplit w:val="true"/>
        </w:trPr>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Гипотеза</w:t>
            </w:r>
          </w:p>
        </w:tc>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Статус</w:t>
            </w:r>
          </w:p>
        </w:tc>
        <w:tc>
          <w:tcPr>
            <w:tcW w:type="dxa" w:w="3118"/>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Разрешённая интерпретация</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H1</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Системная оболочка сохраняет локальную верность подключённого объяснителя</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H2</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Предусмотренные отсутствующие каналы локализуются без ложной сертификации</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H3</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Не 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Адаптивная политика не превосходит сильную простую пороговую политику</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H4</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Адаптивное представление снижает сложность при не худшем риске</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H5-S</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Критический разрыв является структурным индикатором</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H5-P</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Не 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Предсказательный эффект критического разрыва отсутствует</w:t>
            </w:r>
          </w:p>
        </w:tc>
      </w:tr>
      <w:tr>
        <w:trPr>
          <w:cantSplit/>
          <w:cantSplit/>
          <w:cantSplit w:val="true"/>
        </w:trPr>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H6</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Не подтверждено</w:t>
            </w:r>
          </w:p>
        </w:tc>
        <w:tc>
          <w:tcPr>
            <w:tcW w:type="dxa" w:w="3118"/>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Абляция правила используется только как локальная диагностика</w:t>
            </w:r>
          </w:p>
        </w:tc>
      </w:tr>
      <w:tr>
        <w:trPr>
          <w:cantSplit/>
          <w:cantSplit/>
          <w:cantSplit w:val="true"/>
        </w:trPr>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Качественная оценка объяснений</w:t>
            </w:r>
          </w:p>
        </w:tc>
        <w:tc>
          <w:tcPr>
            <w:tcW w:type="dxa" w:w="3118"/>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Проведена</w:t>
            </w:r>
          </w:p>
        </w:tc>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Переработанные формулировки признаны понятными участниками, изучающими XAI; количественный эффект не оценивался</w:t>
            </w:r>
          </w:p>
        </w:tc>
      </w:tr>
    </w:tbl>
    <w:p>
      <w:pPr>
        <w:pStyle w:val="a0"/>
        <w:spacing w:after="80" w:line="276" w:lineRule="auto"/>
        <w:widowControl/>
      </w:pPr>
    </w:p>
    <w:p>
      <w:pPr>
        <w:pStyle w:val="a0"/>
        <w:widowControl/>
        <w:spacing w:after="80" w:line="276" w:lineRule="auto"/>
        <w:widowControl/>
      </w:pPr>
      <w:r>
        <w:t>Технический выпуск v1.3.0 фиксирует воспроизводимые вычислительные свойства реализации. Его стабильный статус относится к коду, контрактам и замороженным артефактам и не трактуется как подтверждение предметной безопасности или универсального преимущества политики применения.</w:t>
      </w:r>
    </w:p>
    <w:p>
      <w:pPr>
        <w:pStyle w:val="a0"/>
        <w:spacing w:after="80" w:line="276" w:lineRule="auto"/>
        <w:widowControl/>
      </w:pPr>
      <w:r>
        <w:rPr>
          <w:rFonts w:ascii="Times New Roman" w:hAnsi="Times New Roman" w:eastAsia="Times New Roman"/>
          <w:b w:val="0"/>
          <w:i w:val="0"/>
        </w:rPr>
        <w:t>Полученные результаты задают первую доказательную линию. Далее методы сопоставляются на общих объектах, а статистические выводы проверяются повторными разбиениями и доверительными интервалами.</w:t>
      </w:r>
    </w:p>
    <w:p>
      <w:pPr>
        <w:pStyle w:val="2"/>
        <w:keepNext/>
        <w:keepLines/>
        <w:spacing w:before="200" w:after="120"/>
        <w:keepNext/>
      </w:pPr>
      <w:r>
        <w:rPr>
          <w:rFonts w:ascii="Times New Roman" w:hAnsi="Times New Roman" w:eastAsia="Times New Roman"/>
        </w:rPr>
        <w:t>4.9 Количественное сопоставление с локальными объяснителями и простыми базовыми схемами</w:t>
      </w:r>
    </w:p>
    <w:p>
      <w:pPr>
        <w:pStyle w:val="FirstParagraph"/>
        <w:widowControl/>
        <w:spacing w:after="80" w:line="276" w:lineRule="auto"/>
        <w:widowControl/>
      </w:pPr>
      <w:r>
        <w:rPr>
          <w:rFonts w:ascii="Times New Roman" w:hAnsi="Times New Roman" w:eastAsia="Times New Roman"/>
          <w:i w:val="0"/>
        </w:rPr>
        <w:t>Критика поверхностного сравнения снимается только раздельным рассмотрением двух задач. На четырёх реальных контурах измерена исходная локальная верность каждого применимого объяснителя и затем выполнена парная проверка её сохранения системной оболочкой. На отдельном контролируемом табличном контуре методы SHAP, LIME, Anchors и RuleFit сопоставлены с простыми эвристиками и вариантами FuzzyXAI по верности, устойчивости, полноте, разреженности и времени. Эти две таблицы нельзя объединять в универсальный рейтинг: наборы данных, смысл объяснения и число оцениваемых объектов различаются.</w:t>
      </w:r>
    </w:p>
    <w:p>
      <w:pPr>
        <w:pStyle w:val="a0"/>
        <w:spacing w:before="60" w:after="120"/>
      </w:pPr>
      <w:r>
        <w:rPr>
          <w:rFonts w:ascii="Times New Roman" w:hAnsi="Times New Roman" w:eastAsia="Times New Roman"/>
        </w:rPr>
        <w:t>Раннее сопоставление подтвердило отсутствие универсального победителя и сохранение метрик исходного объяснителя системным слоем. Полные строки приведены в таблице А.3; агрегированное сравнение независимого контура дано в разделе 4.16.</w:t>
      </w:r>
    </w:p>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2776027"/>
            <wp:docPr id="8" name="Picture 8" descr="Рисунок 4.8 — Верность и полнота методов на общем контролируемом контуре" title="Рисунок 8"/>
            <wp:cNvGraphicFramePr>
              <a:graphicFrameLocks noChangeAspect="1"/>
            </wp:cNvGraphicFramePr>
            <a:graphic>
              <a:graphicData uri="http://schemas.openxmlformats.org/drawingml/2006/picture">
                <pic:pic>
                  <pic:nvPicPr>
                    <pic:cNvPr id="0" name="fig4_8_controlled_quality.png"/>
                    <pic:cNvPicPr/>
                  </pic:nvPicPr>
                  <pic:blipFill>
                    <a:blip r:embed="rId73"/>
                    <a:stretch>
                      <a:fillRect/>
                    </a:stretch>
                  </pic:blipFill>
                  <pic:spPr>
                    <a:xfrm>
                      <a:off x="0" y="0"/>
                      <a:ext cx="5580000" cy="2776027"/>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4.8 — Верность и полнота методов на общем контролируемом контуре</w:t>
      </w:r>
    </w:p>
    <w:p>
      <w:pPr>
        <w:pStyle w:val="a0"/>
        <w:widowControl/>
        <w:spacing w:after="80" w:line="276" w:lineRule="auto"/>
        <w:widowControl/>
      </w:pPr>
      <w:r>
        <w:rPr>
          <w:rFonts w:ascii="Times New Roman" w:hAnsi="Times New Roman" w:eastAsia="Times New Roman"/>
          <w:i w:val="0"/>
        </w:rPr>
        <w:t>Anchors и RuleFit имеют более высокие значения измеренной верности на данном контуре, но отличаются формой результата, разреженностью и вычислительной стоимостью. FuzzyXAI поверх того же локального объяснителя полностью сохраняет его метрики. Полный вариант, использующий SHAP и LIME, имеет верность 0,2749, устойчивость 0,9977 и полноту 0,8450; он не превосходит Anchors или RuleFit по локальной верности. Следовательно, научный вклад системного оператора нельзя формулировать как универсальное улучшение локальной атрибуции.</w:t>
      </w:r>
    </w:p>
    <w:p>
      <w:pPr>
        <w:pStyle w:val="a0"/>
        <w:widowControl/>
        <w:spacing w:after="80" w:line="276" w:lineRule="auto"/>
        <w:widowControl/>
      </w:pPr>
      <w:r>
        <w:rPr>
          <w:rFonts w:ascii="Times New Roman" w:hAnsi="Times New Roman" w:eastAsia="Times New Roman"/>
          <w:i w:val="0"/>
        </w:rPr>
        <w:t>Простая эвристика расхождения SHAP/LIME и полный FuzzyXAI имеют одинаковые локальные показатели в этом эксперименте, поскольку используют один и тот же набор атрибуций. Отличие системного варианта состоит в типизации неполноты, происхождении утверждений, выборе представления и формировании действия. Сама по себе структурная надстройка не считается доказанным преимуществом политики; соответствующая гипотеза H3 проверяется отдельно и не подтверждается.</w:t>
      </w:r>
    </w:p>
    <w:p>
      <w:pPr>
        <w:pStyle w:val="a0"/>
        <w:widowControl/>
        <w:spacing w:after="80" w:line="276" w:lineRule="auto"/>
        <w:widowControl/>
      </w:pPr>
      <w:r>
        <w:rPr>
          <w:rFonts w:ascii="Times New Roman" w:hAnsi="Times New Roman" w:eastAsia="Times New Roman"/>
          <w:i w:val="0"/>
        </w:rPr>
        <w:t>На реальных данных подтверждено не превосходство, а неухудшение: в 6 000 парных сравнениях системный слой не изменил значение локального объяснения. Такая постановка устраняет некорректное требование сделать системную оболочку лучше метода, который она принимает как неизменяемый источник свидетельств.</w:t>
      </w:r>
    </w:p>
    <w:p>
      <w:pPr>
        <w:pStyle w:val="a0"/>
        <w:spacing w:before="60" w:after="120"/>
      </w:pPr>
      <w:r>
        <w:rPr>
          <w:rFonts w:ascii="Times New Roman" w:hAnsi="Times New Roman" w:eastAsia="Times New Roman"/>
        </w:rPr>
        <w:t>Ранний контролируемый эксперимент не подтвердил превосходство системной политики над простым порогом уверенности. Полная матрица действий и стоимости приведена в таблице А.4.</w:t>
      </w:r>
    </w:p>
    <w:p>
      <w:pPr>
        <w:pStyle w:val="a0"/>
        <w:spacing w:after="80" w:line="276" w:lineRule="auto"/>
        <w:widowControl/>
      </w:pPr>
    </w:p>
    <w:p>
      <w:pPr>
        <w:pStyle w:val="a0"/>
        <w:widowControl/>
        <w:spacing w:after="80" w:line="276" w:lineRule="auto"/>
        <w:widowControl/>
      </w:pPr>
      <w:r>
        <w:rPr>
          <w:rFonts w:ascii="Times New Roman" w:hAnsi="Times New Roman" w:eastAsia="Times New Roman"/>
          <w:b w:val="0"/>
          <w:i w:val="0"/>
        </w:rPr>
        <w:t>На контролируемом контуре минимальная средняя стоимость при сбалансированном сценарии получена у простого порога уверенности и равна 0,8793. Системные политики P4 и P5 имеют стоимость 1,1395, автоматически принимают 49,2% объектов, направляют 996 объектов на проверку и дают 18 ложных блокировок. Поэтому таблица А.4 не подтверждает превосходство FuzzyXAI над простыми эвристиками; она показывает цену добавления структурных ограничений.</w:t>
      </w:r>
    </w:p>
    <w:p>
      <w:pPr>
        <w:pStyle w:val="a0"/>
        <w:widowControl/>
        <w:spacing w:after="80" w:line="276" w:lineRule="auto"/>
        <w:widowControl/>
      </w:pPr>
      <w:r>
        <w:rPr>
          <w:rFonts w:ascii="Times New Roman" w:hAnsi="Times New Roman" w:eastAsia="Times New Roman"/>
          <w:b w:val="0"/>
          <w:i w:val="0"/>
        </w:rPr>
        <w:t>F1 действия в таблице А.4 намеренно не приводится. Для его вычисления необходим независимый эталон того, какое действие действительно должен выбрать специалист. Контролируемый структурный контракт задаёт только внесённые нарушения и стоимость, но не заменяет экспертный золотой стандарт. Подстановка прокси-метки в качестве экспертного решения создала бы ложное подтверждение.</w:t>
      </w:r>
    </w:p>
    <w:p>
      <w:pPr>
        <w:pStyle w:val="a0"/>
        <w:spacing w:after="80" w:line="276" w:lineRule="auto"/>
        <w:widowControl/>
      </w:pPr>
      <w:r>
        <w:rPr>
          <w:rFonts w:ascii="Times New Roman" w:hAnsi="Times New Roman" w:eastAsia="Times New Roman"/>
          <w:b w:val="0"/>
          <w:i w:val="0"/>
        </w:rPr>
        <w:t>Описательные различия сами по себе недостаточны для научного вывода. Поэтому следующий раздел оценивает устойчивость эффектов относительно повторных разбиений и множественных сравнений.</w:t>
      </w:r>
    </w:p>
    <w:p>
      <w:pPr>
        <w:pStyle w:val="2"/>
        <w:keepNext/>
        <w:keepLines/>
        <w:spacing w:before="200" w:after="120"/>
        <w:keepNext/>
      </w:pPr>
      <w:r>
        <w:rPr>
          <w:rFonts w:ascii="Times New Roman" w:hAnsi="Times New Roman" w:eastAsia="Times New Roman"/>
        </w:rPr>
        <w:t>4.10 Повторные разбиения, доверительные интервалы и статистические проверки</w:t>
      </w:r>
    </w:p>
    <w:p>
      <w:pPr>
        <w:pStyle w:val="FirstParagraph"/>
        <w:widowControl/>
        <w:spacing w:after="80" w:line="276" w:lineRule="auto"/>
        <w:widowControl/>
      </w:pPr>
      <w:r>
        <w:rPr>
          <w:rFonts w:ascii="Times New Roman" w:hAnsi="Times New Roman" w:eastAsia="Times New Roman"/>
          <w:i w:val="0"/>
        </w:rPr>
        <w:t>Статистическая проверка проводилась на нескольких уровнях. Первичная абляция правила использовала десятикратное разбиение и пять независимых случайных состояний, то есть 50 парных сравнений. Финальный подтверждающий протокол расширил проверку до двух реальных наборов, четырёх семейств моделей, десяти разбиений и пяти случайных состояний, что дало 400 парных сравнений. Политики действия оценивались на фиксированной совокупности из 2 500 объектов с парным bootstrap по объектам.</w:t>
      </w:r>
    </w:p>
    <w:p>
      <w:pPr>
        <w:pStyle w:val="a0"/>
        <w:spacing w:before="60" w:after="120"/>
      </w:pPr>
      <w:r>
        <w:rPr>
          <w:rFonts w:ascii="Times New Roman" w:hAnsi="Times New Roman" w:eastAsia="Times New Roman"/>
        </w:rPr>
        <w:t>Повторная проверка на 50 парных сравнениях не выявила практически значимого общего эффекта удаления правила. Полная статистика вынесена в таблицу А.5.</w:t>
      </w:r>
    </w:p>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Точный критерий Мак-Немара для объединённых предсказаний дал 52 случая, где верна только базовая модель, и 46 случаев, где верна только модель после удаления правила; p = 0,6137. Даже статистически различимая разность полноты имеет величину около 0,0014 и не образует практически значимого общего эффекта. Поэтому первичный результат рассматривается как иллюстрация чувствительности конкретного правила, а не как доказательство общей закономерности.</w:t>
      </w:r>
    </w:p>
    <w:p>
      <w:pPr>
        <w:pStyle w:val="aa"/>
        <w:keepNext/>
        <w:keepLines/>
        <w:spacing w:before="120" w:after="80"/>
        <w:jc w:val="center"/>
        <w:keepNext/>
      </w:pPr>
      <w:r>
        <w:rPr>
          <w:rFonts w:ascii="Times New Roman" w:hAnsi="Times New Roman" w:eastAsia="Times New Roman"/>
          <w:b w:val="0"/>
          <w:i w:val="0"/>
        </w:rPr>
        <w:t>Таблица 4.13 — Сводная статистическая проверка H3, H5-P и H6</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Проверка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N</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Эффект и 95%-й ДИ</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p</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Вывод</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H3, все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Риск P7 − P2 = 0,1140; ДИ [0,0684; 0,1604]</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&lt; 0,001</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P7 хуже</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H3, сложные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2 101</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Риск P7 − P2 = 0,0866; ДИ [0,0414; 0,1304]</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0,0006</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P7 хуже</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H5-P</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AUPRC M1 − M0 = 0,0000; ДИ [0,0000; 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Прироста нет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H6</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Δspec = -0,00042; ДИ [-0,07895; 0,07808]</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Разные знаки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Нет общего эффекта</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Для H6 поправка Холма применена к двум заранее зафиксированным репликациям. На Adult получен положительный эффект 0,1283 с скорректированным p &lt; 0,00001, а на Covertype — отрицательный эффект −0,1292. Противоположные знаки не позволяют объявить общий результат, даже если одна отдельная репликация статистически значима. Такой вывод важнее механического требования получить p &lt; 0,05: статистическая значимость не заменяет воспроизводимость направления и практический размер эффекта.</w:t>
      </w:r>
    </w:p>
    <w:p>
      <w:pPr>
        <w:pStyle w:val="a0"/>
        <w:spacing w:after="80" w:line="276" w:lineRule="auto"/>
        <w:widowControl/>
      </w:pPr>
      <w:r>
        <w:rPr>
          <w:rFonts w:ascii="Times New Roman" w:hAnsi="Times New Roman" w:eastAsia="Times New Roman"/>
          <w:b w:val="0"/>
          <w:i w:val="0"/>
        </w:rPr>
        <w:t>Статистическая проверка определяет наличие эффекта, но не показывает, насколько результат зависит от выбранных порогов и входных возмущений. Этот вопрос рассматривается далее.</w:t>
      </w:r>
    </w:p>
    <w:p>
      <w:pPr>
        <w:pStyle w:val="2"/>
        <w:keepNext/>
        <w:keepLines/>
        <w:spacing w:before="200" w:after="120"/>
        <w:keepNext/>
      </w:pPr>
      <w:r>
        <w:rPr>
          <w:rFonts w:ascii="Times New Roman" w:hAnsi="Times New Roman" w:eastAsia="Times New Roman"/>
        </w:rPr>
        <w:t>4.11 Анализ чувствительности действий к параметрам и входным возмущениям</w:t>
      </w:r>
    </w:p>
    <w:p>
      <w:pPr>
        <w:pStyle w:val="FirstParagraph"/>
        <w:widowControl/>
        <w:spacing w:after="80" w:line="276" w:lineRule="auto"/>
        <w:widowControl/>
      </w:pPr>
      <w:r>
        <w:rPr>
          <w:rFonts w:ascii="Times New Roman" w:hAnsi="Times New Roman" w:eastAsia="Times New Roman"/>
          <w:i w:val="0"/>
        </w:rPr>
        <w:t>Анализ чувствительности выполнен относительно калиброванных значений порога уверенности 0,65, порога конфликта 0,10 и порога устойчивости 0,55. Каждый параметр изменялся с множителями 0,50; 0,75; 1,00; 1,25 и 1,50 при фиксированных остальных параметрах. Для каждого значения измерялись доли действий, средняя стоимость, число ложных блокировок и доля объектов, у которых изменилось действие.</w:t>
      </w:r>
    </w:p>
    <w:p>
      <w:pPr>
        <w:pStyle w:val="aa"/>
        <w:keepNext/>
        <w:keepLines/>
        <w:spacing w:before="120" w:after="80"/>
        <w:jc w:val="center"/>
        <w:keepNext/>
      </w:pPr>
      <w:r>
        <w:rPr>
          <w:rFonts w:ascii="Times New Roman" w:hAnsi="Times New Roman" w:eastAsia="Times New Roman"/>
          <w:b w:val="0"/>
          <w:i w:val="0"/>
        </w:rPr>
        <w:t>Таблица 4.14 — Чувствительность действий к калиброванным параметрам</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Параметр</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Множитель</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Порог</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Доля смены действия</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Средняя стоимость</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Увер.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0,325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0,2345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1,1898</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Увер.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0,488</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0,2345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1,1898</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Увер.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Увер.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0,812</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0,2240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1,2035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Увер.</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0,4695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1,4757</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Конфл.</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Конфл.</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Конфл.</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Конфл.</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Конфл.</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0,1805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0,9527</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0,413</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0,0915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1,0582</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0,550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0,688</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0,0920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1,2215</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Уст.</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0,825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0,2285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1,3082</w:t>
            </w:r>
          </w:p>
        </w:tc>
      </w:tr>
    </w:tbl>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141113"/>
            <wp:docPr id="9" name="Picture 9" descr="Рисунок 4.9 — Доля объектов со сменой действия при изменении порогов" title="Рисунок 9"/>
            <wp:cNvGraphicFramePr>
              <a:graphicFrameLocks noChangeAspect="1"/>
            </wp:cNvGraphicFramePr>
            <a:graphic>
              <a:graphicData uri="http://schemas.openxmlformats.org/drawingml/2006/picture">
                <pic:pic>
                  <pic:nvPicPr>
                    <pic:cNvPr id="0" name="fig4_9_sensitivity.png"/>
                    <pic:cNvPicPr/>
                  </pic:nvPicPr>
                  <pic:blipFill>
                    <a:blip r:embed="rId74"/>
                    <a:stretch>
                      <a:fillRect/>
                    </a:stretch>
                  </pic:blipFill>
                  <pic:spPr>
                    <a:xfrm>
                      <a:off x="0" y="0"/>
                      <a:ext cx="5580000" cy="3141113"/>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4.9 — Доля объектов со сменой действия при изменении порогов</w:t>
      </w:r>
    </w:p>
    <w:p>
      <w:pPr>
        <w:pStyle w:val="a0"/>
        <w:widowControl/>
        <w:spacing w:after="80" w:line="276" w:lineRule="auto"/>
        <w:widowControl/>
      </w:pPr>
      <w:r>
        <w:rPr>
          <w:rFonts w:ascii="Times New Roman" w:hAnsi="Times New Roman" w:eastAsia="Times New Roman"/>
          <w:i w:val="0"/>
        </w:rPr>
        <w:t>Наиболее чувствительным параметром является порог уверенности: при увеличении в 1,5 раза действие меняется для 46,95% объектов. В исследованном диапазоне изменение порога конфликта не изменило действие, что указывает на отсутствие активной границы по этому параметру в данной выборке. Изменение порога устойчивости приводит к смене действия для 9,15–22,85% объектов в зависимости от направления отклонения. Средняя робастность действия Krob равна 0,883, минимальное значение по объектам — 0,733.</w:t>
      </w:r>
    </w:p>
    <w:p>
      <w:pPr>
        <w:pStyle w:val="aa"/>
        <w:keepNext/>
        <w:keepLines/>
        <w:spacing w:before="120" w:after="80"/>
        <w:jc w:val="center"/>
        <w:keepNext/>
      </w:pPr>
      <w:r>
        <w:rPr>
          <w:rFonts w:ascii="Times New Roman" w:hAnsi="Times New Roman" w:eastAsia="Times New Roman"/>
          <w:b w:val="0"/>
          <w:i w:val="0"/>
        </w:rPr>
        <w:t>Таблица 4.15 — Чувствительность прогноза к входным возмущениям</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tblHeader w:val="true"/>
          <w:cantSplit/>
          <w:tblHeader w:val="true"/>
          <w:cantSplit w:val="true"/>
        </w:trPr>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Сценарий</w:t>
            </w:r>
          </w:p>
        </w:tc>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Доля изменившихся прогнозов</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Шум признаков</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0,0180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Пропуски с медианным заполнением</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0,0275</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Сдвиг распределения</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0,0850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Смена фоновой выборки</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0,0055</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Максимальная доля изменившихся прогнозов наблюдается при сдвиге распределения и составляет 0,085. Результат не означает универсальной устойчивости модели: он характеризует конкретные интенсивности возмущений, определённые экспериментальным протоколом. Анализ чувствительности показывает области параметрической устойчивости и не используется для выбора новых порогов по тестовой части.</w:t>
      </w:r>
    </w:p>
    <w:p>
      <w:pPr>
        <w:pStyle w:val="a0"/>
        <w:spacing w:before="60" w:after="120"/>
      </w:pPr>
      <w:r>
        <w:rPr>
          <w:rFonts w:ascii="Times New Roman" w:hAnsi="Times New Roman" w:eastAsia="Times New Roman"/>
        </w:rPr>
        <w:t>Измеренная устойчивость локальных объяснений составила 0,9977 в предусмотренном протоколе, но отдельная устойчивость набора правил не оценивалась. Полная детализация приведена в таблице А.6.</w:t>
      </w:r>
    </w:p>
    <w:p>
      <w:pPr>
        <w:pStyle w:val="a0"/>
        <w:spacing w:after="80" w:line="276" w:lineRule="auto"/>
        <w:widowControl/>
      </w:pPr>
    </w:p>
    <w:p>
      <w:pPr>
        <w:pStyle w:val="a0"/>
        <w:widowControl/>
        <w:spacing w:after="80" w:line="276" w:lineRule="auto"/>
        <w:widowControl/>
      </w:pPr>
      <w:r>
        <w:rPr>
          <w:rFonts w:ascii="Times New Roman" w:hAnsi="Times New Roman" w:eastAsia="Times New Roman"/>
          <w:b w:val="0"/>
          <w:i w:val="0"/>
        </w:rPr>
        <w:t>Измеренная устойчивость SHAP, LIME и совмещённого контура равна 0,9977 в предусмотренном протоколе повторных запусков. Это не позволяет автоматически утверждать, что топ-3 причины сохраняются при любом входном шуме. Специальный эксперимент с Jaccard для уровней σ = 0,05 и σ = 0,20 в доказательном архиве отсутствует; поэтому предлагаемые значения 0,89 и 0,72 в главу не включаются. Таблица А.6 отделяет реально измеренное свойство от ещё не выполненной проверки.</w:t>
      </w:r>
    </w:p>
    <w:p>
      <w:pPr>
        <w:pStyle w:val="a0"/>
        <w:spacing w:after="80" w:line="276" w:lineRule="auto"/>
        <w:widowControl/>
      </w:pPr>
      <w:r>
        <w:rPr>
          <w:rFonts w:ascii="Times New Roman" w:hAnsi="Times New Roman" w:eastAsia="Times New Roman"/>
          <w:b w:val="0"/>
          <w:i w:val="0"/>
        </w:rPr>
        <w:t>Анализ чувствительности показывает локальные области устойчивости параметров. Отдельно необходимо проверить, сохраняет ли выбор минимально достаточного класса то же действие, что и наиболее полное представление.</w:t>
      </w:r>
    </w:p>
    <w:p>
      <w:pPr>
        <w:pStyle w:val="2"/>
        <w:keepNext/>
        <w:keepLines/>
        <w:spacing w:before="200" w:after="120"/>
        <w:keepNext/>
      </w:pPr>
      <w:r>
        <w:rPr>
          <w:rFonts w:ascii="Times New Roman" w:hAnsi="Times New Roman" w:eastAsia="Times New Roman"/>
        </w:rPr>
        <w:t>4.12 Влияние класса представления неопределённости на действие</w:t>
      </w:r>
    </w:p>
    <w:p>
      <w:pPr>
        <w:pStyle w:val="FirstParagraph"/>
        <w:widowControl/>
        <w:spacing w:after="80" w:line="276" w:lineRule="auto"/>
        <w:widowControl/>
      </w:pPr>
      <w:r>
        <w:rPr>
          <w:rFonts w:ascii="Times New Roman" w:hAnsi="Times New Roman" w:eastAsia="Times New Roman"/>
          <w:i w:val="0"/>
        </w:rPr>
        <w:t>Иерархия представлений проверена не только по средней сложности, но и по результатам действия для каждого из 504 260 объектов. Постоянные режимы сопоставлены с FML на одних и тех же объектах. Адаптивный селектор выбирает минимальный класс, покрывающий измеренный профиль, поэтому его действие должно совпадать с FML, если снижение сложности не приводит к недопокрытию.</w:t>
      </w:r>
    </w:p>
    <w:p>
      <w:pPr>
        <w:pStyle w:val="aa"/>
        <w:keepNext/>
        <w:keepLines/>
        <w:spacing w:before="120" w:after="80"/>
        <w:jc w:val="center"/>
        <w:keepNext/>
      </w:pPr>
      <w:r>
        <w:rPr>
          <w:rFonts w:ascii="Times New Roman" w:hAnsi="Times New Roman" w:eastAsia="Times New Roman"/>
          <w:b w:val="0"/>
          <w:i w:val="0"/>
        </w:rPr>
        <w:t>Таблица 4.16 — Перекрёстное сопоставление действий с постоянным FML</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Режим</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Принято в обоих</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Проверка в обоих</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Проверка → принятие</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Изменено</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Доля</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182122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177282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144856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144856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0,2873</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Fint</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182122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177282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144856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144856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0,2873</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NAS</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326978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177282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adaptive</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326978</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177282</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При принудительном использовании F0 или Fint вместо FML действие меняется у 144 856 объектов: недостаточное представление переводит их из автоматического принятия в проверку. NAS и адаптивный режим полностью совпадают с FML по действиям на измеренной совокупности. Для адаптивного режима это не отсутствие эффекта иерархии, а ожидаемый критерий корректности: селектор снижает среднюю сложность с 8 до 3,137, сохраняя действие более полного представления для всех 504 260 объектов.</w:t>
      </w:r>
    </w:p>
    <w:p>
      <w:pPr>
        <w:pStyle w:val="a0"/>
        <w:widowControl/>
        <w:spacing w:after="80" w:line="276" w:lineRule="auto"/>
        <w:widowControl/>
      </w:pPr>
      <w:r>
        <w:rPr>
          <w:rFonts w:ascii="Times New Roman" w:hAnsi="Times New Roman" w:eastAsia="Times New Roman"/>
          <w:i w:val="0"/>
        </w:rPr>
        <w:t>Следовательно, влияние иерархии проявляется в двух формах. Недостаточно выразительный класс способен изменить действие из-за недопокрытия; минимально достаточный адаптивный класс сохраняет действие FML без его постоянной вычислительной сложности и сложности представления. Научный результат H4 относится именно к сохранению действия при снижении сложности, а не к обязательной смене действия адаптивным селектором.</w:t>
      </w:r>
    </w:p>
    <w:p>
      <w:pPr>
        <w:pStyle w:val="a0"/>
        <w:spacing w:after="80" w:line="276" w:lineRule="auto"/>
        <w:widowControl/>
      </w:pPr>
      <w:r>
        <w:rPr>
          <w:rFonts w:ascii="Times New Roman" w:hAnsi="Times New Roman" w:eastAsia="Times New Roman"/>
          <w:b w:val="0"/>
          <w:i w:val="0"/>
        </w:rPr>
        <w:t>Совпадение действий адаптивного режима с FML подтверждает корректность редукции, но не заменяет анализа исходов на всей выборке. Поэтому далее рассматриваются верные и ошибочные автоматические решения и нагрузка на проверку.</w:t>
      </w:r>
    </w:p>
    <w:p>
      <w:pPr>
        <w:pStyle w:val="2"/>
        <w:keepNext/>
        <w:keepLines/>
        <w:spacing w:before="200" w:after="120"/>
        <w:keepNext/>
      </w:pPr>
      <w:r>
        <w:rPr>
          <w:rFonts w:ascii="Times New Roman" w:hAnsi="Times New Roman" w:eastAsia="Times New Roman"/>
        </w:rPr>
        <w:t>4.13 Статистика действий на всей исследованной выборке</w:t>
      </w:r>
    </w:p>
    <w:p>
      <w:pPr>
        <w:pStyle w:val="FirstParagraph"/>
        <w:widowControl/>
        <w:spacing w:after="80" w:line="276" w:lineRule="auto"/>
        <w:widowControl/>
      </w:pPr>
      <w:r>
        <w:rPr>
          <w:rFonts w:ascii="Times New Roman" w:hAnsi="Times New Roman" w:eastAsia="Times New Roman"/>
          <w:i w:val="0"/>
        </w:rPr>
        <w:t>Единичный сквозной пример используется только для демонстрации маршрута и не является статистическим доказательством. Основной анализ действий выполнен на всей фиксированной совокупности из 2 500 объектов четырёх реальных контуров. В таблице сопоставлены сильнейшая простая пороговая политика P2 и адаптивная политика P7.</w:t>
      </w:r>
    </w:p>
    <w:p>
      <w:pPr>
        <w:pStyle w:val="aa"/>
        <w:keepNext/>
        <w:keepLines/>
        <w:spacing w:before="120" w:after="80"/>
        <w:jc w:val="center"/>
        <w:keepNext/>
      </w:pPr>
      <w:r>
        <w:rPr>
          <w:rFonts w:ascii="Times New Roman" w:hAnsi="Times New Roman" w:eastAsia="Times New Roman"/>
          <w:b w:val="0"/>
          <w:i w:val="0"/>
        </w:rPr>
        <w:t>Таблица 4.17 — Матрица исходов действий на полной реальной выборке</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tblHeader w:val="true"/>
          <w:cantSplit/>
          <w:tblHeader w:val="true"/>
          <w:cantSplit w:val="true"/>
        </w:trPr>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Политика</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Принято верно</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Принято ошибочно</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Передано на проверку, прогноз верен</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Передано на проверку, прогноз ошибочен</w:t>
            </w:r>
          </w:p>
        </w:tc>
        <w:tc>
          <w:tcPr>
            <w:tcW w:type="dxa" w:w="155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Всего</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P2, порог 0,75</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806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871</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710</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w:t>
            </w:r>
          </w:p>
        </w:tc>
      </w:tr>
      <w:tr>
        <w:trPr>
          <w:cantSplit/>
          <w:cantSplit/>
          <w:cantSplit w:val="true"/>
        </w:trPr>
        <w:tc>
          <w:tcPr>
            <w:tcW w:type="dxa" w:w="155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P7, адаптивная</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333</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66</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1344</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757</w:t>
            </w:r>
          </w:p>
        </w:tc>
        <w:tc>
          <w:tcPr>
            <w:tcW w:type="dxa" w:w="155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2 500</w:t>
            </w:r>
          </w:p>
        </w:tc>
      </w:tr>
    </w:tbl>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580000" cy="3391192"/>
            <wp:docPr id="10" name="Picture 10" descr="Рисунок 4.10 — Распределение исходов действий для P2 и P7" title="Рисунок 10"/>
            <wp:cNvGraphicFramePr>
              <a:graphicFrameLocks noChangeAspect="1"/>
            </wp:cNvGraphicFramePr>
            <a:graphic>
              <a:graphicData uri="http://schemas.openxmlformats.org/drawingml/2006/picture">
                <pic:pic>
                  <pic:nvPicPr>
                    <pic:cNvPr id="0" name="fig4_10_action_outcomes.png"/>
                    <pic:cNvPicPr/>
                  </pic:nvPicPr>
                  <pic:blipFill>
                    <a:blip r:embed="rId75"/>
                    <a:stretch>
                      <a:fillRect/>
                    </a:stretch>
                  </pic:blipFill>
                  <pic:spPr>
                    <a:xfrm>
                      <a:off x="0" y="0"/>
                      <a:ext cx="5580000" cy="3391192"/>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4.10 — Распределение исходов действий для P2 и P7</w:t>
      </w:r>
    </w:p>
    <w:p>
      <w:pPr>
        <w:pStyle w:val="a0"/>
        <w:widowControl/>
        <w:spacing w:after="80" w:line="276" w:lineRule="auto"/>
        <w:widowControl/>
      </w:pPr>
      <w:r>
        <w:rPr>
          <w:rFonts w:ascii="Times New Roman" w:hAnsi="Times New Roman" w:eastAsia="Times New Roman"/>
          <w:i w:val="0"/>
        </w:rPr>
        <w:t>P7 уменьшает число ошибочно принятых объектов с 113 до 66, но одновременно увеличивает число объектов, направленных на проверку, с 1 581 до 2 101. При принятой функции стоимости это приводит к большему риску. Поэтому уменьшение абсолютного числа автоматических ошибок нельзя само по себе объявлять практическим превосходством без учёта покрытия и стоимости проверки.</w:t>
      </w:r>
    </w:p>
    <w:p>
      <w:pPr>
        <w:pStyle w:val="aa"/>
        <w:keepNext/>
        <w:keepLines/>
        <w:spacing w:before="120" w:after="80"/>
        <w:jc w:val="center"/>
        <w:keepNext/>
      </w:pPr>
      <w:r>
        <w:rPr>
          <w:rFonts w:ascii="Times New Roman" w:hAnsi="Times New Roman" w:eastAsia="Times New Roman"/>
          <w:b w:val="0"/>
          <w:i w:val="0"/>
        </w:rPr>
        <w:t>Таблица 4.18 — Распределение действий и качество модели на полном контролируемом контуре из 10 000 объектов</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tblHeader w:val="true"/>
          <w:cantSplit/>
          <w:tblHeader w:val="true"/>
          <w:cantSplit w:val="true"/>
        </w:trPr>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Показатель</w:t>
            </w:r>
          </w:p>
        </w:tc>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Значение</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Принять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5 667</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Проверить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4 328</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Блокировать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Точность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0,7716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AUROC</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0,8556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F1</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0,7750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Ожидаемая калибровочная ошибка</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0,0114</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Доля критического разрыва</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0,00050</w:t>
            </w:r>
          </w:p>
        </w:tc>
      </w:tr>
    </w:tbl>
    <w:p>
      <w:pPr>
        <w:pStyle w:val="a0"/>
        <w:spacing w:after="80" w:line="276" w:lineRule="auto"/>
        <w:widowControl/>
      </w:pPr>
    </w:p>
    <w:p>
      <w:pPr>
        <w:pStyle w:val="a0"/>
        <w:widowControl/>
        <w:spacing w:after="80" w:line="276" w:lineRule="auto"/>
        <w:widowControl/>
      </w:pPr>
      <w:r>
        <w:rPr>
          <w:rFonts w:ascii="Times New Roman" w:hAnsi="Times New Roman" w:eastAsia="Times New Roman"/>
          <w:i w:val="0"/>
        </w:rPr>
        <w:t>Все пять блокировок в контролируемом контуре относились к правильным прогнозам и поэтому являются ложными блокировками относительно истинной метки. Этот результат дополнительно запрещает интерпретировать блокировку как доказательство ошибки модели. Структурный разрыв указывает на нарушение маршрута, а не на неправильность прогноза.</w:t>
      </w:r>
    </w:p>
    <w:p>
      <w:pPr>
        <w:pStyle w:val="a0"/>
        <w:spacing w:after="80" w:line="276" w:lineRule="auto"/>
        <w:widowControl/>
      </w:pPr>
      <w:r>
        <w:rPr>
          <w:rFonts w:ascii="Times New Roman" w:hAnsi="Times New Roman" w:eastAsia="Times New Roman"/>
          <w:b w:val="0"/>
          <w:i w:val="0"/>
        </w:rPr>
        <w:t>Матрица исходов показывает, что структурная блокировка и ошибка прогноза не тождественны. Воспроизводимость этих выводов требует отдельной фиксации данных, версий, команд и контрольных сумм.</w:t>
      </w:r>
    </w:p>
    <w:p>
      <w:pPr>
        <w:pStyle w:val="2"/>
        <w:keepNext/>
        <w:keepLines/>
        <w:spacing w:before="200" w:after="120"/>
        <w:keepNext/>
      </w:pPr>
      <w:r>
        <w:rPr>
          <w:rFonts w:ascii="Times New Roman" w:hAnsi="Times New Roman" w:eastAsia="Times New Roman"/>
        </w:rPr>
        <w:t>4.14 Воспроизводимость и качественная оценка объяснений</w:t>
      </w:r>
    </w:p>
    <w:p>
      <w:pPr>
        <w:pStyle w:val="FirstParagraph"/>
        <w:widowControl/>
        <w:spacing w:after="80" w:line="276" w:lineRule="auto"/>
        <w:widowControl/>
      </w:pPr>
      <w:r>
        <w:rPr>
          <w:rFonts w:ascii="Times New Roman" w:hAnsi="Times New Roman" w:eastAsia="Times New Roman"/>
        </w:rPr>
        <w:t>Воспроизводимость фиксируется не ссылкой на репозиторий, а исполнимым протоколом. Итоговый контур связан с коммитом e34e52fb8ae62ee1be043d6d5b26a0c9214a0572, использует Python 3.11.15, однопоточный профиль full_q1_final и контейнерную команду, выполняющую обучение, измерение гипотез, построение таблиц и архивную проверку.</w:t>
      </w:r>
    </w:p>
    <w:p>
      <w:pPr>
        <w:pStyle w:val="a0"/>
        <w:spacing w:before="60" w:after="120"/>
      </w:pPr>
      <w:r>
        <w:rPr>
          <w:rFonts w:ascii="Times New Roman" w:hAnsi="Times New Roman" w:eastAsia="Times New Roman"/>
        </w:rPr>
        <w:t>Воспроизводимый запуск зафиксирован версией кода, окружением, однопоточным режимом, контейнерной командой и контрольными суммами. Полный технический паспорт приведён в таблице А.7.</w:t>
      </w:r>
    </w:p>
    <w:p>
      <w:pPr>
        <w:pStyle w:val="a0"/>
        <w:spacing w:after="80" w:line="276" w:lineRule="auto"/>
        <w:widowControl/>
      </w:pPr>
    </w:p>
    <w:p>
      <w:pPr>
        <w:pStyle w:val="a0"/>
        <w:widowControl/>
        <w:spacing w:after="80" w:line="276" w:lineRule="auto"/>
        <w:widowControl/>
      </w:pPr>
      <w:r>
        <w:rPr>
          <w:rFonts w:ascii="Times New Roman" w:hAnsi="Times New Roman" w:eastAsia="Times New Roman"/>
          <w:b w:val="0"/>
          <w:i w:val="0"/>
        </w:rPr>
        <w:t>В воспроизводимый архив входят Dockerfile.q1-final, docker-compose.q1-final.yml, requirements.lock, конфигурация протокола, фиксированные идентификаторы объектов, манифесты данных, исходные JSON/CSV/Parquet, скрипты построения таблиц и рисунков и контрольные суммы. Полный запуск выполняется командой make reproduce-q1-final или эквивалентной контейнерной командой, приведённой в таблице А.7.</w:t>
      </w:r>
    </w:p>
    <w:p>
      <w:pPr>
        <w:pStyle w:val="a0"/>
        <w:widowControl/>
        <w:spacing w:after="80" w:line="276" w:lineRule="auto"/>
        <w:widowControl/>
      </w:pPr>
      <w:r>
        <w:t>Автоматизированная предварительная проверка выявила, что пользовательские карточки нуждаются в более явном описании ограничений и в пояснении технических терминов. После редакционной доработки материалы были представлены людям, изучающим методы объяснимого искусственного интеллекта. Их качественная оценка совпала с направлением предварительных замечаний: переработанные формулировки были восприняты как понятные, логически последовательные и приемлемые для чтения. Индивидуальные анкеты и количественный протокол не сохранялись, поэтому данный этап используется как качественная оценка понятности, а не как статистическое доказательство эффективности метода.</w:t>
      </w:r>
    </w:p>
    <w:p>
      <w:pPr>
        <w:pStyle w:val="aa"/>
        <w:keepNext/>
        <w:keepLines/>
        <w:spacing w:before="120" w:after="80"/>
        <w:jc w:val="center"/>
        <w:keepNext/>
      </w:pPr>
      <w:r>
        <w:rPr>
          <w:rFonts w:ascii="Times New Roman" w:hAnsi="Times New Roman" w:eastAsia="Times New Roman"/>
        </w:rPr>
        <w:t>Таблица 4.19 — Состояние оценки пользовательских объяснений</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tblHeader w:val="true"/>
          <w:cantSplit/>
          <w:tblHeader w:val="true"/>
          <w:cantSplit w:val="true"/>
        </w:trPr>
        <w:tc>
          <w:tcPr>
            <w:tcW w:type="dxa" w:w="3118"/>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9"/>
              </w:rPr>
            </w:r>
            <w:r>
              <w:rPr>
                <w:rFonts w:ascii="Times New Roman" w:hAnsi="Times New Roman" w:eastAsia="Times New Roman"/>
                <w:b/>
                <w:sz w:val="19"/>
              </w:rPr>
              <w:t>Вид оценки</w:t>
            </w:r>
          </w:p>
        </w:tc>
        <w:tc>
          <w:tcPr>
            <w:tcW w:type="dxa" w:w="3118"/>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9"/>
              </w:rPr>
            </w:r>
            <w:r>
              <w:rPr>
                <w:rFonts w:ascii="Times New Roman" w:hAnsi="Times New Roman" w:eastAsia="Times New Roman"/>
                <w:b/>
                <w:sz w:val="19"/>
              </w:rPr>
              <w:t>Состояние</w:t>
            </w:r>
          </w:p>
        </w:tc>
        <w:tc>
          <w:tcPr>
            <w:tcW w:type="dxa" w:w="3118"/>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9"/>
              </w:rPr>
            </w:r>
            <w:r>
              <w:rPr>
                <w:rFonts w:ascii="Times New Roman" w:hAnsi="Times New Roman" w:eastAsia="Times New Roman"/>
                <w:b/>
                <w:sz w:val="19"/>
              </w:rPr>
              <w:t>Допустимая интерпретация</w:t>
            </w:r>
          </w:p>
        </w:tc>
      </w:tr>
      <w:tr>
        <w:trPr>
          <w:cantSplit/>
          <w:cantSplit/>
          <w:cantSplit w:val="true"/>
        </w:trPr>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Автоматизированная предварительная проверка</w:t>
            </w:r>
          </w:p>
        </w:tc>
        <w:tc>
          <w:tcPr>
            <w:tcW w:type="dxa" w:w="3118"/>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Проведена</w:t>
            </w:r>
          </w:p>
        </w:tc>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Выявлены недостаточно явные ограничения и необъяснённые технические термины</w:t>
            </w:r>
          </w:p>
        </w:tc>
      </w:tr>
      <w:tr>
        <w:trPr>
          <w:cantSplit/>
          <w:cantSplit/>
          <w:cantSplit w:val="true"/>
        </w:trPr>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Качественная пользовательская оценка</w:t>
            </w:r>
          </w:p>
        </w:tc>
        <w:tc>
          <w:tcPr>
            <w:tcW w:type="dxa" w:w="3118"/>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Проведена с участием людей, изучающих XAI</w:t>
            </w:r>
          </w:p>
        </w:tc>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После редакционной доработки объяснения оценены как понятные и приемлемые</w:t>
            </w:r>
          </w:p>
        </w:tc>
      </w:tr>
      <w:tr>
        <w:trPr>
          <w:cantSplit/>
          <w:cantSplit/>
          <w:cantSplit w:val="true"/>
        </w:trPr>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Предметная эффективность и безопасность</w:t>
            </w:r>
          </w:p>
        </w:tc>
        <w:tc>
          <w:tcPr>
            <w:tcW w:type="dxa" w:w="3118"/>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Не оценивались</w:t>
            </w:r>
          </w:p>
        </w:tc>
        <w:tc>
          <w:tcPr>
            <w:tcW w:type="dxa" w:w="311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Положительная оценка текста не используется как доказательство правильности действия</w:t>
            </w:r>
          </w:p>
        </w:tc>
      </w:tr>
    </w:tbl>
    <w:p>
      <w:pPr>
        <w:pStyle w:val="a0"/>
        <w:spacing w:after="80" w:line="276" w:lineRule="auto"/>
        <w:widowControl/>
      </w:pPr>
    </w:p>
    <w:p>
      <w:pPr>
        <w:pStyle w:val="a0"/>
        <w:widowControl/>
        <w:spacing w:after="80" w:line="276" w:lineRule="auto"/>
        <w:widowControl/>
      </w:pPr>
      <w:r>
        <w:t>Таким образом, технические, статистические и воспроизводимые свойства метода подтверждаются количественными экспериментами, а понятность пользовательского представления дополнительно проверена качественно с участием людей, изучающих объяснимый искусственный интеллект. Эта оценка поддерживает ясность переработанного текста, но не используется для вывода о повышении точности, безопасности или экономической эффективности применения.</w:t>
      </w:r>
    </w:p>
    <w:p>
      <w:pPr>
        <w:pStyle w:val="a0"/>
        <w:spacing w:before="60" w:after="120"/>
      </w:pPr>
      <w:r>
        <w:t>Автоматизированная предварительная проверка выявила недостаточную полноту ограничений и необъяснённые технические термины. После устранения этих недостатков результат был сопоставлен с качественными отзывами людей, изучающих объяснимый искусственный интеллект; основные направления замечаний совпали. Полные оценки автоматизированного этапа приведены в таблице А.8.</w:t>
      </w:r>
    </w:p>
    <w:p>
      <w:pPr>
        <w:pStyle w:val="a0"/>
        <w:spacing w:after="80" w:line="276" w:lineRule="auto"/>
        <w:widowControl/>
      </w:pPr>
    </w:p>
    <w:p>
      <w:pPr>
        <w:pStyle w:val="a0"/>
        <w:widowControl/>
        <w:spacing w:after="80" w:line="276" w:lineRule="auto"/>
        <w:widowControl/>
      </w:pPr>
      <w:r>
        <w:t>Автоматизированное рецензирование охватило 240 случаев и 720 слепых вариантов в 12 пакетах. На этом этапе были отмечены пропущенные ограничения и необъяснённые технические термины. Эти замечания использовались не как самостоятельный научный результат, а как основание для редакционной переработки пользовательских карточек перед их оценкой людьми.</w:t>
      </w:r>
    </w:p>
    <w:p>
      <w:pPr>
        <w:pStyle w:val="a0"/>
        <w:widowControl/>
        <w:spacing w:after="80" w:line="276" w:lineRule="auto"/>
        <w:widowControl/>
      </w:pPr>
      <w:r>
        <w:t>Сопоставление двух этапов показало практическую полезность последовательной редакционной процедуры: автоматизированная проверка помогла локализовать типовые недостатки, а качественная оценка участниками подтвердила, что после исправлений объяснения стали понятными и приемлемыми. При этом предметная безопасность и преимущество выбранного действия не выводятся из оценки текста.</w:t>
      </w:r>
    </w:p>
    <w:p>
      <w:pPr>
        <w:pStyle w:val="aa"/>
        <w:keepNext/>
        <w:keepLines/>
        <w:spacing w:before="120" w:after="80"/>
        <w:jc w:val="center"/>
        <w:keepNext/>
      </w:pPr>
      <w:r>
        <w:rPr>
          <w:rFonts w:ascii="Times New Roman" w:hAnsi="Times New Roman" w:eastAsia="Times New Roman"/>
        </w:rPr>
        <w:t>Таблица 4.20 — Результаты качественной доработки пользовательских объяснений</w:t>
      </w:r>
    </w:p>
    <w:tbl>
      <w:tblPr>
        <w:tblStyle w:val="af1"/>
        <w:tblW w:type="dxa" w:w="9355"/>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587"/>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8"/>
              </w:rPr>
            </w:r>
            <w:r>
              <w:rPr>
                <w:rFonts w:ascii="Times New Roman" w:hAnsi="Times New Roman" w:eastAsia="Times New Roman"/>
                <w:b/>
                <w:sz w:val="18"/>
              </w:rPr>
              <w:t>Аспект</w:t>
            </w:r>
          </w:p>
        </w:tc>
        <w:tc>
          <w:tcPr>
            <w:tcW w:type="dxa" w:w="1757"/>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8"/>
              </w:rPr>
            </w:r>
            <w:r>
              <w:rPr>
                <w:rFonts w:ascii="Times New Roman" w:hAnsi="Times New Roman" w:eastAsia="Times New Roman"/>
                <w:b/>
                <w:sz w:val="18"/>
              </w:rPr>
              <w:t>Участники</w:t>
            </w:r>
          </w:p>
        </w:tc>
        <w:tc>
          <w:tcPr>
            <w:tcW w:type="dxa" w:w="1927"/>
            <w:vAlign w:val="center"/>
            <w:shd w:fill="D9D9D9" w:val="clear"/>
            <w:tcMar>
              <w:top w:w="70" w:type="dxa"/>
              <w:start w:w="80" w:type="dxa"/>
              <w:bottom w:w="70" w:type="dxa"/>
              <w:end w:w="80" w:type="dxa"/>
            </w:tcMar>
          </w:tcPr>
          <w:p>
            <w:pPr>
              <w:spacing w:before="0" w:after="0" w:line="240" w:lineRule="auto"/>
              <w:jc w:val="left"/>
            </w:pPr>
            <w:r>
              <w:rPr>
                <w:rFonts w:ascii="Times New Roman" w:hAnsi="Times New Roman" w:eastAsia="Times New Roman"/>
                <w:b/>
                <w:sz w:val="18"/>
              </w:rPr>
            </w:r>
            <w:r>
              <w:rPr>
                <w:rFonts w:ascii="Times New Roman" w:hAnsi="Times New Roman" w:eastAsia="Times New Roman"/>
                <w:b/>
                <w:sz w:val="18"/>
              </w:rPr>
              <w:t>Исходное замечание</w:t>
            </w:r>
          </w:p>
        </w:tc>
        <w:tc>
          <w:tcPr>
            <w:tcW w:type="dxa" w:w="2494"/>
            <w:vAlign w:val="center"/>
            <w:shd w:fill="D9D9D9" w:val="clear"/>
            <w:tcMar>
              <w:top w:w="70" w:type="dxa"/>
              <w:start w:w="80" w:type="dxa"/>
              <w:bottom w:w="70" w:type="dxa"/>
              <w:end w:w="80" w:type="dxa"/>
            </w:tcMar>
          </w:tcPr>
          <w:p>
            <w:pPr>
              <w:jc w:val="center"/>
            </w:pPr>
            <w:r/>
            <w:r>
              <w:rPr>
                <w:rFonts w:ascii="Times New Roman" w:hAnsi="Times New Roman"/>
                <w:b/>
                <w:sz w:val="18"/>
              </w:rPr>
              <w:t>Внесённое изменение</w:t>
            </w:r>
          </w:p>
        </w:tc>
        <w:tc>
          <w:tcPr>
            <w:tcW w:type="dxa" w:w="1077"/>
            <w:vAlign w:val="center"/>
            <w:shd w:fill="D9D9D9" w:val="clear"/>
            <w:tcMar>
              <w:top w:w="70" w:type="dxa"/>
              <w:start w:w="80" w:type="dxa"/>
              <w:bottom w:w="70" w:type="dxa"/>
              <w:end w:w="80" w:type="dxa"/>
            </w:tcMar>
          </w:tcPr>
          <w:p>
            <w:pPr>
              <w:spacing w:before="0" w:after="0" w:line="240" w:lineRule="auto"/>
              <w:jc w:val="center"/>
            </w:pPr>
            <w:r>
              <w:rPr>
                <w:rFonts w:ascii="Times New Roman" w:hAnsi="Times New Roman" w:eastAsia="Times New Roman"/>
                <w:b/>
                <w:sz w:val="18"/>
              </w:rPr>
            </w:r>
            <w:r>
              <w:rPr>
                <w:rFonts w:ascii="Times New Roman" w:hAnsi="Times New Roman" w:eastAsia="Times New Roman"/>
                <w:b/>
                <w:sz w:val="18"/>
              </w:rPr>
              <w:t>Итог</w:t>
            </w:r>
          </w:p>
        </w:tc>
      </w:tr>
      <w:tr>
        <w:trPr>
          <w:cantSplit/>
          <w:cantSplit/>
          <w:cantSplit w:val="true"/>
        </w:trPr>
        <w:tc>
          <w:tcPr>
            <w:tcW w:type="dxa" w:w="1587"/>
            <w:vAlign w:val="center"/>
            <w:tcMar>
              <w:top w:w="70" w:type="dxa"/>
              <w:start w:w="80" w:type="dxa"/>
              <w:bottom w:w="70" w:type="dxa"/>
              <w:end w:w="80" w:type="dxa"/>
            </w:tcMar>
            <w:shd w:fill="FFFFFF" w:val="clear"/>
          </w:tcPr>
          <w:p>
            <w:pPr>
              <w:spacing w:before="0" w:after="0"/>
              <w:jc w:val="center"/>
            </w:pPr>
            <w:r/>
            <w:r>
              <w:rPr>
                <w:rFonts w:ascii="Times New Roman" w:hAnsi="Times New Roman" w:eastAsia="Times New Roman"/>
                <w:b w:val="0"/>
                <w:sz w:val="18"/>
              </w:rPr>
              <w:t>Термины</w:t>
            </w:r>
          </w:p>
        </w:tc>
        <w:tc>
          <w:tcPr>
            <w:tcW w:type="dxa" w:w="175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Люди, изучающие XAI</w:t>
            </w:r>
          </w:p>
        </w:tc>
        <w:tc>
          <w:tcPr>
            <w:tcW w:type="dxa" w:w="1927"/>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Часть терминов требовала пояснения</w:t>
            </w:r>
          </w:p>
        </w:tc>
        <w:tc>
          <w:tcPr>
            <w:tcW w:type="dxa" w:w="2494"/>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Термины раскрыты при первом употреблении и заменены русскими эквивалентами</w:t>
            </w:r>
          </w:p>
        </w:tc>
        <w:tc>
          <w:tcPr>
            <w:tcW w:type="dxa" w:w="107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Понятно</w:t>
            </w:r>
          </w:p>
        </w:tc>
      </w:tr>
      <w:tr>
        <w:trPr>
          <w:cantSplit/>
          <w:cantSplit/>
          <w:cantSplit w:val="true"/>
        </w:trPr>
        <w:tc>
          <w:tcPr>
            <w:tcW w:type="dxa" w:w="1587"/>
            <w:vAlign w:val="center"/>
            <w:tcMar>
              <w:top w:w="70" w:type="dxa"/>
              <w:start w:w="80" w:type="dxa"/>
              <w:bottom w:w="70" w:type="dxa"/>
              <w:end w:w="80" w:type="dxa"/>
            </w:tcMar>
            <w:shd w:fill="FFFFFF" w:val="clear"/>
          </w:tcPr>
          <w:p>
            <w:pPr>
              <w:jc w:val="center"/>
            </w:pPr>
            <w:r/>
            <w:r>
              <w:rPr>
                <w:rFonts w:ascii="Times New Roman" w:hAnsi="Times New Roman"/>
                <w:sz w:val="18"/>
              </w:rPr>
              <w:t>Границы</w:t>
            </w:r>
          </w:p>
        </w:tc>
        <w:tc>
          <w:tcPr>
            <w:tcW w:type="dxa" w:w="175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Люди, изучающие XAI</w:t>
            </w:r>
          </w:p>
        </w:tc>
        <w:tc>
          <w:tcPr>
            <w:tcW w:type="dxa" w:w="1927"/>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Границы применения были недостаточно заметны</w:t>
            </w:r>
          </w:p>
        </w:tc>
        <w:tc>
          <w:tcPr>
            <w:tcW w:type="dxa" w:w="2494"/>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Ограничения вынесены в явные предложения рядом с результатом</w:t>
            </w:r>
          </w:p>
        </w:tc>
        <w:tc>
          <w:tcPr>
            <w:tcW w:type="dxa" w:w="107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Принято</w:t>
            </w:r>
          </w:p>
        </w:tc>
      </w:tr>
      <w:tr>
        <w:trPr>
          <w:cantSplit/>
          <w:cantSplit/>
          <w:cantSplit w:val="true"/>
        </w:trPr>
        <w:tc>
          <w:tcPr>
            <w:tcW w:type="dxa" w:w="1587"/>
            <w:vAlign w:val="center"/>
            <w:tcMar>
              <w:top w:w="70" w:type="dxa"/>
              <w:start w:w="80" w:type="dxa"/>
              <w:bottom w:w="70" w:type="dxa"/>
              <w:end w:w="80" w:type="dxa"/>
            </w:tcMar>
            <w:shd w:fill="FFFFFF" w:val="clear"/>
          </w:tcPr>
          <w:p>
            <w:pPr>
              <w:spacing w:before="0" w:after="0"/>
              <w:jc w:val="center"/>
            </w:pPr>
            <w:r/>
            <w:r>
              <w:rPr>
                <w:rFonts w:ascii="Times New Roman" w:hAnsi="Times New Roman" w:eastAsia="Times New Roman"/>
                <w:b w:val="0"/>
                <w:sz w:val="18"/>
              </w:rPr>
              <w:t>Действие</w:t>
            </w:r>
          </w:p>
        </w:tc>
        <w:tc>
          <w:tcPr>
            <w:tcW w:type="dxa" w:w="175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Люди, изучающие XAI</w:t>
            </w:r>
          </w:p>
        </w:tc>
        <w:tc>
          <w:tcPr>
            <w:tcW w:type="dxa" w:w="1927"/>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Требовалось отделить ошибку модели от нарушения маршрута</w:t>
            </w:r>
          </w:p>
        </w:tc>
        <w:tc>
          <w:tcPr>
            <w:tcW w:type="dxa" w:w="2494"/>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8"/>
              </w:rPr>
            </w:r>
            <w:r>
              <w:rPr>
                <w:rFonts w:ascii="Times New Roman" w:hAnsi="Times New Roman" w:eastAsia="Times New Roman"/>
                <w:b w:val="0"/>
                <w:sz w:val="18"/>
              </w:rPr>
              <w:t>Два события описаны раздельно и снабжены разными выводами</w:t>
            </w:r>
          </w:p>
        </w:tc>
        <w:tc>
          <w:tcPr>
            <w:tcW w:type="dxa" w:w="1077"/>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8"/>
              </w:rPr>
            </w:r>
            <w:r>
              <w:rPr>
                <w:rFonts w:ascii="Times New Roman" w:hAnsi="Times New Roman" w:eastAsia="Times New Roman"/>
                <w:b w:val="0"/>
                <w:sz w:val="18"/>
              </w:rPr>
              <w:t>Принято</w:t>
            </w:r>
          </w:p>
        </w:tc>
      </w:tr>
    </w:tbl>
    <w:p>
      <w:pPr>
        <w:pStyle w:val="BodyText"/>
        <w:spacing w:before="120" w:after="0"/>
        <w:ind w:firstLine="708"/>
        <w:jc w:val="both"/>
      </w:pPr>
      <w:r>
        <w:rPr>
          <w:rFonts w:ascii="Times New Roman" w:hAnsi="Times New Roman" w:eastAsia="Times New Roman"/>
          <w:sz w:val="28"/>
        </w:rPr>
        <w:t>Качественная оценка не изменяет статусы экспериментальных гипотез H1–H9. Она показывает, что после устранения терминологических и композиционных недостатков пользовательское представление стало приемлемым для аудитории, знакомой с методами объяснимого искусственного интеллекта. При переносе системы в иную предметную область словарь, ограничения и формулировки действий должны быть согласованы с профессиональным языком этой области.</w:t>
      </w:r>
    </w:p>
    <w:p>
      <w:pPr>
        <w:pStyle w:val="a0"/>
        <w:spacing w:after="80" w:line="276" w:lineRule="auto"/>
        <w:widowControl/>
      </w:pPr>
    </w:p>
    <w:p>
      <w:pPr>
        <w:keepNext/>
        <w:jc w:val="center"/>
      </w:pPr>
      <w:r>
        <w:rPr>
          <w:rFonts w:ascii="Times New Roman" w:hAnsi="Times New Roman" w:eastAsia="Times New Roman"/>
        </w:rPr>
        <w:drawing>
          <wp:inline xmlns:a="http://schemas.openxmlformats.org/drawingml/2006/main" xmlns:pic="http://schemas.openxmlformats.org/drawingml/2006/picture">
            <wp:extent cx="5760000" cy="3248435"/>
            <wp:docPr id="11" name="Picture 11" descr="Рисунок 4.11 — Реализованный пример пользовательской карточки объяснения" title="Рисунок 11"/>
            <wp:cNvGraphicFramePr>
              <a:graphicFrameLocks noChangeAspect="1"/>
            </wp:cNvGraphicFramePr>
            <a:graphic>
              <a:graphicData uri="http://schemas.openxmlformats.org/drawingml/2006/picture">
                <pic:pic>
                  <pic:nvPicPr>
                    <pic:cNvPr id="0" name="explanation_card_ru.png"/>
                    <pic:cNvPicPr/>
                  </pic:nvPicPr>
                  <pic:blipFill>
                    <a:blip r:embed="rId76"/>
                    <a:stretch>
                      <a:fillRect/>
                    </a:stretch>
                  </pic:blipFill>
                  <pic:spPr>
                    <a:xfrm>
                      <a:off x="0" y="0"/>
                      <a:ext cx="5760000" cy="3248435"/>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4.11 — Реализованный пример пользовательской карточки объяснения</w:t>
      </w:r>
    </w:p>
    <w:p>
      <w:pPr>
        <w:pStyle w:val="a0"/>
        <w:widowControl/>
        <w:spacing w:after="80" w:line="276" w:lineRule="auto"/>
        <w:widowControl/>
      </w:pPr>
      <w:r>
        <w:t>Рисунок 4.11 демонстрирует фактическую форму вывода: модель и данные, наблюдаемые ограничения, итоговый риск, действие и инструкцию по чтению. После устранения замечаний автоматизированной проверки переработанная карточка была качественно оценена участниками, изучающими объяснимый искусственный интеллект, как понятная и приемлемая. Этот вывод относится к форме представления, а не к предметной правильности прогноза.</w:t>
      </w:r>
    </w:p>
    <w:p>
      <w:pPr>
        <w:keepNext/>
        <w:jc w:val="center"/>
      </w:pPr>
      <w:r>
        <w:rPr>
          <w:rFonts w:ascii="Times New Roman" w:hAnsi="Times New Roman" w:eastAsia="Times New Roman"/>
        </w:rPr>
        <w:drawing>
          <wp:inline xmlns:a="http://schemas.openxmlformats.org/drawingml/2006/main" xmlns:pic="http://schemas.openxmlformats.org/drawingml/2006/picture">
            <wp:extent cx="5760000" cy="4261484"/>
            <wp:docPr id="12" name="Picture 12" descr="Рисунок 4.12 — Аудиторское представление маршрута, источников риска, границы действия и проверки согласованности" title="Рисунок 12"/>
            <wp:cNvGraphicFramePr>
              <a:graphicFrameLocks noChangeAspect="1"/>
            </wp:cNvGraphicFramePr>
            <a:graphic>
              <a:graphicData uri="http://schemas.openxmlformats.org/drawingml/2006/picture">
                <pic:pic>
                  <pic:nvPicPr>
                    <pic:cNvPr id="0" name="operator_dashboard_v3.png"/>
                    <pic:cNvPicPr/>
                  </pic:nvPicPr>
                  <pic:blipFill>
                    <a:blip r:embed="rId77"/>
                    <a:stretch>
                      <a:fillRect/>
                    </a:stretch>
                  </pic:blipFill>
                  <pic:spPr>
                    <a:xfrm>
                      <a:off x="0" y="0"/>
                      <a:ext cx="5760000" cy="4261484"/>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4.12 — Аудиторское представление маршрута, источников риска, границы действия и проверки согласованности</w:t>
      </w:r>
    </w:p>
    <w:p>
      <w:pPr>
        <w:pStyle w:val="a0"/>
        <w:widowControl/>
        <w:spacing w:after="80" w:line="276" w:lineRule="auto"/>
        <w:widowControl/>
      </w:pPr>
      <w:r>
        <w:rPr>
          <w:rFonts w:ascii="Times New Roman" w:hAnsi="Times New Roman" w:eastAsia="Times New Roman"/>
          <w:i w:val="0"/>
        </w:rPr>
        <w:t>Аудиторское представление объединяет маршрут оператора, вклад источников риска, положение относительно границы действия и матрицу согласованности доказательного пакета. Оно предназначено для технического анализа и не заменяет пользовательскую карточку. Разделение этих уровней предотвращает смешение инженерной прослеживаемости и доступности текста для неспециалиста.</w:t>
      </w:r>
    </w:p>
    <w:p>
      <w:pPr>
        <w:pStyle w:val="a0"/>
        <w:spacing w:after="80" w:line="276" w:lineRule="auto"/>
        <w:widowControl/>
      </w:pPr>
      <w:r>
        <w:rPr>
          <w:rFonts w:ascii="Times New Roman" w:hAnsi="Times New Roman" w:eastAsia="Times New Roman"/>
          <w:b w:val="0"/>
          <w:i w:val="0"/>
        </w:rPr>
        <w:t>Первая доказательная линия выявила как подтверждённые свойства, так и ограничения. Для проверки более узких утверждений был сформирован независимый контур на новых наборах данных.</w:t>
      </w:r>
    </w:p>
    <w:p>
      <w:pPr>
        <w:pStyle w:val="2"/>
        <w:keepNext/>
        <w:keepLines/>
        <w:pageBreakBefore/>
        <w:spacing w:before="200" w:after="120"/>
        <w:keepNext/>
      </w:pPr>
      <w:r>
        <w:rPr>
          <w:rFonts w:ascii="Times New Roman" w:hAnsi="Times New Roman" w:eastAsia="Times New Roman"/>
          <w:b w:val="0"/>
          <w:i w:val="0"/>
        </w:rPr>
        <w:t>4.15 Независимый подтверждающий контур и доказательная линия v1.3.0</w:t>
      </w:r>
    </w:p>
    <w:p>
      <w:pPr>
        <w:pStyle w:val="FirstParagraph"/>
        <w:spacing w:after="80" w:line="276" w:lineRule="auto"/>
        <w:widowControl/>
      </w:pPr>
      <w:r>
        <w:rPr>
          <w:rFonts w:ascii="Times New Roman" w:hAnsi="Times New Roman" w:eastAsia="Times New Roman"/>
        </w:rPr>
        <w:t>Настоящий раздел дополняет первоначальную многомодальную программу главы независимым контуром, сформированным после фиксации результатов H1–H6. Он не заменяет прежние эксперименты и не переименовывает отрицательные гипотезы. Его назначение состоит в проверке новых, более узких утверждений H3-P1–H3-P4, H5-A, H6-A, H6-B, H7-A, H7-B, H8 и H9 на новой доказательной линии.</w:t>
      </w:r>
    </w:p>
    <w:p>
      <w:pPr>
        <w:pStyle w:val="a8"/>
        <w:spacing w:before="100" w:after="140"/>
        <w:ind w:left="397" w:right="227"/>
      </w:pPr>
      <w:r>
        <w:rPr>
          <w:rFonts w:ascii="Times New Roman" w:hAnsi="Times New Roman" w:eastAsia="Times New Roman"/>
          <w:i/>
        </w:rPr>
        <w:t>Общие ограничения новых экспериментов. H5-A относится к зарегистрированной библиотеке контролируемых нарушений, H6-A — к синтетической области обнаружимости, H8 — к анализу чувствительности без целевых меток, H9 — к одному окружению и кэшированному операторному слою без стоимости исходного объяснителя. Ни один из этих результатов не переносится автоматически на неизвестные производственные сбои, реальные правила вне заданной области, универсальную устойчивость объяснений или полный сквозной конвейер.</w:t>
      </w:r>
    </w:p>
    <w:p>
      <w:pPr>
        <w:pStyle w:val="a0"/>
        <w:spacing w:after="80" w:line="276" w:lineRule="auto"/>
        <w:widowControl/>
      </w:pPr>
      <w:r>
        <w:t>Хронология имеет методологическое значение. Ранний выпуск e34e52f фиксировал многомодальные результаты; ветка 1f5fd77 подготовила слепую автоматизированную проверку текста; технический выпуск v1.3.0 закрепил код и артефакты. Последующая качественная оценка переработанных объяснений людьми, изучающими объяснимый искусственный интеллект, относится к документальной апробации представления и не изменяет замороженные экспериментальные результаты.</w:t>
      </w:r>
    </w:p>
    <w:p>
      <w:pPr>
        <w:pStyle w:val="a0"/>
        <w:spacing w:before="60" w:after="120"/>
      </w:pPr>
      <w:r>
        <w:t>Последовательность выпусков сохранила ранние отрицательные результаты и отделила техническую готовность от качественной оценки пользовательского представления. Полная линия версий приведена в таблице А.9.</w:t>
      </w:r>
    </w:p>
    <w:p>
      <w:pPr/>
    </w:p>
    <w:p>
      <w:pPr>
        <w:pStyle w:val="3"/>
        <w:keepNext/>
        <w:keepLines/>
        <w:spacing w:before="200" w:after="120"/>
        <w:keepNext/>
      </w:pPr>
      <w:r>
        <w:rPr>
          <w:rFonts w:ascii="Times New Roman" w:hAnsi="Times New Roman" w:eastAsia="Times New Roman"/>
        </w:rPr>
        <w:t>4.15.1 Независимые данные, разделения и контроль утечек</w:t>
      </w:r>
    </w:p>
    <w:p>
      <w:pPr>
        <w:pStyle w:val="FirstParagraph"/>
        <w:spacing w:after="80" w:line="276" w:lineRule="auto"/>
        <w:widowControl/>
      </w:pPr>
      <w:r>
        <w:rPr>
          <w:rFonts w:ascii="Times New Roman" w:hAnsi="Times New Roman" w:eastAsia="Times New Roman"/>
        </w:rPr>
        <w:t>Дополнительный контур включает пять независимых наборов четырёх модальностей: Bank Marketing [24], Default of Credit Card Clients [25], Shoulder Implant X-Ray [26], SMS Spam Collection [27] и UCI HAR Smartphones [28]. Суммарно сформировано 69 827 объектов, полученных вне обучающей складки (OOF) для обучения и разработки и 17 404 объекта контрольной выборки. Пересечение идентификаторов между этими частями равно нулю.</w:t>
      </w:r>
    </w:p>
    <w:p>
      <w:pPr>
        <w:pStyle w:val="aa"/>
        <w:keepNext/>
        <w:keepLines/>
        <w:spacing w:before="120" w:after="80"/>
        <w:jc w:val="center"/>
        <w:keepNext/>
      </w:pPr>
      <w:r>
        <w:rPr>
          <w:rFonts w:ascii="Times New Roman" w:hAnsi="Times New Roman" w:eastAsia="Times New Roman"/>
          <w:b w:val="0"/>
          <w:i w:val="0"/>
        </w:rPr>
        <w:t>Таблица 4.21 — Состав независимого экспериментального контура v1.3.0</w:t>
      </w:r>
    </w:p>
    <w:tbl>
      <w:tblPr>
        <w:tblStyle w:val="af1"/>
        <w:tblW w:type="dxa" w:w="9185"/>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2123"/>
        <w:gridCol w:w="1728"/>
        <w:gridCol w:w="2334"/>
      </w:tblGrid>
      <w:tr>
        <w:trPr>
          <w:tblHeader w:val="true"/>
          <w:cantSplit/>
          <w:cantSplit/>
          <w:tblHeader w:val="true"/>
          <w:tblHeader w:val="true"/>
          <w:cantSplit/>
          <w:tblHeader w:val="true"/>
          <w:cantSplit w:val="true"/>
        </w:trPr>
        <w:tc>
          <w:tcPr>
            <w:tcW w:type="dxa" w:w="300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Набор данных</w:t>
              <w:rPr>
                <w:rFonts w:ascii="Times New Roman" w:hAnsi="Times New Roman" w:eastAsia="Times New Roman" w:cs="Times New Roman"/>
                <w:b/>
                <w:sz w:val="19"/>
                <w:szCs w:val="21"/>
              </w:rPr>
            </w:r>
          </w:p>
        </w:tc>
        <w:tc>
          <w:tcPr>
            <w:tcW w:type="dxa" w:w="2123"/>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Модальность</w:t>
              <w:rPr>
                <w:rFonts w:ascii="Times New Roman" w:hAnsi="Times New Roman" w:eastAsia="Times New Roman" w:cs="Times New Roman"/>
                <w:b/>
                <w:sz w:val="19"/>
                <w:szCs w:val="21"/>
              </w:rPr>
            </w:r>
          </w:p>
        </w:tc>
        <w:tc>
          <w:tcPr>
            <w:tcW w:type="dxa" w:w="172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OOF-выборка</w:t>
              <w:rPr>
                <w:rFonts w:ascii="Times New Roman" w:hAnsi="Times New Roman" w:eastAsia="Times New Roman" w:cs="Times New Roman"/>
                <w:b/>
                <w:sz w:val="19"/>
                <w:szCs w:val="21"/>
              </w:rPr>
            </w:r>
          </w:p>
        </w:tc>
        <w:tc>
          <w:tcPr>
            <w:tcW w:type="dxa" w:w="233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Контрольная выборка</w:t>
              <w:rPr>
                <w:rFonts w:ascii="Times New Roman" w:hAnsi="Times New Roman" w:eastAsia="Times New Roman" w:cs="Times New Roman"/>
                <w:b/>
                <w:sz w:val="19"/>
                <w:szCs w:val="21"/>
              </w:rPr>
            </w:r>
          </w:p>
        </w:tc>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Bank Marketing</w:t>
              <w:rPr>
                <w:rFonts w:ascii="Times New Roman" w:hAnsi="Times New Roman" w:eastAsia="Times New Roman" w:cs="Times New Roman"/>
                <w:b w:val="0"/>
                <w:sz w:val="19"/>
                <w:szCs w:val="21"/>
              </w:rPr>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Табличные данные</w:t>
              <w:rPr>
                <w:rFonts w:ascii="Times New Roman" w:hAnsi="Times New Roman" w:eastAsia="Times New Roman" w:cs="Times New Roman"/>
                <w:b w:val="0"/>
                <w:sz w:val="19"/>
                <w:szCs w:val="21"/>
              </w:rPr>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32 940</w:t>
              <w:rPr>
                <w:rFonts w:ascii="Times New Roman" w:hAnsi="Times New Roman" w:eastAsia="Times New Roman" w:cs="Times New Roman"/>
                <w:b w:val="0"/>
                <w:sz w:val="19"/>
                <w:szCs w:val="21"/>
              </w:rPr>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8 236</w:t>
              <w:rPr>
                <w:rFonts w:ascii="Times New Roman" w:hAnsi="Times New Roman" w:eastAsia="Times New Roman" w:cs="Times New Roman"/>
                <w:b w:val="0"/>
                <w:sz w:val="19"/>
                <w:szCs w:val="21"/>
              </w:rPr>
            </w:r>
          </w:p>
        </w:tc>
        <w:trPr>
          <w:cantSplit/>
          <w:cantSplit/>
          <w:cantSplit/>
          <w:cantSplit w:val="true"/>
        </w:trPr>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Default of Credit Card Clients</w:t>
              <w:rPr>
                <w:rFonts w:ascii="Times New Roman" w:hAnsi="Times New Roman" w:eastAsia="Times New Roman" w:cs="Times New Roman"/>
                <w:b w:val="0"/>
                <w:sz w:val="19"/>
                <w:szCs w:val="21"/>
              </w:rPr>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Табличные данные</w:t>
              <w:rPr>
                <w:rFonts w:ascii="Times New Roman" w:hAnsi="Times New Roman" w:eastAsia="Times New Roman" w:cs="Times New Roman"/>
                <w:b w:val="0"/>
                <w:sz w:val="19"/>
                <w:szCs w:val="21"/>
              </w:rPr>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23 999</w:t>
              <w:rPr>
                <w:rFonts w:ascii="Times New Roman" w:hAnsi="Times New Roman" w:eastAsia="Times New Roman" w:cs="Times New Roman"/>
                <w:b w:val="0"/>
                <w:sz w:val="19"/>
                <w:szCs w:val="21"/>
              </w:rPr>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6 001</w:t>
              <w:rPr>
                <w:rFonts w:ascii="Times New Roman" w:hAnsi="Times New Roman" w:eastAsia="Times New Roman" w:cs="Times New Roman"/>
                <w:b w:val="0"/>
                <w:sz w:val="19"/>
                <w:szCs w:val="21"/>
              </w:rPr>
            </w:r>
          </w:p>
        </w:tc>
        <w:trPr>
          <w:cantSplit/>
          <w:cantSplit/>
          <w:cantSplit/>
          <w:cantSplit w:val="true"/>
        </w:trPr>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Shoulder Implant X-Ray</w:t>
              <w:rPr>
                <w:rFonts w:ascii="Times New Roman" w:hAnsi="Times New Roman" w:eastAsia="Times New Roman" w:cs="Times New Roman"/>
                <w:b w:val="0"/>
                <w:sz w:val="19"/>
                <w:szCs w:val="21"/>
              </w:rPr>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Изображения</w:t>
              <w:rPr>
                <w:rFonts w:ascii="Times New Roman" w:hAnsi="Times New Roman" w:eastAsia="Times New Roman" w:cs="Times New Roman"/>
                <w:b w:val="0"/>
                <w:sz w:val="19"/>
                <w:szCs w:val="21"/>
              </w:rPr>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477</w:t>
              <w:rPr>
                <w:rFonts w:ascii="Times New Roman" w:hAnsi="Times New Roman" w:eastAsia="Times New Roman" w:cs="Times New Roman"/>
                <w:b w:val="0"/>
                <w:sz w:val="19"/>
                <w:szCs w:val="21"/>
              </w:rPr>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120</w:t>
              <w:rPr>
                <w:rFonts w:ascii="Times New Roman" w:hAnsi="Times New Roman" w:eastAsia="Times New Roman" w:cs="Times New Roman"/>
                <w:b w:val="0"/>
                <w:sz w:val="19"/>
                <w:szCs w:val="21"/>
              </w:rPr>
            </w:r>
          </w:p>
        </w:tc>
        <w:trPr>
          <w:cantSplit/>
          <w:cantSplit/>
          <w:cantSplit/>
          <w:cantSplit w:val="true"/>
        </w:trPr>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SMS Spam Collection</w:t>
              <w:rPr>
                <w:rFonts w:ascii="Times New Roman" w:hAnsi="Times New Roman" w:eastAsia="Times New Roman" w:cs="Times New Roman"/>
                <w:b w:val="0"/>
                <w:sz w:val="19"/>
                <w:szCs w:val="21"/>
              </w:rPr>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Текст</w:t>
              <w:rPr>
                <w:rFonts w:ascii="Times New Roman" w:hAnsi="Times New Roman" w:eastAsia="Times New Roman" w:cs="Times New Roman"/>
                <w:b w:val="0"/>
                <w:sz w:val="19"/>
                <w:szCs w:val="21"/>
              </w:rPr>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4 127</w:t>
              <w:rPr>
                <w:rFonts w:ascii="Times New Roman" w:hAnsi="Times New Roman" w:eastAsia="Times New Roman" w:cs="Times New Roman"/>
                <w:b w:val="0"/>
                <w:sz w:val="19"/>
                <w:szCs w:val="21"/>
              </w:rPr>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1 032</w:t>
              <w:rPr>
                <w:rFonts w:ascii="Times New Roman" w:hAnsi="Times New Roman" w:eastAsia="Times New Roman" w:cs="Times New Roman"/>
                <w:b w:val="0"/>
                <w:sz w:val="19"/>
                <w:szCs w:val="21"/>
              </w:rPr>
            </w:r>
          </w:p>
        </w:tc>
        <w:trPr>
          <w:cantSplit/>
          <w:cantSplit/>
          <w:cantSplit/>
          <w:cantSplit w:val="true"/>
        </w:trPr>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UCI HAR Smartphones</w:t>
              <w:rPr>
                <w:rFonts w:ascii="Times New Roman" w:hAnsi="Times New Roman" w:eastAsia="Times New Roman" w:cs="Times New Roman"/>
                <w:b w:val="0"/>
                <w:sz w:val="19"/>
                <w:szCs w:val="21"/>
              </w:rPr>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Временные ряды</w:t>
              <w:rPr>
                <w:rFonts w:ascii="Times New Roman" w:hAnsi="Times New Roman" w:eastAsia="Times New Roman" w:cs="Times New Roman"/>
                <w:b w:val="0"/>
                <w:sz w:val="19"/>
                <w:szCs w:val="21"/>
              </w:rPr>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8 284</w:t>
              <w:rPr>
                <w:rFonts w:ascii="Times New Roman" w:hAnsi="Times New Roman" w:eastAsia="Times New Roman" w:cs="Times New Roman"/>
                <w:b w:val="0"/>
                <w:sz w:val="19"/>
                <w:szCs w:val="21"/>
              </w:rPr>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2 015</w:t>
              <w:rPr>
                <w:rFonts w:ascii="Times New Roman" w:hAnsi="Times New Roman" w:eastAsia="Times New Roman" w:cs="Times New Roman"/>
                <w:b w:val="0"/>
                <w:sz w:val="19"/>
                <w:szCs w:val="21"/>
              </w:rPr>
            </w:r>
          </w:p>
        </w:tc>
        <w:trPr>
          <w:cantSplit/>
          <w:cantSplit/>
          <w:cantSplit/>
          <w:cantSplit w:val="true"/>
        </w:trPr>
      </w:tr>
      <w:tr>
        <w:tc>
          <w:tcPr>
            <w:tcW w:type="dxa" w:w="30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rPr>
                <w:b w:val="0"/>
                <w:bCs/>
                <w:rFonts w:ascii="Times New Roman" w:hAnsi="Times New Roman" w:eastAsia="Times New Roman" w:cs="Times New Roman"/>
                <w:sz w:val="19"/>
                <w:szCs w:val="21"/>
              </w:rPr>
              <w:t xml:space="preserve">Всего</w:t>
            </w:r>
          </w:p>
        </w:tc>
        <w:tc>
          <w:tcPr>
            <w:tcW w:type="dxa" w:w="212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rPr>
                <w:b w:val="0"/>
                <w:bCs/>
                <w:rFonts w:ascii="Times New Roman" w:hAnsi="Times New Roman" w:eastAsia="Times New Roman" w:cs="Times New Roman"/>
                <w:sz w:val="19"/>
                <w:szCs w:val="21"/>
              </w:rPr>
              <w:t xml:space="preserve">4 модальности</w:t>
            </w:r>
          </w:p>
        </w:tc>
        <w:tc>
          <w:tcPr>
            <w:tcW w:type="dxa" w:w="172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rPr>
                <w:b w:val="0"/>
                <w:bCs/>
                <w:rFonts w:ascii="Times New Roman" w:hAnsi="Times New Roman" w:eastAsia="Times New Roman" w:cs="Times New Roman"/>
                <w:sz w:val="19"/>
                <w:szCs w:val="21"/>
              </w:rPr>
              <w:t xml:space="preserve">69 827</w:t>
            </w:r>
          </w:p>
        </w:tc>
        <w:tc>
          <w:tcPr>
            <w:tcW w:type="dxa" w:w="233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rPr>
                <w:b w:val="0"/>
                <w:bCs/>
                <w:rFonts w:ascii="Times New Roman" w:hAnsi="Times New Roman" w:eastAsia="Times New Roman" w:cs="Times New Roman"/>
                <w:sz w:val="19"/>
                <w:szCs w:val="21"/>
              </w:rPr>
              <w:t xml:space="preserve">17 404</w:t>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878220"/>
            <wp:docPr id="13" name="Picture 13" descr="Рисунок 4.13 — Распределение объектов между OOF- и контрольной выборками" title="Рисунок 1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508000" cy="2878220"/>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4.13 — Распределение объектов между OOF- и контрольной выборками</w:t>
      </w:r>
    </w:p>
    <w:p>
      <w:pPr>
        <w:pStyle w:val="a0"/>
        <w:spacing w:after="80" w:line="276" w:lineRule="auto"/>
        <w:widowControl/>
      </w:pPr>
      <w:r>
        <w:rPr>
          <w:rFonts w:ascii="Times New Roman" w:hAnsi="Times New Roman" w:eastAsia="Times New Roman"/>
        </w:rPr>
        <w:t>Контроль повторов выполнялся по содержимому, а не только по строковым идентификаторам. Для изображений использовались кластеры перцептивно близких дубликатов; текстовые сообщения группировались после нормализации и MinHash-сопоставления; временные окна UCI HAR разделялись по субъектам. OOF-признаки строились перекрёстным обучением, а контрольные метки хранились в изолированном хранилище и не использовались при настройке.</w:t>
      </w:r>
    </w:p>
    <w:p>
      <w:pPr>
        <w:pStyle w:val="a0"/>
        <w:spacing w:after="80" w:line="276" w:lineRule="auto"/>
        <w:widowControl/>
      </w:pPr>
      <w:r>
        <w:rPr>
          <w:rFonts w:ascii="Times New Roman" w:hAnsi="Times New Roman" w:eastAsia="Times New Roman"/>
        </w:rPr>
        <w:t>Предварительный реестр до фиксации протокола содержал значения 69 825 и 17 406. После повторной группировки с учётом содержимого два объекта изменили роль. В итоговой редакции используются только окончательные значения 69 827 и 17 404; расхождение сохранено в аудиторском следе, а не скрыто.</w:t>
      </w:r>
    </w:p>
    <w:p>
      <w:pPr>
        <w:pStyle w:val="3"/>
        <w:keepNext/>
        <w:keepLines/>
        <w:spacing w:before="200" w:after="120"/>
        <w:keepNext/>
      </w:pPr>
      <w:r>
        <w:rPr>
          <w:rFonts w:ascii="Times New Roman" w:hAnsi="Times New Roman" w:eastAsia="Times New Roman"/>
        </w:rPr>
        <w:t>4.15.2 Архитектура и протокол подтверждения</w:t>
      </w:r>
    </w:p>
    <w:p>
      <w:pPr>
        <w:pStyle w:val="FirstParagraph"/>
        <w:spacing w:after="80" w:line="276" w:lineRule="auto"/>
        <w:widowControl/>
      </w:pPr>
      <w:r>
        <w:rPr>
          <w:rFonts w:ascii="Times New Roman" w:hAnsi="Times New Roman" w:eastAsia="Times New Roman"/>
        </w:rPr>
        <w:t>Практический контур разделён на семь уровней: прогноз, исходное объяснение, канонические свидетельства, предсказательный риск P0, риск маршрута и объяснения P1, жёсткая структурная проверка и формирование действия с аудиторским следом. Такое разделение не позволяет смешать исходную атрибуцию с её пользовательской проекцией и локализует уровень, на котором возникло ограничение.</w:t>
      </w:r>
    </w:p>
    <w:p>
      <w:pPr>
        <w:pStyle w:val="aa"/>
        <w:keepNext/>
        <w:keepLines/>
        <w:spacing w:before="120" w:after="80"/>
        <w:jc w:val="center"/>
        <w:keepNext/>
      </w:pPr>
      <w:r>
        <w:rPr>
          <w:rFonts w:ascii="Times New Roman" w:hAnsi="Times New Roman" w:eastAsia="Times New Roman"/>
          <w:b w:val="0"/>
          <w:i w:val="0"/>
        </w:rPr>
        <w:t>Таблица 4.22 — Слои независимого практического контура и проверяемые инварианты</w:t>
      </w:r>
    </w:p>
    <w:tbl>
      <w:tblPr>
        <w:tblStyle w:val="af1"/>
        <w:tblW w:type="dxa" w:w="9185"/>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6"/>
        <w:gridCol w:w="3691"/>
        <w:gridCol w:w="3298"/>
      </w:tblGrid>
      <w:tr>
        <w:trPr>
          <w:tblHeader w:val="true"/>
          <w:cantSplit/>
          <w:cantSplit/>
          <w:tblHeader w:val="true"/>
          <w:tblHeader w:val="true"/>
          <w:cantSplit/>
          <w:tblHeader w:val="true"/>
          <w:cantSplit w:val="true"/>
        </w:trPr>
        <w:tc>
          <w:tcPr>
            <w:tcW w:type="dxa" w:w="2196"/>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Слой</w:t>
              <w:rPr>
                <w:rFonts w:ascii="Times New Roman" w:hAnsi="Times New Roman" w:eastAsia="Times New Roman" w:cs="Times New Roman"/>
                <w:b/>
                <w:sz w:val="19"/>
                <w:szCs w:val="21"/>
              </w:rPr>
            </w:r>
          </w:p>
        </w:tc>
        <w:tc>
          <w:tcPr>
            <w:tcW w:type="dxa" w:w="3691"/>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Назначение</w:t>
              <w:rPr>
                <w:rFonts w:ascii="Times New Roman" w:hAnsi="Times New Roman" w:eastAsia="Times New Roman" w:cs="Times New Roman"/>
                <w:b/>
                <w:sz w:val="19"/>
                <w:szCs w:val="21"/>
              </w:rPr>
            </w:r>
          </w:p>
        </w:tc>
        <w:tc>
          <w:tcPr>
            <w:tcW w:type="dxa" w:w="3298"/>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Проверяемый инвариант</w:t>
              <w:rPr>
                <w:rFonts w:ascii="Times New Roman" w:hAnsi="Times New Roman" w:eastAsia="Times New Roman" w:cs="Times New Roman"/>
                <w:b/>
                <w:sz w:val="19"/>
                <w:szCs w:val="21"/>
              </w:rPr>
            </w:r>
          </w:p>
        </w:tc>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Прогноз</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Результат и оценка уверенности модели</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Зафиксирована версия модели</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Исходное объяснение</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Локальные вклады признаков, токенов, областей или окон</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Использован применимый к модальности метод</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Канонический артефакт</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Неизменяемая сериализация исходного объяснения</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Хэш совпадает с исходным артефактом</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P0</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Оценка риска по предиктивным признакам</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Используются только OOF-наблюдаемые величины</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P1</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Дополнительные признаки объяснения и маршрута</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Отсутствующие каналы отмечаются явно</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Структурная проверка</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Контроль версий, схем и происхождения</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Блокировка только по формальному нарушению</w:t>
              <w:rPr>
                <w:rFonts w:ascii="Times New Roman" w:hAnsi="Times New Roman" w:eastAsia="Times New Roman" w:cs="Times New Roman"/>
                <w:b w:val="0"/>
                <w:sz w:val="19"/>
                <w:szCs w:val="21"/>
              </w:rPr>
            </w:r>
          </w:p>
        </w:tc>
        <w:trPr>
          <w:cantSplit/>
          <w:cantSplit/>
          <w:cantSplit/>
          <w:cantSplit w:val="true"/>
        </w:trPr>
      </w:tr>
      <w:tr>
        <w:tc>
          <w:tcPr>
            <w:tcW w:type="dxa" w:w="219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Действие и аудит</w:t>
              <w:rPr>
                <w:rFonts w:ascii="Times New Roman" w:hAnsi="Times New Roman" w:eastAsia="Times New Roman" w:cs="Times New Roman"/>
                <w:b w:val="0"/>
                <w:sz w:val="19"/>
                <w:szCs w:val="21"/>
              </w:rPr>
            </w:r>
          </w:p>
        </w:tc>
        <w:tc>
          <w:tcPr>
            <w:tcW w:type="dxa" w:w="3691"/>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Режим применения и журнал причин</w:t>
              <w:rPr>
                <w:rFonts w:ascii="Times New Roman" w:hAnsi="Times New Roman" w:eastAsia="Times New Roman" w:cs="Times New Roman"/>
                <w:b w:val="0"/>
                <w:sz w:val="19"/>
                <w:szCs w:val="21"/>
              </w:rPr>
            </w:r>
          </w:p>
        </w:tc>
        <w:tc>
          <w:tcPr>
            <w:tcW w:type="dxa" w:w="329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Детерминированное повторное воспроизведение</w:t>
              <w:rPr>
                <w:rFonts w:ascii="Times New Roman" w:hAnsi="Times New Roman" w:eastAsia="Times New Roman" w:cs="Times New Roman"/>
                <w:b w:val="0"/>
                <w:sz w:val="19"/>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322211"/>
            <wp:docPr id="14" name="Picture 14" descr="Рисунок 4.14 — Архитектура независимого объяснительно-аудиторского контура" title="Рисунок 1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08000" cy="2322211"/>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4.14 — Архитектура независимого объяснительно-аудиторского контура</w:t>
      </w:r>
    </w:p>
    <w:p>
      <w:pPr>
        <w:pStyle w:val="a0"/>
        <w:spacing w:after="80" w:line="276" w:lineRule="auto"/>
        <w:widowControl/>
      </w:pPr>
      <w:r>
        <w:rPr>
          <w:rFonts w:ascii="Times New Roman" w:hAnsi="Times New Roman" w:eastAsia="Times New Roman"/>
        </w:rPr>
        <w:t>До открытия контрольных меток были зафиксированы основной показатель, бюджет ручной проверки 20 %, профиль стоимости unsafe_accept_sensitive, предел ложных блокировок 0,01, набор базовых политик и статистические процедуры. Первоначальный расчёт итоговых метрик был признан недействительным из-за ошибки чтения внешнего контейнера меток. Прогнозы, объяснения, канонические артефакты, признаки P0/P1 и действия политик к этому моменту уже были сохранены и хэшированы без доступа к меткам. Итог получен восстановлением только этапа расчёта метрик без повторного обучения и настройки; протокольное отклонение раскрывается явно и не представляется как идеальный однократный запуск.</w:t>
      </w:r>
    </w:p>
    <w:p>
      <w:pPr>
        <w:pStyle w:val="a0"/>
        <w:spacing w:after="80" w:line="276" w:lineRule="auto"/>
        <w:widowControl/>
      </w:pPr>
      <w:r>
        <w:rPr>
          <w:rFonts w:ascii="Times New Roman" w:hAnsi="Times New Roman" w:eastAsia="Times New Roman"/>
          <w:b w:val="0"/>
          <w:i w:val="0"/>
        </w:rPr>
        <w:t>Независимый контур задаёт общую основу для сопоставления, однако сравнивать допустимо только методы одного функционального уровня.</w:t>
      </w:r>
    </w:p>
    <w:p>
      <w:pPr>
        <w:pStyle w:val="a0"/>
        <w:widowControl/>
      </w:pPr>
      <w:r>
        <w:rPr>
          <w:rFonts w:ascii="Times New Roman" w:hAnsi="Times New Roman" w:eastAsia="Times New Roman"/>
          <w:i/>
          <w:sz w:val="19"/>
        </w:rPr>
        <w:t>Доказательная основа раздела: E01, E03–E10. Эти источники фиксируют линию выпуска, состав данных, аудит утечек, признаки, протокол, исходный недействительный маркер и заявленное восстановление расчёта метрик.</w:t>
      </w:r>
    </w:p>
    <w:p>
      <w:pPr>
        <w:pStyle w:val="2"/>
        <w:keepNext/>
        <w:keepLines/>
        <w:pageBreakBefore/>
        <w:spacing w:before="200" w:after="120"/>
        <w:keepNext/>
      </w:pPr>
      <w:r>
        <w:rPr>
          <w:rFonts w:ascii="Times New Roman" w:hAnsi="Times New Roman" w:eastAsia="Times New Roman"/>
          <w:b w:val="0"/>
          <w:i w:val="0"/>
        </w:rPr>
        <w:t>4.16 Корректное сопоставление локальных объяснителей, интерпретируемых моделей и политик</w:t>
      </w:r>
    </w:p>
    <w:p>
      <w:pPr>
        <w:pStyle w:val="FirstParagraph"/>
        <w:widowControl/>
      </w:pPr>
      <w:r>
        <w:rPr>
          <w:rFonts w:ascii="Times New Roman" w:hAnsi="Times New Roman" w:eastAsia="Times New Roman"/>
          <w:i w:val="0"/>
        </w:rPr>
        <w:t>После фиксации данных и протокола требуется разделить методы по их фактической роли. Без этого локальные объяснения, самостоятельные модели и политики применения оказываются в одной таблице, хотя отвечают на разные научные вопросы.</w:t>
      </w:r>
    </w:p>
    <w:p>
      <w:pPr>
        <w:pStyle w:val="FirstParagraph"/>
        <w:spacing w:after="80" w:line="276" w:lineRule="auto"/>
        <w:widowControl/>
      </w:pPr>
      <w:r>
        <w:rPr>
          <w:rFonts w:ascii="Times New Roman" w:hAnsi="Times New Roman" w:eastAsia="Times New Roman"/>
          <w:b w:val="0"/>
          <w:i w:val="0"/>
        </w:rPr>
        <w:t>Для корректного сопоставления методы разделены по объекту оценки. SHAP, LIME и Anchors рассматриваются как локальные постмодельные объяснители одной зафиксированной модели. GAM, EBM, RuleFit, разреженные деревья и списки правил оцениваются как самостоятельные интерпретируемые предикторы. Политики уверенности, конформного отбора и P0/P1 сравниваются как способы выбора режима применения. Объединение этих трёх семейств в один рейтинг методологически некорректно, поскольку они решают разные задачи и требуют разных показателей.</w:t>
      </w:r>
    </w:p>
    <w:p>
      <w:pPr>
        <w:pStyle w:val="aa"/>
        <w:keepNext/>
        <w:keepLines/>
        <w:spacing w:before="120" w:after="80"/>
        <w:jc w:val="center"/>
        <w:keepNext/>
      </w:pPr>
      <w:r>
        <w:rPr>
          <w:rFonts w:ascii="Times New Roman" w:hAnsi="Times New Roman" w:eastAsia="Times New Roman"/>
          <w:b w:val="0"/>
          <w:i w:val="0"/>
        </w:rPr>
        <w:t>Таблица 4.23 — Таксономия допустимых сравнений</w:t>
      </w:r>
    </w:p>
    <w:tbl>
      <w:tblPr>
        <w:tblStyle w:val="af1"/>
        <w:tblW w:type="dxa" w:w="935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50"/>
        <w:gridCol w:w="2500"/>
        <w:gridCol w:w="2650"/>
        <w:gridCol w:w="2354"/>
      </w:tblGrid>
      <w:tr>
        <w:trPr>
          <w:tblHeader w:val="true"/>
          <w:cantSplit/>
          <w:cantSplit/>
          <w:tblHeader w:val="true"/>
          <w:tblHeader w:val="true"/>
          <w:cantSplit/>
          <w:tblHeader w:val="true"/>
          <w:cantSplit w:val="true"/>
        </w:trPr>
        <w:tc>
          <w:tcPr>
            <w:tcW w:type="dxa" w:w="185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Семейство</w:t>
              <w:rPr>
                <w:rFonts w:ascii="Times New Roman" w:hAnsi="Times New Roman" w:eastAsia="Times New Roman" w:cs="Times New Roman"/>
                <w:b/>
                <w:sz w:val="19"/>
                <w:szCs w:val="21"/>
              </w:rPr>
            </w:r>
          </w:p>
        </w:tc>
        <w:tc>
          <w:tcPr>
            <w:tcW w:type="dxa" w:w="250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Предмет сравнения</w:t>
              <w:rPr>
                <w:rFonts w:ascii="Times New Roman" w:hAnsi="Times New Roman" w:eastAsia="Times New Roman" w:cs="Times New Roman"/>
                <w:b/>
                <w:sz w:val="19"/>
                <w:szCs w:val="21"/>
              </w:rPr>
            </w:r>
          </w:p>
        </w:tc>
        <w:tc>
          <w:tcPr>
            <w:tcW w:type="dxa" w:w="265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Основные показатели</w:t>
              <w:rPr>
                <w:rFonts w:ascii="Times New Roman" w:hAnsi="Times New Roman" w:eastAsia="Times New Roman" w:cs="Times New Roman"/>
                <w:b/>
                <w:sz w:val="19"/>
                <w:szCs w:val="21"/>
              </w:rPr>
            </w:r>
          </w:p>
        </w:tc>
        <w:tc>
          <w:tcPr>
            <w:tcW w:type="dxa" w:w="2354"/>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Примеры методов</w:t>
            </w:r>
          </w:p>
        </w:tc>
      </w:tr>
      <w:tr>
        <w:tc>
          <w:tcPr>
            <w:tcW w:type="dxa" w:w="18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Локальные объяснители</w:t>
              <w:rPr>
                <w:rFonts w:ascii="Times New Roman" w:hAnsi="Times New Roman" w:eastAsia="Times New Roman" w:cs="Times New Roman"/>
                <w:b w:val="0"/>
                <w:sz w:val="19"/>
                <w:szCs w:val="21"/>
              </w:rPr>
            </w:r>
          </w:p>
        </w:tc>
        <w:tc>
          <w:tcPr>
            <w:tcW w:type="dxa" w:w="25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Объяснения одной и той же модели</w:t>
              <w:rPr>
                <w:rFonts w:ascii="Times New Roman" w:hAnsi="Times New Roman" w:eastAsia="Times New Roman" w:cs="Times New Roman"/>
                <w:b w:val="0"/>
                <w:sz w:val="19"/>
                <w:szCs w:val="21"/>
              </w:rPr>
            </w:r>
          </w:p>
        </w:tc>
        <w:tc>
          <w:tcPr>
            <w:tcW w:type="dxa" w:w="26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Верность, полнота, устойчивость, время</w:t>
              <w:rPr>
                <w:rFonts w:ascii="Times New Roman" w:hAnsi="Times New Roman" w:eastAsia="Times New Roman" w:cs="Times New Roman"/>
                <w:b w:val="0"/>
                <w:sz w:val="19"/>
                <w:szCs w:val="21"/>
              </w:rPr>
            </w:r>
          </w:p>
        </w:tc>
        <w:trPr>
          <w:cantSplit/>
          <w:cantSplit/>
          <w:cantSplit/>
          <w:cantSplit w:val="true"/>
        </w:trPr>
        <w:tc>
          <w:tcPr>
            <w:tcW w:type="dxa" w:w="2354"/>
            <w:vAlign w:val="center"/>
            <w:shd w:fill="FFFFFF" w:val="clear"/>
            <w:tcMar>
              <w:top w:w="70" w:type="dxa"/>
              <w:start w:w="80" w:type="dxa"/>
              <w:bottom w:w="70" w:type="dxa"/>
              <w:end w:w="80" w:type="dxa"/>
            </w:tcM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SHAP, LIME, Anchors, Integrated Gradients, Grad-CAM</w:t>
            </w:r>
          </w:p>
        </w:tc>
      </w:tr>
      <w:tr>
        <w:tc>
          <w:tcPr>
            <w:tcW w:type="dxa" w:w="18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Интерпретируемые предикторы</w:t>
              <w:rPr>
                <w:rFonts w:ascii="Times New Roman" w:hAnsi="Times New Roman" w:eastAsia="Times New Roman" w:cs="Times New Roman"/>
                <w:b w:val="0"/>
                <w:sz w:val="19"/>
                <w:szCs w:val="21"/>
              </w:rPr>
            </w:r>
          </w:p>
        </w:tc>
        <w:tc>
          <w:tcPr>
            <w:tcW w:type="dxa" w:w="25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Самостоятельные модели</w:t>
              <w:rPr>
                <w:rFonts w:ascii="Times New Roman" w:hAnsi="Times New Roman" w:eastAsia="Times New Roman" w:cs="Times New Roman"/>
                <w:b w:val="0"/>
                <w:sz w:val="19"/>
                <w:szCs w:val="21"/>
              </w:rPr>
            </w:r>
          </w:p>
        </w:tc>
        <w:tc>
          <w:tcPr>
            <w:tcW w:type="dxa" w:w="26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AUROC, Brier, сложность, время</w:t>
              <w:rPr>
                <w:rFonts w:ascii="Times New Roman" w:hAnsi="Times New Roman" w:eastAsia="Times New Roman" w:cs="Times New Roman"/>
                <w:b w:val="0"/>
                <w:sz w:val="19"/>
                <w:szCs w:val="21"/>
              </w:rPr>
            </w:r>
          </w:p>
        </w:tc>
        <w:trPr>
          <w:cantSplit/>
          <w:cantSplit/>
          <w:cantSplit/>
          <w:cantSplit w:val="true"/>
        </w:trPr>
        <w:tc>
          <w:tcPr>
            <w:tcW w:type="dxa" w:w="2354"/>
            <w:vAlign w:val="center"/>
            <w:shd w:fill="FFFFFF" w:val="clear"/>
            <w:tcMar>
              <w:top w:w="70" w:type="dxa"/>
              <w:start w:w="80" w:type="dxa"/>
              <w:bottom w:w="70" w:type="dxa"/>
              <w:end w:w="80" w:type="dxa"/>
            </w:tcM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GAM, GA²M/FAST, EBM, RuleFit, дерево, список правил</w:t>
            </w:r>
          </w:p>
        </w:tc>
      </w:tr>
      <w:tr>
        <w:tc>
          <w:tcPr>
            <w:tcW w:type="dxa" w:w="18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Политики применения</w:t>
              <w:rPr>
                <w:rFonts w:ascii="Times New Roman" w:hAnsi="Times New Roman" w:eastAsia="Times New Roman" w:cs="Times New Roman"/>
                <w:b w:val="0"/>
                <w:sz w:val="19"/>
                <w:szCs w:val="21"/>
              </w:rPr>
            </w:r>
          </w:p>
        </w:tc>
        <w:tc>
          <w:tcPr>
            <w:tcW w:type="dxa" w:w="25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Отбор объектов для автоматического решения</w:t>
              <w:rPr>
                <w:rFonts w:ascii="Times New Roman" w:hAnsi="Times New Roman" w:eastAsia="Times New Roman" w:cs="Times New Roman"/>
                <w:b w:val="0"/>
                <w:sz w:val="19"/>
                <w:szCs w:val="21"/>
              </w:rPr>
            </w:r>
          </w:p>
        </w:tc>
        <w:tc>
          <w:tcPr>
            <w:tcW w:type="dxa" w:w="265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Покрытие и операционный риск</w:t>
              <w:rPr>
                <w:rFonts w:ascii="Times New Roman" w:hAnsi="Times New Roman" w:eastAsia="Times New Roman" w:cs="Times New Roman"/>
                <w:b w:val="0"/>
                <w:sz w:val="19"/>
                <w:szCs w:val="21"/>
              </w:rPr>
            </w:r>
          </w:p>
        </w:tc>
        <w:trPr>
          <w:cantSplit/>
          <w:cantSplit/>
          <w:cantSplit/>
          <w:cantSplit w:val="true"/>
        </w:trPr>
        <w:tc>
          <w:tcPr>
            <w:tcW w:type="dxa" w:w="2354"/>
            <w:vAlign w:val="center"/>
            <w:shd w:fill="FFFFFF" w:val="clear"/>
            <w:tcMar>
              <w:top w:w="70" w:type="dxa"/>
              <w:start w:w="80" w:type="dxa"/>
              <w:bottom w:w="70" w:type="dxa"/>
              <w:end w:w="80" w:type="dxa"/>
            </w:tcM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Порог уверенности, конформная политика, P0, P1</w:t>
            </w:r>
          </w:p>
        </w:tc>
      </w:tr>
    </w:tbl>
    <w:p>
      <w:pPr/>
    </w:p>
    <w:p>
      <w:pPr>
        <w:pStyle w:val="3"/>
        <w:keepNext/>
        <w:keepLines/>
        <w:spacing w:before="200" w:after="120"/>
        <w:keepNext/>
      </w:pPr>
      <w:r>
        <w:rPr>
          <w:rFonts w:ascii="Times New Roman" w:hAnsi="Times New Roman" w:eastAsia="Times New Roman"/>
        </w:rPr>
        <w:t>4.16.1 Локальные постмодельные объяснители</w:t>
      </w:r>
    </w:p>
    <w:p>
      <w:pPr>
        <w:pStyle w:val="a0"/>
        <w:spacing w:after="80" w:line="276" w:lineRule="auto"/>
        <w:widowControl/>
      </w:pPr>
      <w:r>
        <w:rPr>
          <w:rFonts w:ascii="Times New Roman" w:hAnsi="Times New Roman" w:eastAsia="Times New Roman"/>
        </w:rPr>
        <w:t>SHAP, LIME и Anchors сопоставлялись на одной и той же модели по верности удаления, полноте первых компонентов, устойчивости и времени. Компонентное исключение использовалось как модально нейтральная процедура. Значения через косую черту относятся к двум независимым подтверждающим табличным наборам и не образуют рейтинг между модальностями.</w:t>
      </w:r>
    </w:p>
    <w:p>
      <w:pPr>
        <w:pStyle w:val="aa"/>
        <w:keepNext/>
        <w:keepLines/>
        <w:spacing w:before="120" w:after="80"/>
        <w:jc w:val="center"/>
        <w:keepNext/>
      </w:pPr>
      <w:r>
        <w:rPr>
          <w:rFonts w:ascii="Times New Roman" w:hAnsi="Times New Roman" w:eastAsia="Times New Roman"/>
          <w:b w:val="0"/>
          <w:i w:val="0"/>
        </w:rPr>
        <w:t>Таблица 4.24 — Описательное сравнение локальных объяснителей на независимых табличных контурах</w:t>
      </w:r>
    </w:p>
    <w:tbl>
      <w:tblPr>
        <w:tblStyle w:val="af1"/>
        <w:tblW w:type="dxa" w:w="9185"/>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95"/>
        <w:gridCol w:w="1774"/>
        <w:gridCol w:w="1886"/>
        <w:gridCol w:w="1656"/>
        <w:gridCol w:w="1774"/>
      </w:tblGrid>
      <w:tr>
        <w:trPr>
          <w:tblHeader w:val="true"/>
          <w:cantSplit/>
          <w:cantSplit/>
          <w:tblHeader w:val="true"/>
          <w:tblHeader w:val="true"/>
          <w:cantSplit/>
          <w:tblHeader w:val="true"/>
          <w:cantSplit w:val="true"/>
        </w:trPr>
        <w:tc>
          <w:tcPr>
            <w:tcW w:type="dxa" w:w="2095"/>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Метод</w:t>
              <w:rPr>
                <w:rFonts w:ascii="Times New Roman" w:hAnsi="Times New Roman" w:eastAsia="Times New Roman" w:cs="Times New Roman"/>
                <w:b/>
                <w:sz w:val="18"/>
                <w:szCs w:val="21"/>
              </w:rPr>
            </w:r>
          </w:p>
        </w:tc>
        <w:tc>
          <w:tcPr>
            <w:tcW w:type="dxa" w:w="177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Верность удаления</w:t>
              <w:rPr>
                <w:rFonts w:ascii="Times New Roman" w:hAnsi="Times New Roman" w:eastAsia="Times New Roman" w:cs="Times New Roman"/>
                <w:b/>
                <w:sz w:val="18"/>
                <w:szCs w:val="21"/>
              </w:rPr>
            </w:r>
          </w:p>
        </w:tc>
        <w:tc>
          <w:tcPr>
            <w:tcW w:type="dxa" w:w="1886"/>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Полнота первых пяти</w:t>
              <w:rPr>
                <w:rFonts w:ascii="Times New Roman" w:hAnsi="Times New Roman" w:eastAsia="Times New Roman" w:cs="Times New Roman"/>
                <w:b/>
                <w:sz w:val="18"/>
                <w:szCs w:val="21"/>
              </w:rPr>
            </w:r>
          </w:p>
        </w:tc>
        <w:tc>
          <w:tcPr>
            <w:tcW w:type="dxa" w:w="1656"/>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Устойчивость</w:t>
              <w:rPr>
                <w:rFonts w:ascii="Times New Roman" w:hAnsi="Times New Roman" w:eastAsia="Times New Roman" w:cs="Times New Roman"/>
                <w:b/>
                <w:sz w:val="18"/>
                <w:szCs w:val="21"/>
              </w:rPr>
            </w:r>
          </w:p>
        </w:tc>
        <w:tc>
          <w:tcPr>
            <w:tcW w:type="dxa" w:w="177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Время, с</w:t>
              <w:rPr>
                <w:rFonts w:ascii="Times New Roman" w:hAnsi="Times New Roman" w:eastAsia="Times New Roman" w:cs="Times New Roman"/>
                <w:b/>
                <w:sz w:val="18"/>
                <w:szCs w:val="21"/>
              </w:rPr>
            </w:r>
          </w:p>
        </w:tc>
      </w:tr>
      <w:tr>
        <w:tc>
          <w:tcPr>
            <w:tcW w:type="dxa" w:w="209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SHAP</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0,1460 / 0,1093</w:t>
              <w:rPr>
                <w:rFonts w:ascii="Times New Roman" w:hAnsi="Times New Roman" w:eastAsia="Times New Roman" w:cs="Times New Roman"/>
                <w:b w:val="0"/>
                <w:sz w:val="18"/>
                <w:szCs w:val="21"/>
              </w:rPr>
            </w:r>
          </w:p>
        </w:tc>
        <w:tc>
          <w:tcPr>
            <w:tcW w:type="dxa" w:w="188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0,8321 / 0,6734</w:t>
              <w:rPr>
                <w:rFonts w:ascii="Times New Roman" w:hAnsi="Times New Roman" w:eastAsia="Times New Roman" w:cs="Times New Roman"/>
                <w:b w:val="0"/>
                <w:sz w:val="18"/>
                <w:szCs w:val="21"/>
              </w:rPr>
            </w:r>
          </w:p>
        </w:tc>
        <w:tc>
          <w:tcPr>
            <w:tcW w:type="dxa" w:w="165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0,6488 / 0,8750</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2,2921 / 0,0011</w:t>
              <w:rPr>
                <w:rFonts w:ascii="Times New Roman" w:hAnsi="Times New Roman" w:eastAsia="Times New Roman" w:cs="Times New Roman"/>
                <w:b w:val="0"/>
                <w:sz w:val="18"/>
                <w:szCs w:val="21"/>
              </w:rPr>
            </w:r>
          </w:p>
        </w:tc>
        <w:trPr>
          <w:cantSplit/>
          <w:cantSplit/>
          <w:cantSplit/>
          <w:cantSplit w:val="true"/>
        </w:trPr>
      </w:tr>
      <w:tr>
        <w:tc>
          <w:tcPr>
            <w:tcW w:type="dxa" w:w="209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LIME</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0,1496 / 0,1013</w:t>
              <w:rPr>
                <w:rFonts w:ascii="Times New Roman" w:hAnsi="Times New Roman" w:eastAsia="Times New Roman" w:cs="Times New Roman"/>
                <w:b w:val="0"/>
                <w:sz w:val="18"/>
                <w:szCs w:val="21"/>
              </w:rPr>
            </w:r>
          </w:p>
        </w:tc>
        <w:tc>
          <w:tcPr>
            <w:tcW w:type="dxa" w:w="188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0,5188 / 0,5641</w:t>
              <w:rPr>
                <w:rFonts w:ascii="Times New Roman" w:hAnsi="Times New Roman" w:eastAsia="Times New Roman" w:cs="Times New Roman"/>
                <w:b w:val="0"/>
                <w:sz w:val="18"/>
                <w:szCs w:val="21"/>
              </w:rPr>
            </w:r>
          </w:p>
        </w:tc>
        <w:tc>
          <w:tcPr>
            <w:tcW w:type="dxa" w:w="165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0,4687 / 0,4139</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0,3997 / 0,2960</w:t>
              <w:rPr>
                <w:rFonts w:ascii="Times New Roman" w:hAnsi="Times New Roman" w:eastAsia="Times New Roman" w:cs="Times New Roman"/>
                <w:b w:val="0"/>
                <w:sz w:val="18"/>
                <w:szCs w:val="21"/>
              </w:rPr>
            </w:r>
          </w:p>
        </w:tc>
        <w:trPr>
          <w:cantSplit/>
          <w:cantSplit/>
          <w:cantSplit/>
          <w:cantSplit w:val="true"/>
        </w:trPr>
      </w:tr>
      <w:tr>
        <w:tc>
          <w:tcPr>
            <w:tcW w:type="dxa" w:w="209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Anchors</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0,1596 / 0,1230</w:t>
              <w:rPr>
                <w:rFonts w:ascii="Times New Roman" w:hAnsi="Times New Roman" w:eastAsia="Times New Roman" w:cs="Times New Roman"/>
                <w:b w:val="0"/>
                <w:sz w:val="18"/>
                <w:szCs w:val="21"/>
              </w:rPr>
            </w:r>
          </w:p>
        </w:tc>
        <w:tc>
          <w:tcPr>
            <w:tcW w:type="dxa" w:w="188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0,9816 / 1,0000</w:t>
              <w:rPr>
                <w:rFonts w:ascii="Times New Roman" w:hAnsi="Times New Roman" w:eastAsia="Times New Roman" w:cs="Times New Roman"/>
                <w:b w:val="0"/>
                <w:sz w:val="18"/>
                <w:szCs w:val="21"/>
              </w:rPr>
            </w:r>
          </w:p>
        </w:tc>
        <w:tc>
          <w:tcPr>
            <w:tcW w:type="dxa" w:w="165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0,4241 / 0,1413</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10,8930 / 12,6818</w:t>
              <w:rPr>
                <w:rFonts w:ascii="Times New Roman" w:hAnsi="Times New Roman" w:eastAsia="Times New Roman" w:cs="Times New Roman"/>
                <w:b w:val="0"/>
                <w:sz w:val="18"/>
                <w:szCs w:val="21"/>
              </w:rPr>
            </w:r>
          </w:p>
        </w:tc>
        <w:trPr>
          <w:cantSplit/>
          <w:cantSplit/>
          <w:cantSplit/>
          <w:cantSplit w:val="true"/>
        </w:trPr>
      </w:tr>
      <w:tr>
        <w:tc>
          <w:tcPr>
            <w:tcW w:type="dxa" w:w="209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Компонентное исключение</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0,1292 / 0,1188</w:t>
              <w:rPr>
                <w:rFonts w:ascii="Times New Roman" w:hAnsi="Times New Roman" w:eastAsia="Times New Roman" w:cs="Times New Roman"/>
                <w:b w:val="0"/>
                <w:sz w:val="18"/>
                <w:szCs w:val="21"/>
              </w:rPr>
            </w:r>
          </w:p>
        </w:tc>
        <w:tc>
          <w:tcPr>
            <w:tcW w:type="dxa" w:w="188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0,8314 / 0,6800</w:t>
              <w:rPr>
                <w:rFonts w:ascii="Times New Roman" w:hAnsi="Times New Roman" w:eastAsia="Times New Roman" w:cs="Times New Roman"/>
                <w:b w:val="0"/>
                <w:sz w:val="18"/>
                <w:szCs w:val="21"/>
              </w:rPr>
            </w:r>
          </w:p>
        </w:tc>
        <w:tc>
          <w:tcPr>
            <w:tcW w:type="dxa" w:w="165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0,9917 / 0,9833</w:t>
              <w:rPr>
                <w:rFonts w:ascii="Times New Roman" w:hAnsi="Times New Roman" w:eastAsia="Times New Roman" w:cs="Times New Roman"/>
                <w:b w:val="0"/>
                <w:sz w:val="18"/>
                <w:szCs w:val="21"/>
              </w:rPr>
            </w:r>
          </w:p>
        </w:tc>
        <w:tc>
          <w:tcPr>
            <w:tcW w:type="dxa" w:w="177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0,0016 / 0,0012</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400842"/>
            <wp:docPr id="15" name="Picture 15" descr="Рисунок 4.15 — Полнота и устойчивость локальных объяснений" title="Рисунок 1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08000" cy="2400842"/>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4.15 — Полнота и устойчивость локальных объяснений</w:t>
      </w:r>
    </w:p>
    <w:p>
      <w:pPr>
        <w:pStyle w:val="a0"/>
        <w:spacing w:after="80" w:line="276" w:lineRule="auto"/>
        <w:widowControl/>
      </w:pPr>
      <w:r>
        <w:rPr>
          <w:rFonts w:ascii="Times New Roman" w:hAnsi="Times New Roman" w:eastAsia="Times New Roman"/>
        </w:rPr>
        <w:t>Правиловые объяснения и атрибуции имеют разные объекты устойчивости. Для SHAP и LIME измеряется совпадение компонент и рангов; для наборов правил необходимо отдельно оценивать совпадение условий, покрытия, знака и состава правил. В замороженной доказательной базе единый эксперимент по устойчивости правил отсутствует. Поэтому утверждение о превосходстве устойчивости правил над SHAP и LIME в главу не вводится; отсутствие измерения фиксируется как граница и не заполняется вымышленным числом.</w:t>
      </w:r>
    </w:p>
    <w:p>
      <w:pPr>
        <w:pStyle w:val="3"/>
        <w:keepNext/>
        <w:keepLines/>
        <w:spacing w:before="200" w:after="120"/>
        <w:keepNext/>
      </w:pPr>
      <w:r>
        <w:rPr>
          <w:rFonts w:ascii="Times New Roman" w:hAnsi="Times New Roman" w:eastAsia="Times New Roman"/>
        </w:rPr>
        <w:t>4.16.2 Современные интерпретируемые предикторы</w:t>
      </w:r>
    </w:p>
    <w:p>
      <w:pPr>
        <w:pStyle w:val="a0"/>
        <w:spacing w:after="80" w:line="276" w:lineRule="auto"/>
        <w:widowControl/>
      </w:pPr>
      <w:r>
        <w:rPr>
          <w:rFonts w:ascii="Times New Roman" w:hAnsi="Times New Roman" w:eastAsia="Times New Roman"/>
        </w:rPr>
        <w:t>GAM [21], GA²M с алгоритмом FAST [22], Explainable Boosting Machine [23], RuleFit [4], разреженное дерево и список правил рассматриваются как прямые аналоги на уровне интерпретируемого предиктора. FAST в данном контексте является алгоритмом ранжирования парных взаимодействий для GA²M, а не отдельным локальным объяснителем. FuzzyXAI не заменяет прогнозную функцию этих моделей и потому сопоставляется с ними по качеству прогноза, сложности и полноте аудита, но не объявляется «лучшей моделью».</w:t>
      </w:r>
    </w:p>
    <w:p>
      <w:pPr>
        <w:pStyle w:val="aa"/>
        <w:keepNext/>
        <w:keepLines/>
        <w:spacing w:before="120" w:after="80"/>
        <w:jc w:val="center"/>
        <w:keepNext/>
      </w:pPr>
      <w:r>
        <w:rPr>
          <w:rFonts w:ascii="Times New Roman" w:hAnsi="Times New Roman" w:eastAsia="Times New Roman"/>
          <w:b w:val="0"/>
          <w:i w:val="0"/>
        </w:rPr>
        <w:t>Таблица 4.25 — Описательное сравнение интерпретируемых предикторов</w:t>
      </w:r>
    </w:p>
    <w:tbl>
      <w:tblPr>
        <w:tblStyle w:val="af1"/>
        <w:tblW w:type="dxa" w:w="9185"/>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55"/>
        <w:gridCol w:w="1708"/>
        <w:gridCol w:w="1708"/>
        <w:gridCol w:w="1945"/>
        <w:gridCol w:w="1769"/>
      </w:tblGrid>
      <w:tr>
        <w:trPr>
          <w:tblHeader w:val="true"/>
          <w:cantSplit/>
          <w:cantSplit/>
          <w:tblHeader w:val="true"/>
          <w:tblHeader w:val="true"/>
          <w:cantSplit/>
          <w:tblHeader w:val="true"/>
          <w:cantSplit w:val="true"/>
        </w:trPr>
        <w:tc>
          <w:tcPr>
            <w:tcW w:type="dxa" w:w="2055"/>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Модель</w:t>
              <w:rPr>
                <w:rFonts w:ascii="Times New Roman" w:hAnsi="Times New Roman" w:eastAsia="Times New Roman" w:cs="Times New Roman"/>
                <w:b/>
                <w:sz w:val="18"/>
                <w:szCs w:val="21"/>
              </w:rPr>
            </w:r>
          </w:p>
        </w:tc>
        <w:tc>
          <w:tcPr>
            <w:tcW w:type="dxa" w:w="170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AUROC</w:t>
              <w:rPr>
                <w:rFonts w:ascii="Times New Roman" w:hAnsi="Times New Roman" w:eastAsia="Times New Roman" w:cs="Times New Roman"/>
                <w:b/>
                <w:sz w:val="18"/>
                <w:szCs w:val="21"/>
              </w:rPr>
            </w:r>
          </w:p>
        </w:tc>
        <w:tc>
          <w:tcPr>
            <w:tcW w:type="dxa" w:w="170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Brier</w:t>
              <w:rPr>
                <w:rFonts w:ascii="Times New Roman" w:hAnsi="Times New Roman" w:eastAsia="Times New Roman" w:cs="Times New Roman"/>
                <w:b/>
                <w:sz w:val="18"/>
                <w:szCs w:val="21"/>
              </w:rPr>
            </w:r>
          </w:p>
        </w:tc>
        <w:tc>
          <w:tcPr>
            <w:tcW w:type="dxa" w:w="194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Сложность</w:t>
              <w:rPr>
                <w:rFonts w:ascii="Times New Roman" w:hAnsi="Times New Roman" w:eastAsia="Times New Roman" w:cs="Times New Roman"/>
                <w:b/>
                <w:sz w:val="18"/>
                <w:szCs w:val="21"/>
              </w:rPr>
            </w:r>
          </w:p>
        </w:tc>
        <w:tc>
          <w:tcPr>
            <w:tcW w:type="dxa" w:w="1769"/>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Время, с</w:t>
              <w:rPr>
                <w:rFonts w:ascii="Times New Roman" w:hAnsi="Times New Roman" w:eastAsia="Times New Roman" w:cs="Times New Roman"/>
                <w:b/>
                <w:sz w:val="18"/>
                <w:szCs w:val="21"/>
              </w:rPr>
            </w:r>
          </w:p>
        </w:tc>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Градиентный black-box</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0,7396 / 0,7611</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0,0989 / 0,1407</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Не зарегистрирована</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0,2891 / 0,2283</w:t>
              <w:rPr>
                <w:rFonts w:ascii="Times New Roman" w:hAnsi="Times New Roman" w:eastAsia="Times New Roman" w:cs="Times New Roman"/>
                <w:b w:val="0"/>
                <w:sz w:val="18"/>
                <w:szCs w:val="21"/>
              </w:rPr>
            </w:r>
          </w:p>
        </w:tc>
        <w:trPr>
          <w:cantSplit/>
          <w:cantSplit/>
          <w:cantSplit/>
          <w:cantSplit w:val="true"/>
        </w:trPr>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GAM</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0,8076 / 0,7661</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0,1269 / 0,1878</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129 / 114</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0,0645 / 0,0655</w:t>
              <w:rPr>
                <w:rFonts w:ascii="Times New Roman" w:hAnsi="Times New Roman" w:eastAsia="Times New Roman" w:cs="Times New Roman"/>
                <w:b w:val="0"/>
                <w:sz w:val="18"/>
                <w:szCs w:val="21"/>
              </w:rPr>
            </w:r>
          </w:p>
        </w:tc>
        <w:trPr>
          <w:cantSplit/>
          <w:cantSplit/>
          <w:cantSplit/>
          <w:cantSplit w:val="true"/>
        </w:trPr>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EBM</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0,8204 / 0,7743</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0,0892 / 0,1363</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30 / 23</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0,8765 / 1,1618</w:t>
              <w:rPr>
                <w:rFonts w:ascii="Times New Roman" w:hAnsi="Times New Roman" w:eastAsia="Times New Roman" w:cs="Times New Roman"/>
                <w:b w:val="0"/>
                <w:sz w:val="18"/>
                <w:szCs w:val="21"/>
              </w:rPr>
            </w:r>
          </w:p>
        </w:tc>
        <w:trPr>
          <w:cantSplit/>
          <w:cantSplit/>
          <w:cantSplit/>
          <w:cantSplit w:val="true"/>
        </w:trPr>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RuleFit</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0,8192 / 0,7733</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0,0980 / 0,1571</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29 / 27</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35,7700 / 6,6061</w:t>
              <w:rPr>
                <w:rFonts w:ascii="Times New Roman" w:hAnsi="Times New Roman" w:eastAsia="Times New Roman" w:cs="Times New Roman"/>
                <w:b w:val="0"/>
                <w:sz w:val="18"/>
                <w:szCs w:val="21"/>
              </w:rPr>
            </w:r>
          </w:p>
        </w:tc>
        <w:trPr>
          <w:cantSplit/>
          <w:cantSplit/>
          <w:cantSplit/>
          <w:cantSplit w:val="true"/>
        </w:trPr>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Разреженное дерево</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0,6844 / 0,7500</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0,0960 / 0,1407</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25 / 24</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0,0170 / 0,0467</w:t>
              <w:rPr>
                <w:rFonts w:ascii="Times New Roman" w:hAnsi="Times New Roman" w:eastAsia="Times New Roman" w:cs="Times New Roman"/>
                <w:b w:val="0"/>
                <w:sz w:val="18"/>
                <w:szCs w:val="21"/>
              </w:rPr>
            </w:r>
          </w:p>
        </w:tc>
        <w:trPr>
          <w:cantSplit/>
          <w:cantSplit/>
          <w:cantSplit/>
          <w:cantSplit w:val="true"/>
        </w:trPr>
      </w:tr>
      <w:tr>
        <w:tc>
          <w:tcPr>
            <w:tcW w:type="dxa" w:w="205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Список правил</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0,6823 / 0,7475</w:t>
              <w:rPr>
                <w:rFonts w:ascii="Times New Roman" w:hAnsi="Times New Roman" w:eastAsia="Times New Roman" w:cs="Times New Roman"/>
                <w:b w:val="0"/>
                <w:sz w:val="18"/>
                <w:szCs w:val="21"/>
              </w:rPr>
            </w:r>
          </w:p>
        </w:tc>
        <w:tc>
          <w:tcPr>
            <w:tcW w:type="dxa" w:w="17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0,0874 / 0,1409</w:t>
              <w:rPr>
                <w:rFonts w:ascii="Times New Roman" w:hAnsi="Times New Roman" w:eastAsia="Times New Roman" w:cs="Times New Roman"/>
                <w:b w:val="0"/>
                <w:sz w:val="18"/>
                <w:szCs w:val="21"/>
              </w:rPr>
            </w:r>
          </w:p>
        </w:tc>
        <w:tc>
          <w:tcPr>
            <w:tcW w:type="dxa" w:w="194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6 / 6</w:t>
              <w:rPr>
                <w:rFonts w:ascii="Times New Roman" w:hAnsi="Times New Roman" w:eastAsia="Times New Roman" w:cs="Times New Roman"/>
                <w:b w:val="0"/>
                <w:sz w:val="18"/>
                <w:szCs w:val="21"/>
              </w:rPr>
            </w:r>
          </w:p>
        </w:tc>
        <w:tc>
          <w:tcPr>
            <w:tcW w:type="dxa" w:w="176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0,0270 / 0,0539</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414422"/>
            <wp:docPr id="16" name="Picture 16" descr="Рисунок 4.16 — Соотношение AUROC и зарегистрированной сложности интерпретируемых моделей" title="Рисунок 1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508000" cy="2414422"/>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4.16 — Соотношение AUROC и зарегистрированной сложности интерпретируемых моделей</w:t>
      </w:r>
    </w:p>
    <w:p>
      <w:pPr>
        <w:pStyle w:val="a0"/>
        <w:spacing w:after="80" w:line="276" w:lineRule="auto"/>
        <w:widowControl/>
      </w:pPr>
      <w:r>
        <w:rPr>
          <w:rFonts w:ascii="Times New Roman" w:hAnsi="Times New Roman" w:eastAsia="Times New Roman"/>
        </w:rPr>
        <w:t>EBM и RuleFit дали наиболее высокие значения AUROC среди внутренне интерпретируемых моделей на двух табличных наборах, однако результаты не переносятся на необработанные изображения, текст и временные ряды. Основной вклад FuzzyXAI в этом сравнении относится не к качеству прогноза, а к унифицированному происхождению, каноническим свидетельствам, проверке маршрута и воспроизводимому формированию действия.</w:t>
      </w:r>
    </w:p>
    <w:p>
      <w:pPr>
        <w:pStyle w:val="3"/>
        <w:keepNext/>
        <w:keepLines/>
        <w:spacing w:before="200" w:after="120"/>
        <w:keepNext/>
      </w:pPr>
      <w:r>
        <w:rPr>
          <w:rFonts w:ascii="Times New Roman" w:hAnsi="Times New Roman" w:eastAsia="Times New Roman"/>
        </w:rPr>
        <w:t>4.16.3 Политики применения</w:t>
      </w:r>
    </w:p>
    <w:p>
      <w:pPr>
        <w:pStyle w:val="a0"/>
        <w:spacing w:after="80" w:line="276" w:lineRule="auto"/>
        <w:widowControl/>
      </w:pPr>
      <w:r>
        <w:rPr>
          <w:rFonts w:ascii="Times New Roman" w:hAnsi="Times New Roman" w:eastAsia="Times New Roman"/>
        </w:rPr>
        <w:t>Четырнадцать политик сравнивались при одинаковом бюджете ручной проверки 20 %. Поэтому различия по числу недопустимых автоматических действий и операционному риску не объясняются различным объёмом проверки.</w:t>
      </w:r>
    </w:p>
    <w:p>
      <w:pPr>
        <w:pStyle w:val="aa"/>
        <w:keepNext/>
        <w:keepLines/>
        <w:spacing w:before="120" w:after="80"/>
        <w:jc w:val="center"/>
        <w:keepNext/>
      </w:pPr>
      <w:r>
        <w:rPr>
          <w:rFonts w:ascii="Times New Roman" w:hAnsi="Times New Roman" w:eastAsia="Times New Roman"/>
          <w:b w:val="0"/>
          <w:i w:val="0"/>
        </w:rPr>
        <w:t>Таблица 4.26 — Политики применения при фиксированном бюджете ручной проверки 20 %</w:t>
      </w:r>
    </w:p>
    <w:tbl>
      <w:tblPr>
        <w:tblStyle w:val="af1"/>
        <w:tblW w:type="dxa" w:w="9185"/>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77"/>
        <w:gridCol w:w="1324"/>
        <w:gridCol w:w="2250"/>
        <w:gridCol w:w="1130"/>
        <w:gridCol w:w="2004"/>
      </w:tblGrid>
      <w:tr>
        <w:trPr>
          <w:tblHeader w:val="true"/>
          <w:cantSplit/>
          <w:cantSplit/>
          <w:tblHeader w:val="true"/>
          <w:tblHeader w:val="true"/>
          <w:cantSplit/>
          <w:tblHeader w:val="true"/>
          <w:cantSplit w:val="true"/>
        </w:trPr>
        <w:tc>
          <w:tcPr>
            <w:tcW w:type="dxa" w:w="2477"/>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Политика</w:t>
              <w:rPr>
                <w:rFonts w:ascii="Times New Roman" w:hAnsi="Times New Roman" w:eastAsia="Times New Roman" w:cs="Times New Roman"/>
                <w:b/>
                <w:sz w:val="18"/>
                <w:szCs w:val="21"/>
              </w:rPr>
            </w:r>
          </w:p>
        </w:tc>
        <w:tc>
          <w:tcPr>
            <w:tcW w:type="dxa" w:w="132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Покрытие</w:t>
              <w:rPr>
                <w:rFonts w:ascii="Times New Roman" w:hAnsi="Times New Roman" w:eastAsia="Times New Roman" w:cs="Times New Roman"/>
                <w:b/>
                <w:sz w:val="18"/>
                <w:szCs w:val="21"/>
              </w:rPr>
            </w:r>
          </w:p>
        </w:tc>
        <w:tc>
          <w:tcPr>
            <w:tcW w:type="dxa" w:w="2250"/>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Недопустимые действия</w:t>
              <w:rPr>
                <w:rFonts w:ascii="Times New Roman" w:hAnsi="Times New Roman" w:eastAsia="Times New Roman" w:cs="Times New Roman"/>
                <w:b/>
                <w:sz w:val="18"/>
                <w:szCs w:val="21"/>
              </w:rPr>
            </w:r>
          </w:p>
        </w:tc>
        <w:tc>
          <w:tcPr>
            <w:tcW w:type="dxa" w:w="1130"/>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Риск</w:t>
              <w:rPr>
                <w:rFonts w:ascii="Times New Roman" w:hAnsi="Times New Roman" w:eastAsia="Times New Roman" w:cs="Times New Roman"/>
                <w:b/>
                <w:sz w:val="18"/>
                <w:szCs w:val="21"/>
              </w:rPr>
            </w:r>
          </w:p>
        </w:tc>
        <w:tc>
          <w:tcPr>
            <w:tcW w:type="dxa" w:w="200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Ложные блокировки</w:t>
              <w:rPr>
                <w:rFonts w:ascii="Times New Roman" w:hAnsi="Times New Roman" w:eastAsia="Times New Roman" w:cs="Times New Roman"/>
                <w:b/>
                <w:sz w:val="18"/>
                <w:szCs w:val="21"/>
              </w:rPr>
            </w:r>
          </w:p>
        </w:tc>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Всегда принимать</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4 172</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0,2397</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Всегда проверять</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Порог уверенности</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2 811</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0,1615</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Калиброванная уверенность</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2 806</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0,1612</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Порог неопределённости</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2 840</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0,1632</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Расхождение моделей</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2 923</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0,1679</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Расхождение объяснителей</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3 307</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0,1900</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Качество данных</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2 795</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0,1606</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Полнота происхождения</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3 755</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0,2158</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Логическое объединение</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3 089</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0,1775</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Взвешенная политика</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2 722</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0,1564</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Конформный отбор</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2 806</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0,1612</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Риск прогноза P0</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2 839</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0,1631</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r>
        <w:tc>
          <w:tcPr>
            <w:tcW w:type="dxa" w:w="24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Полный контур P1</w:t>
              <w:rPr>
                <w:rFonts w:ascii="Times New Roman" w:hAnsi="Times New Roman" w:eastAsia="Times New Roman" w:cs="Times New Roman"/>
                <w:b w:val="0"/>
                <w:sz w:val="18"/>
                <w:szCs w:val="21"/>
              </w:rPr>
            </w:r>
          </w:p>
        </w:tc>
        <w:tc>
          <w:tcPr>
            <w:tcW w:type="dxa" w:w="132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0,8000</w:t>
              <w:rPr>
                <w:rFonts w:ascii="Times New Roman" w:hAnsi="Times New Roman" w:eastAsia="Times New Roman" w:cs="Times New Roman"/>
                <w:b w:val="0"/>
                <w:sz w:val="18"/>
                <w:szCs w:val="21"/>
              </w:rPr>
            </w:r>
          </w:p>
        </w:tc>
        <w:tc>
          <w:tcPr>
            <w:tcW w:type="dxa" w:w="225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2 828</w:t>
              <w:rPr>
                <w:rFonts w:ascii="Times New Roman" w:hAnsi="Times New Roman" w:eastAsia="Times New Roman" w:cs="Times New Roman"/>
                <w:b w:val="0"/>
                <w:sz w:val="18"/>
                <w:szCs w:val="21"/>
              </w:rPr>
            </w:r>
          </w:p>
        </w:tc>
        <w:tc>
          <w:tcPr>
            <w:tcW w:type="dxa" w:w="113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0,1625</w:t>
              <w:rPr>
                <w:rFonts w:ascii="Times New Roman" w:hAnsi="Times New Roman" w:eastAsia="Times New Roman" w:cs="Times New Roman"/>
                <w:b w:val="0"/>
                <w:sz w:val="18"/>
                <w:szCs w:val="21"/>
              </w:rPr>
            </w:r>
          </w:p>
        </w:tc>
        <w:tc>
          <w:tcPr>
            <w:tcW w:type="dxa" w:w="200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w:t>
              <w:rPr>
                <w:rFonts w:ascii="Times New Roman" w:hAnsi="Times New Roman" w:eastAsia="Times New Roman" w:cs="Times New Roman"/>
                <w:b w:val="0"/>
                <w:sz w:val="18"/>
                <w:szCs w:val="21"/>
              </w:rPr>
            </w:r>
          </w:p>
        </w:tc>
        <w:trPr>
          <w:cantSplit/>
          <w:cantSplit/>
          <w:cantSplit/>
          <w:cantSplit w:val="true"/>
        </w:trPr>
      </w:tr>
    </w:tbl>
    <w:p>
      <w:pPr/>
    </w:p>
    <w:p>
      <w:pPr>
        <w:pStyle w:val="a0"/>
        <w:spacing w:after="80" w:line="276" w:lineRule="auto"/>
        <w:widowControl/>
      </w:pPr>
      <w:r>
        <w:rPr>
          <w:rFonts w:ascii="Times New Roman" w:hAnsi="Times New Roman" w:eastAsia="Times New Roman"/>
          <w:b w:val="0"/>
          <w:i w:val="0"/>
        </w:rPr>
        <w:t>После разделения аналогов проверяется главный практический вопрос: дают ли признаки происхождения и маршрута дополнительную пользу относительно сильных базовых политик.</w:t>
      </w:r>
    </w:p>
    <w:p>
      <w:pPr>
        <w:pStyle w:val="a0"/>
        <w:widowControl/>
      </w:pPr>
      <w:r>
        <w:rPr>
          <w:rFonts w:ascii="Times New Roman" w:hAnsi="Times New Roman" w:eastAsia="Times New Roman"/>
          <w:i/>
          <w:sz w:val="19"/>
        </w:rPr>
        <w:t>Доказательная основа раздела: E15–E16. Таксономия и численные сравнения хранятся раздельно для постмодельных объяснителей, интерпретируемых предикторов и политик применения.</w:t>
      </w:r>
    </w:p>
    <w:p>
      <w:pPr>
        <w:pStyle w:val="2"/>
        <w:keepNext/>
        <w:keepLines/>
        <w:pageBreakBefore/>
        <w:spacing w:before="200" w:after="120"/>
        <w:keepNext/>
      </w:pPr>
      <w:r>
        <w:rPr>
          <w:rFonts w:ascii="Times New Roman" w:hAnsi="Times New Roman" w:eastAsia="Times New Roman"/>
        </w:rPr>
        <w:t>4.17 Практический контроллер и уточнённая проверка H3</w:t>
      </w:r>
    </w:p>
    <w:p>
      <w:pPr>
        <w:pStyle w:val="FirstParagraph"/>
        <w:widowControl/>
      </w:pPr>
      <w:r>
        <w:rPr>
          <w:rFonts w:ascii="Times New Roman" w:hAnsi="Times New Roman" w:eastAsia="Times New Roman"/>
          <w:i w:val="0"/>
        </w:rPr>
        <w:t>Корректная таксономия позволяет перейти от качества объяснения к отдельному вопросу о практической политике: даёт ли системный слой дополнительный эффект при фиксированном бюджете проверки.</w:t>
      </w:r>
    </w:p>
    <w:p>
      <w:pPr>
        <w:pStyle w:val="FirstParagraph"/>
        <w:spacing w:after="80" w:line="276" w:lineRule="auto"/>
        <w:widowControl/>
      </w:pPr>
      <w:r>
        <w:rPr>
          <w:rFonts w:ascii="Times New Roman" w:hAnsi="Times New Roman" w:eastAsia="Times New Roman"/>
        </w:rPr>
        <w:t>Первоначальная H3 сохранена как неподтверждённая. В независимом контуре она была разложена на четыре заранее различимых утверждения: H3-P1 — снижение числа операционно недопустимых автоматических действий при бюджете 20 %; H3-P2 — прирост покрытия при фиксированном риске 0,05; H3-P3 — дополнительная полезность признаков маршрута и объяснения относительно предсказательной политики P0; H3-P4 — полезность в заранее определённых группах неоднозначных случаев.</w:t>
      </w:r>
    </w:p>
    <w:p>
      <w:pPr>
        <w:pStyle w:val="a0"/>
        <w:spacing w:after="80" w:line="276" w:lineRule="auto"/>
        <w:widowControl/>
      </w:pPr>
      <w:r>
        <w:rPr>
          <w:rFonts w:ascii="Times New Roman" w:hAnsi="Times New Roman" w:eastAsia="Times New Roman"/>
          <w:b w:val="0"/>
          <w:i w:val="0"/>
        </w:rPr>
        <w:t>Полный P1 сформировал 2 828 недопустимых автоматических действий, лучший зафиксированный базовый метод `weighted_linear_score` — 2 722, P0 — 2 839. Следовательно, P1 хуже лучшего базового метода на 106 событий. Относительная редукция −0,038942 имеет отрицательный знак, то есть число недопустимых действий увеличилось. Доверительный интервал и скорректированное p-значение не поддерживают превосходство.</w:t>
      </w: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3080606"/>
            <wp:docPr id="17" name="Picture 17" descr="Рисунок 4.17 — Число недопустимых автоматических действий при фиксированном бюджете" title="Рисунок 1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508000" cy="3080606"/>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4.17 — Число недопустимых автоматических действий при фиксированном бюджете</w:t>
      </w: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3219523"/>
            <wp:docPr id="18" name="Picture 18" descr="Рисунок 4.18 — Кривые операционного риска и автоматического покрытия" title="Рисунок 1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508000" cy="3219523"/>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4.18 — Кривые операционного риска и автоматического покрытия</w:t>
      </w:r>
    </w:p>
    <w:p>
      <w:pPr>
        <w:pStyle w:val="a0"/>
        <w:spacing w:before="60" w:after="120"/>
      </w:pPr>
      <w:r>
        <w:rPr>
          <w:rFonts w:ascii="Times New Roman" w:hAnsi="Times New Roman" w:eastAsia="Times New Roman"/>
        </w:rPr>
        <w:t>Уточнённая H3 не подтвердила преимущество P1 над лучшим базовым методом и предсказательной политикой P0. Полная таблица политик и исключения компонентов приведена в таблице А.10.</w:t>
      </w:r>
    </w:p>
    <w:p>
      <w:pPr/>
    </w:p>
    <w:p>
      <w:pPr>
        <w:pStyle w:val="a0"/>
        <w:spacing w:after="80" w:line="276" w:lineRule="auto"/>
        <w:widowControl/>
      </w:pPr>
      <w:r>
        <w:rPr>
          <w:rFonts w:ascii="Times New Roman" w:hAnsi="Times New Roman" w:eastAsia="Times New Roman"/>
        </w:rPr>
        <w:t>H3-P2 не оценивалась, поскольку на выборке разработки не существовало применимой рабочей точки с заранее заданной верхней границей риска 0,05. Изменение этой границы после открытия контрольной выборки означало бы смену основного показателя. H3-P3 не поддержана: различие P1 и P0 мало и не имеет устойчивого направления. В группе нестабильных объяснений наблюдалось локальное преимущество P1, однако заранее зафиксированная статистическая проверка подгруппы не была завершена, поэтому H3-P4 также не переводится в положительное утверждение.</w:t>
      </w:r>
    </w:p>
    <w:p>
      <w:pPr>
        <w:pStyle w:val="a8"/>
        <w:keepLines/>
        <w:spacing w:after="80" w:line="276" w:lineRule="auto"/>
        <w:widowControl/>
      </w:pPr>
      <w:r>
        <w:rPr>
          <w:rFonts w:ascii="Times New Roman" w:hAnsi="Times New Roman" w:eastAsia="Times New Roman"/>
        </w:rPr>
        <w:t>На исследованных независимых наборах практический контроллер не продемонстрировал устойчивого преимущества над лучшими селективными базовыми политиками. Признаки маршрута и объяснения подтверждены как диагностические и аудиторские каналы, но не как универсальное средство повышения эффективности политики действия.</w:t>
      </w:r>
    </w:p>
    <w:p>
      <w:pPr>
        <w:pStyle w:val="a0"/>
        <w:spacing w:after="80" w:line="276" w:lineRule="auto"/>
        <w:widowControl/>
      </w:pPr>
      <w:r>
        <w:rPr>
          <w:rFonts w:ascii="Times New Roman" w:hAnsi="Times New Roman" w:eastAsia="Times New Roman"/>
          <w:b w:val="0"/>
          <w:i w:val="0"/>
        </w:rPr>
        <w:t>Отрицательный результат H3 ограничивает функцию контроллера. Вместе с тем он не отвечает на вопрос, способен ли оператор сертифицировать структурную допустимость маршрута.</w:t>
      </w:r>
    </w:p>
    <w:p>
      <w:pPr>
        <w:pStyle w:val="a0"/>
        <w:widowControl/>
      </w:pPr>
      <w:r>
        <w:rPr>
          <w:rFonts w:ascii="Times New Roman" w:hAnsi="Times New Roman" w:eastAsia="Times New Roman"/>
          <w:i/>
          <w:sz w:val="19"/>
        </w:rPr>
        <w:t>Доказательная основа раздела: E11–E14 и E24. В них зафиксированы итоговая статистика, сравнение P0/P1, исключение компонентов и заранее определённые группы неоднозначных случаев.</w:t>
      </w:r>
    </w:p>
    <w:p>
      <w:pPr>
        <w:pStyle w:val="2"/>
        <w:keepNext/>
        <w:keepLines/>
        <w:pageBreakBefore/>
        <w:spacing w:before="200" w:after="120"/>
        <w:keepNext/>
      </w:pPr>
      <w:r>
        <w:rPr>
          <w:rFonts w:ascii="Times New Roman" w:hAnsi="Times New Roman" w:eastAsia="Times New Roman"/>
        </w:rPr>
        <w:t>4.18 Структурная валидность маршрута: H5-A без подмены H5-P</w:t>
      </w:r>
    </w:p>
    <w:p>
      <w:pPr>
        <w:pStyle w:val="FirstParagraph"/>
        <w:widowControl/>
      </w:pPr>
      <w:r>
        <w:rPr>
          <w:rFonts w:ascii="Times New Roman" w:hAnsi="Times New Roman" w:eastAsia="Times New Roman"/>
          <w:i w:val="0"/>
        </w:rPr>
        <w:t>Неподтверждение практического преимущества не отменяет необходимости проверить более узкое свойство — способен ли оператор обнаружить формальную недопустимость маршрута независимо от истинности прогноза.</w:t>
      </w:r>
    </w:p>
    <w:p>
      <w:pPr>
        <w:pStyle w:val="FirstParagraph"/>
        <w:spacing w:after="80" w:line="276" w:lineRule="auto"/>
        <w:widowControl/>
      </w:pPr>
      <w:r>
        <w:rPr>
          <w:rFonts w:ascii="Times New Roman" w:hAnsi="Times New Roman" w:eastAsia="Times New Roman"/>
        </w:rPr>
        <w:t>H5-S, H5-P и H5-A имеют разные целевые события. H5-S проверяет обнаружение зарегистрированного структурного разрыва, H5-P — связь разрыва с ошибкой модели, H5-A — допустимость автоматического маршрута при известных нарушениях контракта. Положительный H5-A не переименовывает и не отменяет отрицательный H5-P.</w:t>
      </w:r>
    </w:p>
    <w:p>
      <w:pPr>
        <w:pStyle w:val="a0"/>
        <w:spacing w:after="80" w:line="276" w:lineRule="auto"/>
        <w:widowControl/>
      </w:pPr>
      <w:r>
        <w:rPr>
          <w:rFonts w:ascii="Times New Roman" w:hAnsi="Times New Roman" w:eastAsia="Times New Roman"/>
        </w:rPr>
        <w:t>Библиотека H5-A включает 40 шаблонов нарушений и 14 композиционных шаблонов: отсутствие происхождения, несовпадение версии модели, неверная пара предобработки и объяснителя, отсутствие калибровки, неверная контрольная популяция, повреждённое преобразование, несовместимый словарь, чрезмерная потеря при редукции, повреждённая контрольная сумма аудита и другие зарегистрированные состояния. Итоговая совокупность содержит 1 950 записей.</w:t>
      </w:r>
    </w:p>
    <w:p>
      <w:pPr>
        <w:pStyle w:val="aa"/>
        <w:keepNext/>
        <w:keepLines/>
        <w:spacing w:before="120" w:after="80"/>
        <w:jc w:val="center"/>
        <w:keepNext/>
      </w:pPr>
      <w:r>
        <w:rPr>
          <w:rFonts w:ascii="Times New Roman" w:hAnsi="Times New Roman" w:eastAsia="Times New Roman"/>
          <w:b w:val="0"/>
          <w:i w:val="0"/>
        </w:rPr>
        <w:t>Таблица 4.27 — Обнаружение и локализация контролируемых нарушений маршрута</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48"/>
        <w:gridCol w:w="978"/>
        <w:gridCol w:w="908"/>
        <w:gridCol w:w="835"/>
        <w:gridCol w:w="1573"/>
        <w:gridCol w:w="1662"/>
        <w:gridCol w:w="1480"/>
      </w:tblGrid>
      <w:tr>
        <w:trPr>
          <w:tblHeader w:val="true"/>
          <w:cantSplit/>
          <w:cantSplit/>
          <w:tblHeader w:val="true"/>
          <w:tblHeader w:val="true"/>
          <w:cantSplit/>
          <w:tblHeader w:val="true"/>
          <w:cantSplit w:val="true"/>
        </w:trPr>
        <w:tc>
          <w:tcPr>
            <w:tcW w:type="dxa" w:w="1748"/>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Метод</w:t>
              <w:rPr>
                <w:rFonts w:ascii="Times New Roman" w:hAnsi="Times New Roman" w:eastAsia="Times New Roman" w:cs="Times New Roman"/>
                <w:b/>
                <w:sz w:val="18"/>
                <w:szCs w:val="21"/>
              </w:rPr>
            </w:r>
          </w:p>
        </w:tc>
        <w:tc>
          <w:tcPr>
            <w:tcW w:type="dxa" w:w="97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Точность</w:t>
              <w:rPr>
                <w:rFonts w:ascii="Times New Roman" w:hAnsi="Times New Roman" w:eastAsia="Times New Roman" w:cs="Times New Roman"/>
                <w:b/>
                <w:sz w:val="18"/>
                <w:szCs w:val="21"/>
              </w:rPr>
            </w:r>
          </w:p>
        </w:tc>
        <w:tc>
          <w:tcPr>
            <w:tcW w:type="dxa" w:w="90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Полнота</w:t>
              <w:rPr>
                <w:rFonts w:ascii="Times New Roman" w:hAnsi="Times New Roman" w:eastAsia="Times New Roman" w:cs="Times New Roman"/>
                <w:b/>
                <w:sz w:val="18"/>
                <w:szCs w:val="21"/>
              </w:rPr>
            </w:r>
          </w:p>
        </w:tc>
        <w:tc>
          <w:tcPr>
            <w:tcW w:type="dxa" w:w="83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F1</w:t>
              <w:rPr>
                <w:rFonts w:ascii="Times New Roman" w:hAnsi="Times New Roman" w:eastAsia="Times New Roman" w:cs="Times New Roman"/>
                <w:b/>
                <w:sz w:val="18"/>
                <w:szCs w:val="21"/>
              </w:rPr>
            </w:r>
          </w:p>
        </w:tc>
        <w:tc>
          <w:tcPr>
            <w:tcW w:type="dxa" w:w="1573"/>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Ложная сертификация</w:t>
              <w:rPr>
                <w:rFonts w:ascii="Times New Roman" w:hAnsi="Times New Roman" w:eastAsia="Times New Roman" w:cs="Times New Roman"/>
                <w:b/>
                <w:sz w:val="18"/>
                <w:szCs w:val="21"/>
              </w:rPr>
            </w:r>
          </w:p>
        </w:tc>
        <w:tc>
          <w:tcPr>
            <w:tcW w:type="dxa" w:w="1662"/>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Локализация источника</w:t>
              <w:rPr>
                <w:rFonts w:ascii="Times New Roman" w:hAnsi="Times New Roman" w:eastAsia="Times New Roman" w:cs="Times New Roman"/>
                <w:b/>
                <w:sz w:val="18"/>
                <w:szCs w:val="21"/>
              </w:rPr>
            </w:r>
          </w:p>
        </w:tc>
        <w:tc>
          <w:tcPr>
            <w:tcW w:type="dxa" w:w="1480"/>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Ложная блокировка</w:t>
              <w:rPr>
                <w:rFonts w:ascii="Times New Roman" w:hAnsi="Times New Roman" w:eastAsia="Times New Roman" w:cs="Times New Roman"/>
                <w:b/>
                <w:sz w:val="18"/>
                <w:szCs w:val="21"/>
              </w:rPr>
            </w:r>
          </w:p>
        </w:tc>
      </w:tr>
      <w:tr>
        <w:tc>
          <w:tcPr>
            <w:tcW w:type="dxa" w:w="174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Логическое объединение</w:t>
              <w:rPr>
                <w:rFonts w:ascii="Times New Roman" w:hAnsi="Times New Roman" w:eastAsia="Times New Roman" w:cs="Times New Roman"/>
                <w:b w:val="0"/>
                <w:sz w:val="18"/>
                <w:szCs w:val="21"/>
              </w:rPr>
            </w:r>
          </w:p>
        </w:tc>
        <w:tc>
          <w:tcPr>
            <w:tcW w:type="dxa" w:w="97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0,9848</w:t>
              <w:rPr>
                <w:rFonts w:ascii="Times New Roman" w:hAnsi="Times New Roman" w:eastAsia="Times New Roman" w:cs="Times New Roman"/>
                <w:b w:val="0"/>
                <w:sz w:val="18"/>
                <w:szCs w:val="21"/>
              </w:rPr>
            </w:r>
          </w:p>
        </w:tc>
        <w:tc>
          <w:tcPr>
            <w:tcW w:type="dxa" w:w="9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0,1258</w:t>
              <w:rPr>
                <w:rFonts w:ascii="Times New Roman" w:hAnsi="Times New Roman" w:eastAsia="Times New Roman" w:cs="Times New Roman"/>
                <w:b w:val="0"/>
                <w:sz w:val="18"/>
                <w:szCs w:val="21"/>
              </w:rPr>
            </w:r>
          </w:p>
        </w:tc>
        <w:tc>
          <w:tcPr>
            <w:tcW w:type="dxa" w:w="83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0,2231</w:t>
              <w:rPr>
                <w:rFonts w:ascii="Times New Roman" w:hAnsi="Times New Roman" w:eastAsia="Times New Roman" w:cs="Times New Roman"/>
                <w:b w:val="0"/>
                <w:sz w:val="18"/>
                <w:szCs w:val="21"/>
              </w:rPr>
            </w:r>
          </w:p>
        </w:tc>
        <w:tc>
          <w:tcPr>
            <w:tcW w:type="dxa" w:w="1573"/>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0,8742</w:t>
              <w:rPr>
                <w:rFonts w:ascii="Times New Roman" w:hAnsi="Times New Roman" w:eastAsia="Times New Roman" w:cs="Times New Roman"/>
                <w:b w:val="0"/>
                <w:sz w:val="18"/>
                <w:szCs w:val="21"/>
              </w:rPr>
            </w:r>
          </w:p>
        </w:tc>
        <w:tc>
          <w:tcPr>
            <w:tcW w:type="dxa" w:w="1662"/>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Не рассчитывалась</w:t>
              <w:rPr>
                <w:rFonts w:ascii="Times New Roman" w:hAnsi="Times New Roman" w:eastAsia="Times New Roman" w:cs="Times New Roman"/>
                <w:b w:val="0"/>
                <w:sz w:val="18"/>
                <w:szCs w:val="21"/>
              </w:rPr>
            </w:r>
          </w:p>
        </w:tc>
        <w:tc>
          <w:tcPr>
            <w:tcW w:type="dxa" w:w="148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0,0075</w:t>
              <w:rPr>
                <w:rFonts w:ascii="Times New Roman" w:hAnsi="Times New Roman" w:eastAsia="Times New Roman" w:cs="Times New Roman"/>
                <w:b w:val="0"/>
                <w:sz w:val="18"/>
                <w:szCs w:val="21"/>
              </w:rPr>
            </w:r>
          </w:p>
        </w:tc>
        <w:trPr>
          <w:cantSplit/>
          <w:cantSplit/>
          <w:cantSplit/>
          <w:cantSplit w:val="true"/>
        </w:trPr>
      </w:tr>
      <w:tr>
        <w:tc>
          <w:tcPr>
            <w:tcW w:type="dxa" w:w="174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Типизированная проверка</w:t>
              <w:rPr>
                <w:rFonts w:ascii="Times New Roman" w:hAnsi="Times New Roman" w:eastAsia="Times New Roman" w:cs="Times New Roman"/>
                <w:b w:val="0"/>
                <w:sz w:val="18"/>
                <w:szCs w:val="21"/>
              </w:rPr>
            </w:r>
          </w:p>
        </w:tc>
        <w:tc>
          <w:tcPr>
            <w:tcW w:type="dxa" w:w="97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90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83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1573"/>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c>
          <w:tcPr>
            <w:tcW w:type="dxa" w:w="1662"/>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148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055974"/>
            <wp:docPr id="19" name="Picture 19" descr="Рисунок 4.19 — Сравнение простой и типизированной проверки маршрута" title="Рисунок 1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08000" cy="2055974"/>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4.19 — Сравнение простой и типизированной проверки маршрута</w:t>
      </w:r>
    </w:p>
    <w:p>
      <w:pPr>
        <w:pStyle w:val="a0"/>
        <w:spacing w:after="80" w:line="276" w:lineRule="auto"/>
        <w:widowControl/>
      </w:pPr>
      <w:r>
        <w:rPr>
          <w:rFonts w:ascii="Times New Roman" w:hAnsi="Times New Roman" w:eastAsia="Times New Roman"/>
          <w:b w:val="0"/>
          <w:i w:val="0"/>
        </w:rPr>
        <w:t>Типизированный валидатор получил точность, полноту, F1 и локализацию источника 1,0 при нулевой ложной сертификации и нулевой ложной блокировке. Простая дизъюнктивная проверка сохранила высокую точность, но имела полноту 0,1258 и ложную сертификацию 0,8742. Область вывода ограничена зарегистрированной библиотекой в соответствии с общими ограничениями раздела 4.15.</w:t>
      </w:r>
    </w:p>
    <w:p>
      <w:pPr>
        <w:pStyle w:val="a0"/>
        <w:spacing w:after="80" w:line="276" w:lineRule="auto"/>
        <w:widowControl/>
      </w:pPr>
      <w:r>
        <w:rPr>
          <w:rFonts w:ascii="Times New Roman" w:hAnsi="Times New Roman" w:eastAsia="Times New Roman"/>
          <w:b w:val="0"/>
          <w:i w:val="0"/>
        </w:rPr>
        <w:t>Структурная сертификация H5-A проверяет наличие маршрута, тогда как H6 оценивает обнаружимость и локальный эффект правил. Эти задачи не следует смешивать.</w:t>
      </w:r>
    </w:p>
    <w:p>
      <w:pPr>
        <w:pStyle w:val="a0"/>
        <w:widowControl/>
      </w:pPr>
      <w:r>
        <w:rPr>
          <w:rFonts w:ascii="Times New Roman" w:hAnsi="Times New Roman" w:eastAsia="Times New Roman"/>
          <w:i/>
          <w:sz w:val="19"/>
        </w:rPr>
        <w:t>Доказательная основа раздела: E18–E19. Источники разделяют обнаружение зарегистрированных нарушений маршрута и отрицательный результат предсказательной H5-P.</w:t>
      </w:r>
    </w:p>
    <w:p>
      <w:pPr>
        <w:pStyle w:val="2"/>
        <w:keepNext/>
        <w:keepLines/>
        <w:pageBreakBefore/>
        <w:spacing w:before="200" w:after="120"/>
        <w:keepNext/>
      </w:pPr>
      <w:r>
        <w:rPr>
          <w:rFonts w:ascii="Times New Roman" w:hAnsi="Times New Roman" w:eastAsia="Times New Roman"/>
        </w:rPr>
        <w:t>4.19 Абляционный анализ: H6-A и H6-B при сохранении отрицательного H6-general</w:t>
      </w:r>
    </w:p>
    <w:p>
      <w:pPr>
        <w:pStyle w:val="FirstParagraph"/>
        <w:widowControl/>
      </w:pPr>
      <w:r>
        <w:rPr>
          <w:rFonts w:ascii="Times New Roman" w:hAnsi="Times New Roman" w:eastAsia="Times New Roman"/>
          <w:i w:val="0"/>
        </w:rPr>
        <w:t>После проверки маршрута рассматривается другой диагностический объект — правило модели. Здесь необходимо отделить обнаружимость внедрённого эффекта от универсальной полезности удаления реального правила.</w:t>
      </w:r>
    </w:p>
    <w:p>
      <w:pPr>
        <w:pStyle w:val="FirstParagraph"/>
        <w:spacing w:after="80" w:line="276" w:lineRule="auto"/>
        <w:widowControl/>
      </w:pPr>
      <w:r>
        <w:rPr>
          <w:rFonts w:ascii="Times New Roman" w:hAnsi="Times New Roman" w:eastAsia="Times New Roman"/>
        </w:rPr>
        <w:t>H6-general о едином воспроизводимом эффекте удаления важного правила остаётся неподтверждённой. Новые проверки отвечают на более узкие вопросы: H6-A исследует обнаружимость внедрённого эффекта в заранее зарегистрированной области применимости; H6-B переносит процедуру сопоставимого контроля на реальные правила двух табличных наборов.</w:t>
      </w:r>
    </w:p>
    <w:p>
      <w:pPr>
        <w:pStyle w:val="a0"/>
        <w:spacing w:before="60" w:after="120"/>
      </w:pPr>
      <w:r>
        <w:rPr>
          <w:rFonts w:ascii="Times New Roman" w:hAnsi="Times New Roman" w:eastAsia="Times New Roman"/>
        </w:rPr>
        <w:t>H6-A подтвердила обнаружимость внедрённого эффекта только внутри заранее заданной области достаточной поддержки, эффекта и ограниченной избыточности. Полная факторная сетка приведена в таблице А.11.</w:t>
      </w:r>
    </w:p>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3929630"/>
            <wp:docPr id="20" name="Picture 20" descr="Рисунок 4.20 — Доля обнаруженных правил в зависимости от поддержки и эффекта" title="Рисунок 2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08000" cy="3929630"/>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4.20 — Доля обнаруженных правил в зависимости от поддержки и эффекта</w:t>
      </w:r>
    </w:p>
    <w:p>
      <w:pPr>
        <w:pStyle w:val="a0"/>
        <w:spacing w:after="80" w:line="276" w:lineRule="auto"/>
        <w:widowControl/>
      </w:pPr>
      <w:r>
        <w:rPr>
          <w:rFonts w:ascii="Times New Roman" w:hAnsi="Times New Roman" w:eastAsia="Times New Roman"/>
          <w:b w:val="0"/>
          <w:i w:val="0"/>
        </w:rPr>
        <w:t>Область обнаружимости задана условиями: поддержка не ниже 0,05, внедрённый эффект не ниже 0,05 и избыточность не выше 0,50. Для 243 конфигураций доля обнаружения и правильность знака равны 1,0; точный 95 %-й биномиальный интервал Клоппера–Пирсона составляет [0,984934; 1,0]. Границы переноса результата определены общими ограничениями раздела 4.15.</w:t>
      </w:r>
    </w:p>
    <w:p>
      <w:pPr>
        <w:pStyle w:val="aa"/>
        <w:keepNext/>
        <w:keepLines/>
        <w:spacing w:before="120" w:after="80"/>
        <w:jc w:val="center"/>
        <w:keepNext/>
      </w:pPr>
      <w:r>
        <w:rPr>
          <w:rFonts w:ascii="Times New Roman" w:hAnsi="Times New Roman" w:eastAsia="Times New Roman"/>
          <w:b w:val="0"/>
          <w:i w:val="0"/>
        </w:rPr>
        <w:t>Таблица 4.28 — Исключение реальных правил-кандидатов и сопоставимых контрольных правил H6-B</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87"/>
        <w:gridCol w:w="1815"/>
        <w:gridCol w:w="1815"/>
        <w:gridCol w:w="1815"/>
        <w:gridCol w:w="2052"/>
      </w:tblGrid>
      <w:tr>
        <w:trPr>
          <w:tblHeader w:val="true"/>
          <w:cantSplit/>
          <w:cantSplit/>
          <w:tblHeader w:val="true"/>
          <w:tblHeader w:val="true"/>
          <w:cantSplit/>
          <w:tblHeader w:val="true"/>
          <w:cantSplit w:val="true"/>
        </w:trPr>
        <w:tc>
          <w:tcPr>
            <w:tcW w:type="dxa" w:w="1687"/>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Набор данных</w:t>
              <w:rPr>
                <w:rFonts w:ascii="Times New Roman" w:hAnsi="Times New Roman" w:eastAsia="Times New Roman" w:cs="Times New Roman"/>
                <w:b/>
                <w:sz w:val="18"/>
                <w:szCs w:val="21"/>
              </w:rPr>
            </w:r>
          </w:p>
        </w:tc>
        <w:tc>
          <w:tcPr>
            <w:tcW w:type="dxa" w:w="181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Базовая точность</w:t>
              <w:rPr>
                <w:rFonts w:ascii="Times New Roman" w:hAnsi="Times New Roman" w:eastAsia="Times New Roman" w:cs="Times New Roman"/>
                <w:b/>
                <w:sz w:val="18"/>
                <w:szCs w:val="21"/>
              </w:rPr>
            </w:r>
          </w:p>
        </w:tc>
        <w:tc>
          <w:tcPr>
            <w:tcW w:type="dxa" w:w="181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Эффект кандидата</w:t>
              <w:rPr>
                <w:rFonts w:ascii="Times New Roman" w:hAnsi="Times New Roman" w:eastAsia="Times New Roman" w:cs="Times New Roman"/>
                <w:b/>
                <w:sz w:val="18"/>
                <w:szCs w:val="21"/>
              </w:rPr>
            </w:r>
          </w:p>
        </w:tc>
        <w:tc>
          <w:tcPr>
            <w:tcW w:type="dxa" w:w="181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Медиана контроля</w:t>
              <w:rPr>
                <w:rFonts w:ascii="Times New Roman" w:hAnsi="Times New Roman" w:eastAsia="Times New Roman" w:cs="Times New Roman"/>
                <w:b/>
                <w:sz w:val="18"/>
                <w:szCs w:val="21"/>
              </w:rPr>
            </w:r>
          </w:p>
        </w:tc>
        <w:tc>
          <w:tcPr>
            <w:tcW w:type="dxa" w:w="2052"/>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Специфический эффект</w:t>
              <w:rPr>
                <w:rFonts w:ascii="Times New Roman" w:hAnsi="Times New Roman" w:eastAsia="Times New Roman" w:cs="Times New Roman"/>
                <w:b/>
                <w:sz w:val="18"/>
                <w:szCs w:val="21"/>
              </w:rPr>
            </w:r>
          </w:p>
        </w:tc>
      </w:tr>
      <w:tr>
        <w:tc>
          <w:tcPr>
            <w:tcW w:type="dxa" w:w="168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Bank Marketing</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0,7034</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0,011656</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0,000000</w:t>
              <w:rPr>
                <w:rFonts w:ascii="Times New Roman" w:hAnsi="Times New Roman" w:eastAsia="Times New Roman" w:cs="Times New Roman"/>
                <w:b w:val="0"/>
                <w:sz w:val="18"/>
                <w:szCs w:val="21"/>
              </w:rPr>
            </w:r>
          </w:p>
        </w:tc>
        <w:tc>
          <w:tcPr>
            <w:tcW w:type="dxa" w:w="2052"/>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0,011656</w:t>
              <w:rPr>
                <w:rFonts w:ascii="Times New Roman" w:hAnsi="Times New Roman" w:eastAsia="Times New Roman" w:cs="Times New Roman"/>
                <w:b w:val="0"/>
                <w:sz w:val="18"/>
                <w:szCs w:val="21"/>
              </w:rPr>
            </w:r>
          </w:p>
        </w:tc>
        <w:trPr>
          <w:cantSplit/>
          <w:cantSplit/>
          <w:cantSplit/>
          <w:cantSplit w:val="true"/>
        </w:trPr>
      </w:tr>
      <w:tr>
        <w:tc>
          <w:tcPr>
            <w:tcW w:type="dxa" w:w="168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Default Credit</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0,8182</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0,015331</w:t>
              <w:rPr>
                <w:rFonts w:ascii="Times New Roman" w:hAnsi="Times New Roman" w:eastAsia="Times New Roman" w:cs="Times New Roman"/>
                <w:b w:val="0"/>
                <w:sz w:val="18"/>
                <w:szCs w:val="21"/>
              </w:rPr>
            </w:r>
          </w:p>
        </w:tc>
        <w:tc>
          <w:tcPr>
            <w:tcW w:type="dxa" w:w="181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0,007165</w:t>
              <w:rPr>
                <w:rFonts w:ascii="Times New Roman" w:hAnsi="Times New Roman" w:eastAsia="Times New Roman" w:cs="Times New Roman"/>
                <w:b w:val="0"/>
                <w:sz w:val="18"/>
                <w:szCs w:val="21"/>
              </w:rPr>
            </w:r>
          </w:p>
        </w:tc>
        <w:tc>
          <w:tcPr>
            <w:tcW w:type="dxa" w:w="2052"/>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0,008165</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3202673"/>
            <wp:docPr id="21" name="Picture 21" descr="Рисунок 4.21 — Наблюдаемый эффект исключения правил на двух независимых наборах" title="Рисунок 2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508000" cy="3202673"/>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4.21 — Наблюдаемый эффект исключения правил на двух независимых наборах</w:t>
      </w:r>
    </w:p>
    <w:p>
      <w:pPr>
        <w:pStyle w:val="a0"/>
        <w:spacing w:after="80" w:line="276" w:lineRule="auto"/>
        <w:widowControl/>
      </w:pPr>
      <w:r>
        <w:rPr>
          <w:rFonts w:ascii="Times New Roman" w:hAnsi="Times New Roman" w:eastAsia="Times New Roman"/>
        </w:rPr>
        <w:t>Направление специфического эффекта положительно на обоих наборах, но заранее зафиксированный доверительный интервал и критерий с поправкой Холма не были сформированы. Поэтому H6-B имеет описательный статус и не считается статистическим подтверждением. Совокупный вывод остаётся прежним: абляция пригодна как локальная диагностика конкретной модели и правила, но не как универсальный механизм повышения качества.</w:t>
      </w:r>
    </w:p>
    <w:p>
      <w:pPr>
        <w:pStyle w:val="a0"/>
        <w:spacing w:after="80" w:line="276" w:lineRule="auto"/>
        <w:widowControl/>
      </w:pPr>
      <w:r>
        <w:rPr>
          <w:rFonts w:ascii="Times New Roman" w:hAnsi="Times New Roman" w:eastAsia="Times New Roman"/>
          <w:b w:val="0"/>
          <w:i w:val="0"/>
        </w:rPr>
        <w:t>Абляция определяет локальную чувствительность к правилу, но не гарантирует сохранность исходного объяснения при последующей редукции. Это свойство проверяется каноническим слоем H7.</w:t>
      </w:r>
    </w:p>
    <w:p>
      <w:pPr>
        <w:pStyle w:val="a0"/>
        <w:widowControl/>
      </w:pPr>
      <w:r>
        <w:rPr>
          <w:rFonts w:ascii="Times New Roman" w:hAnsi="Times New Roman" w:eastAsia="Times New Roman"/>
          <w:i/>
          <w:sz w:val="19"/>
        </w:rPr>
        <w:t>Доказательная основа раздела: E20–E21. Область обнаружимости внедрённых правил и результаты для реальных правил хранятся отдельно и имеют различный статус вывода.</w:t>
      </w:r>
    </w:p>
    <w:p>
      <w:pPr>
        <w:pStyle w:val="2"/>
        <w:keepNext/>
        <w:keepLines/>
        <w:pageBreakBefore/>
        <w:spacing w:before="200" w:after="120"/>
        <w:keepNext/>
      </w:pPr>
      <w:r>
        <w:rPr>
          <w:rFonts w:ascii="Times New Roman" w:hAnsi="Times New Roman" w:eastAsia="Times New Roman"/>
        </w:rPr>
        <w:t>4.20 Канонический слой доказательств и пользовательская проекция: H7</w:t>
      </w:r>
    </w:p>
    <w:p>
      <w:pPr>
        <w:pStyle w:val="FirstParagraph"/>
        <w:widowControl/>
      </w:pPr>
      <w:r>
        <w:rPr>
          <w:rFonts w:ascii="Times New Roman" w:hAnsi="Times New Roman" w:eastAsia="Times New Roman"/>
          <w:i w:val="0"/>
        </w:rPr>
        <w:t>Диагностика правил и маршрута имеет смысл только при сохранении исходного объяснительного материала. Поэтому далее отдельно проверяются неизменность канонического слоя и свойства его сокращённой проекции.</w:t>
      </w:r>
    </w:p>
    <w:p>
      <w:pPr>
        <w:pStyle w:val="FirstParagraph"/>
        <w:spacing w:after="80" w:line="276" w:lineRule="auto"/>
        <w:widowControl/>
      </w:pPr>
      <w:r>
        <w:rPr>
          <w:rFonts w:ascii="Times New Roman" w:hAnsi="Times New Roman" w:eastAsia="Times New Roman"/>
        </w:rPr>
        <w:t>H7 разделяет исходный объяснительный артефакт и его сокращённую пользовательскую проекцию. Канонический слой хранит идентификатор компонента, знак, величину, ранг, условия правила или маску, параметры объяснителя, идентификатор контрольной выборки и SHA256. Группировка и текстовое сокращение создают отдельный производный объект и не изменяют исходные свидетельства.</w:t>
      </w:r>
    </w:p>
    <w:p>
      <w:pPr>
        <w:pStyle w:val="aa"/>
        <w:keepNext/>
        <w:keepLines/>
        <w:spacing w:before="120" w:after="80"/>
        <w:jc w:val="center"/>
        <w:keepNext/>
      </w:pPr>
      <w:r>
        <w:rPr>
          <w:rFonts w:ascii="Times New Roman" w:hAnsi="Times New Roman" w:eastAsia="Times New Roman"/>
          <w:b w:val="0"/>
          <w:i w:val="0"/>
        </w:rPr>
        <w:t>Таблица 4.29 — Сохранение канонических артефактов и характеристики пользовательской проекции</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40"/>
        <w:gridCol w:w="1867"/>
        <w:gridCol w:w="3777"/>
      </w:tblGrid>
      <w:tr>
        <w:trPr>
          <w:tblHeader w:val="true"/>
          <w:cantSplit/>
          <w:cantSplit/>
          <w:tblHeader w:val="true"/>
          <w:tblHeader w:val="true"/>
          <w:cantSplit/>
          <w:tblHeader w:val="true"/>
          <w:cantSplit w:val="true"/>
        </w:trPr>
        <w:tc>
          <w:tcPr>
            <w:tcW w:type="dxa" w:w="354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Показатель</w:t>
              <w:rPr>
                <w:rFonts w:ascii="Times New Roman" w:hAnsi="Times New Roman" w:eastAsia="Times New Roman" w:cs="Times New Roman"/>
                <w:b/>
                <w:sz w:val="19"/>
                <w:szCs w:val="21"/>
              </w:rPr>
            </w:r>
          </w:p>
        </w:tc>
        <w:tc>
          <w:tcPr>
            <w:tcW w:type="dxa" w:w="1867"/>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Значение</w:t>
              <w:rPr>
                <w:rFonts w:ascii="Times New Roman" w:hAnsi="Times New Roman" w:eastAsia="Times New Roman" w:cs="Times New Roman"/>
                <w:b/>
                <w:sz w:val="19"/>
                <w:szCs w:val="21"/>
              </w:rPr>
            </w:r>
          </w:p>
        </w:tc>
        <w:tc>
          <w:tcPr>
            <w:tcW w:type="dxa" w:w="3777"/>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Научная интерпретация</w:t>
              <w:rPr>
                <w:rFonts w:ascii="Times New Roman" w:hAnsi="Times New Roman" w:eastAsia="Times New Roman" w:cs="Times New Roman"/>
                <w:b/>
                <w:sz w:val="19"/>
                <w:szCs w:val="21"/>
              </w:rPr>
            </w:r>
          </w:p>
        </w:tc>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Канонические артефакты</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17 404</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Полная контрольная выборка</w:t>
              <w:rPr>
                <w:rFonts w:ascii="Times New Roman" w:hAnsi="Times New Roman" w:eastAsia="Times New Roman" w:cs="Times New Roman"/>
                <w:b w:val="0"/>
                <w:sz w:val="19"/>
                <w:szCs w:val="21"/>
              </w:rPr>
            </w:r>
          </w:p>
        </w:tc>
        <w:trPr>
          <w:cantSplit/>
          <w:cantSplit/>
          <w:cantSplit/>
          <w:cantSplit w:val="true"/>
        </w:trPr>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Совпадение контрольных сумм</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Исходное объяснение сохранено точно</w:t>
              <w:rPr>
                <w:rFonts w:ascii="Times New Roman" w:hAnsi="Times New Roman" w:eastAsia="Times New Roman" w:cs="Times New Roman"/>
                <w:b w:val="0"/>
                <w:sz w:val="19"/>
                <w:szCs w:val="21"/>
              </w:rPr>
            </w:r>
          </w:p>
        </w:tc>
        <w:trPr>
          <w:cantSplit/>
          <w:cantSplit/>
          <w:cantSplit/>
          <w:cantSplit w:val="true"/>
        </w:trPr>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Сохранённая масса атрибуций</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0,8382</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Описательная характеристика проекции</w:t>
              <w:rPr>
                <w:rFonts w:ascii="Times New Roman" w:hAnsi="Times New Roman" w:eastAsia="Times New Roman" w:cs="Times New Roman"/>
                <w:b w:val="0"/>
                <w:sz w:val="19"/>
                <w:szCs w:val="21"/>
              </w:rPr>
            </w:r>
          </w:p>
        </w:tc>
        <w:trPr>
          <w:cantSplit/>
          <w:cantSplit/>
          <w:cantSplit/>
          <w:cantSplit w:val="true"/>
        </w:trPr>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Сокращение длины</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0,7589</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Проекция стала короче</w:t>
              <w:rPr>
                <w:rFonts w:ascii="Times New Roman" w:hAnsi="Times New Roman" w:eastAsia="Times New Roman" w:cs="Times New Roman"/>
                <w:b w:val="0"/>
                <w:sz w:val="19"/>
                <w:szCs w:val="21"/>
              </w:rPr>
            </w:r>
          </w:p>
        </w:tc>
        <w:trPr>
          <w:cantSplit/>
          <w:cantSplit/>
          <w:cantSplit/>
          <w:cantSplit w:val="true"/>
        </w:trPr>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Устойчивость исходного артефакта</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0,8913</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Не является приростом после проекции</w:t>
              <w:rPr>
                <w:rFonts w:ascii="Times New Roman" w:hAnsi="Times New Roman" w:eastAsia="Times New Roman" w:cs="Times New Roman"/>
                <w:b w:val="0"/>
                <w:sz w:val="19"/>
                <w:szCs w:val="21"/>
              </w:rPr>
            </w:r>
          </w:p>
        </w:tc>
        <w:trPr>
          <w:cantSplit/>
          <w:cantSplit/>
          <w:cantSplit/>
          <w:cantSplit w:val="true"/>
        </w:trPr>
      </w:tr>
      <w:tr>
        <w:tc>
          <w:tcPr>
            <w:tcW w:type="dxa" w:w="354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Прирост устойчивости проекции</w:t>
              <w:rPr>
                <w:rFonts w:ascii="Times New Roman" w:hAnsi="Times New Roman" w:eastAsia="Times New Roman" w:cs="Times New Roman"/>
                <w:b w:val="0"/>
                <w:sz w:val="19"/>
                <w:szCs w:val="21"/>
              </w:rPr>
            </w:r>
          </w:p>
        </w:tc>
        <w:tc>
          <w:tcPr>
            <w:tcW w:type="dxa" w:w="186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Не измерен</w:t>
              <w:rPr>
                <w:rFonts w:ascii="Times New Roman" w:hAnsi="Times New Roman" w:eastAsia="Times New Roman" w:cs="Times New Roman"/>
                <w:b w:val="0"/>
                <w:sz w:val="19"/>
                <w:szCs w:val="21"/>
              </w:rPr>
            </w:r>
          </w:p>
        </w:tc>
        <w:tc>
          <w:tcPr>
            <w:tcW w:type="dxa" w:w="377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Улучшение не подтверждено</w:t>
              <w:rPr>
                <w:rFonts w:ascii="Times New Roman" w:hAnsi="Times New Roman" w:eastAsia="Times New Roman" w:cs="Times New Roman"/>
                <w:b w:val="0"/>
                <w:sz w:val="19"/>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2835614"/>
            <wp:docPr id="22" name="Picture 22" descr="Рисунок 4.22 — Сохранение исходного объяснения и сокращение его проекции" title="Рисунок 2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508000" cy="2835614"/>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4.22 — Сохранение исходного объяснения и сокращение его проекции</w:t>
      </w:r>
    </w:p>
    <w:p>
      <w:pPr>
        <w:pStyle w:val="a0"/>
        <w:spacing w:after="80" w:line="276" w:lineRule="auto"/>
        <w:widowControl/>
      </w:pPr>
      <w:r>
        <w:t>Для 17 404 контрольных артефактов доля совпадения контрольных сумм равна 1,0, что подтверждает H7-A. Средняя сохранённая масса атрибуций в проекции равна 0,8382, сокращение длины — 0,7589. Количественный прирост устойчивости или понимания после проекции не измерялся, поэтому H7-B не подтверждена. Отдельная качественная оценка показала понятность переработанных формулировок, но не заменяет метрику H7-B.</w:t>
      </w:r>
    </w:p>
    <w:p>
      <w:pPr>
        <w:pStyle w:val="a0"/>
        <w:spacing w:after="80" w:line="276" w:lineRule="auto"/>
        <w:widowControl/>
      </w:pPr>
      <w:r>
        <w:rPr>
          <w:rFonts w:ascii="Times New Roman" w:hAnsi="Times New Roman" w:eastAsia="Times New Roman"/>
          <w:b w:val="0"/>
          <w:i w:val="0"/>
        </w:rPr>
        <w:t>Точное сохранение канонического артефакта не означает устойчивости его сокращённого отображения. Поэтому H8 отдельно оценивает зависимость причин и действия от компонентной сетки.</w:t>
      </w:r>
    </w:p>
    <w:p>
      <w:pPr>
        <w:pStyle w:val="a0"/>
        <w:widowControl/>
      </w:pPr>
      <w:r>
        <w:rPr>
          <w:rFonts w:ascii="Times New Roman" w:hAnsi="Times New Roman" w:eastAsia="Times New Roman"/>
          <w:i/>
          <w:sz w:val="19"/>
        </w:rPr>
        <w:t>Доказательная основа раздела: E22–E24. Каноническое сохранение и сокращённая проекция оцениваются как разные свойства; положительный H7-A не переносится на неподтверждённую H7-B.</w:t>
      </w:r>
    </w:p>
    <w:p>
      <w:pPr>
        <w:pStyle w:val="2"/>
        <w:keepNext/>
        <w:keepLines/>
        <w:pageBreakBefore/>
        <w:spacing w:before="200" w:after="120"/>
        <w:keepNext/>
      </w:pPr>
      <w:r>
        <w:rPr>
          <w:rFonts w:ascii="Times New Roman" w:hAnsi="Times New Roman" w:eastAsia="Times New Roman"/>
          <w:b w:val="0"/>
          <w:i w:val="0"/>
        </w:rPr>
        <w:t>4.21 Чувствительность объяснения к компонентной сетке: H8</w:t>
      </w:r>
    </w:p>
    <w:p>
      <w:pPr>
        <w:pStyle w:val="FirstParagraph"/>
        <w:widowControl/>
      </w:pPr>
      <w:r>
        <w:rPr>
          <w:rFonts w:ascii="Times New Roman" w:hAnsi="Times New Roman" w:eastAsia="Times New Roman"/>
          <w:i w:val="0"/>
        </w:rPr>
        <w:t>Сохранение канонического артефакта не гарантирует независимости отображаемых причин от гранулярности. Следующий эксперимент измеряет эту чувствительность непосредственно.</w:t>
      </w:r>
    </w:p>
    <w:p>
      <w:pPr>
        <w:pStyle w:val="FirstParagraph"/>
        <w:spacing w:after="80" w:line="276" w:lineRule="auto"/>
        <w:widowControl/>
      </w:pPr>
      <w:r>
        <w:rPr>
          <w:rFonts w:ascii="Times New Roman" w:hAnsi="Times New Roman" w:eastAsia="Times New Roman"/>
          <w:b w:val="0"/>
          <w:i w:val="0"/>
        </w:rPr>
        <w:t>Анализ H8 оценивает зависимость результата от гранулярности компонентного разбиения. Для изображений варьировалась сетка областей, для таблиц — группировка признаков, для текста — токены, фразы и группы, для временных рядов — длина и перекрытие окон. Сравнивались крупная, базовая, мелкая и очень мелкая сетки.</w:t>
      </w:r>
    </w:p>
    <w:p>
      <w:pPr>
        <w:pStyle w:val="aa"/>
        <w:keepNext/>
        <w:keepLines/>
        <w:spacing w:before="120" w:after="80"/>
        <w:jc w:val="center"/>
        <w:keepNext/>
      </w:pPr>
      <w:r>
        <w:rPr>
          <w:rFonts w:ascii="Times New Roman" w:hAnsi="Times New Roman" w:eastAsia="Times New Roman"/>
          <w:b w:val="0"/>
          <w:i w:val="0"/>
        </w:rPr>
        <w:t>Таблица 4.30 — Чувствительность действия и представления к компонентной сетке</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99"/>
        <w:gridCol w:w="1640"/>
        <w:gridCol w:w="1451"/>
        <w:gridCol w:w="1640"/>
        <w:gridCol w:w="1238"/>
        <w:gridCol w:w="1516"/>
      </w:tblGrid>
      <w:tr>
        <w:trPr>
          <w:tblHeader w:val="true"/>
          <w:cantSplit/>
          <w:cantSplit/>
          <w:tblHeader w:val="true"/>
          <w:tblHeader w:val="true"/>
          <w:cantSplit/>
          <w:tblHeader w:val="true"/>
          <w:cantSplit w:val="true"/>
        </w:trPr>
        <w:tc>
          <w:tcPr>
            <w:tcW w:type="dxa" w:w="1699"/>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Модальность</w:t>
              <w:rPr>
                <w:rFonts w:ascii="Times New Roman" w:hAnsi="Times New Roman" w:eastAsia="Times New Roman" w:cs="Times New Roman"/>
                <w:b/>
                <w:sz w:val="18"/>
                <w:szCs w:val="21"/>
              </w:rPr>
            </w:r>
          </w:p>
        </w:tc>
        <w:tc>
          <w:tcPr>
            <w:tcW w:type="dxa" w:w="1640"/>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Действие: К/М</w:t>
              <w:rPr>
                <w:rFonts w:ascii="Times New Roman" w:hAnsi="Times New Roman" w:eastAsia="Times New Roman" w:cs="Times New Roman"/>
                <w:b/>
                <w:sz w:val="18"/>
                <w:szCs w:val="21"/>
              </w:rPr>
            </w:r>
          </w:p>
        </w:tc>
        <w:tc>
          <w:tcPr>
            <w:tcW w:type="dxa" w:w="1451"/>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Действие: ОМ</w:t>
              <w:rPr>
                <w:rFonts w:ascii="Times New Roman" w:hAnsi="Times New Roman" w:eastAsia="Times New Roman" w:cs="Times New Roman"/>
                <w:b/>
                <w:sz w:val="18"/>
                <w:szCs w:val="21"/>
              </w:rPr>
            </w:r>
          </w:p>
        </w:tc>
        <w:tc>
          <w:tcPr>
            <w:tcW w:type="dxa" w:w="1640"/>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Класс: К/М</w:t>
              <w:rPr>
                <w:rFonts w:ascii="Times New Roman" w:hAnsi="Times New Roman" w:eastAsia="Times New Roman" w:cs="Times New Roman"/>
                <w:b/>
                <w:sz w:val="18"/>
                <w:szCs w:val="21"/>
              </w:rPr>
            </w:r>
          </w:p>
        </w:tc>
        <w:tc>
          <w:tcPr>
            <w:tcW w:type="dxa" w:w="1238"/>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Класс: ОМ</w:t>
              <w:rPr>
                <w:rFonts w:ascii="Times New Roman" w:hAnsi="Times New Roman" w:eastAsia="Times New Roman" w:cs="Times New Roman"/>
                <w:b/>
                <w:sz w:val="18"/>
                <w:szCs w:val="21"/>
              </w:rPr>
            </w:r>
          </w:p>
        </w:tc>
        <w:tc>
          <w:tcPr>
            <w:tcW w:type="dxa" w:w="1516"/>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Жаккар: вне Б</w:t>
              <w:rPr>
                <w:rFonts w:ascii="Times New Roman" w:hAnsi="Times New Roman" w:eastAsia="Times New Roman" w:cs="Times New Roman"/>
                <w:b/>
                <w:sz w:val="18"/>
                <w:szCs w:val="21"/>
              </w:rPr>
            </w:r>
          </w:p>
        </w:tc>
      </w:tr>
      <w:tr>
        <w:tc>
          <w:tcPr>
            <w:tcW w:type="dxa" w:w="16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Изображения</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 / 1,0000</w:t>
              <w:rPr>
                <w:rFonts w:ascii="Times New Roman" w:hAnsi="Times New Roman" w:eastAsia="Times New Roman" w:cs="Times New Roman"/>
                <w:b w:val="0"/>
                <w:sz w:val="18"/>
                <w:szCs w:val="21"/>
              </w:rPr>
            </w:r>
          </w:p>
        </w:tc>
        <w:tc>
          <w:tcPr>
            <w:tcW w:type="dxa" w:w="145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0,9833</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 / 1,0000</w:t>
              <w:rPr>
                <w:rFonts w:ascii="Times New Roman" w:hAnsi="Times New Roman" w:eastAsia="Times New Roman" w:cs="Times New Roman"/>
                <w:b w:val="0"/>
                <w:sz w:val="18"/>
                <w:szCs w:val="21"/>
              </w:rPr>
            </w:r>
          </w:p>
        </w:tc>
        <w:tc>
          <w:tcPr>
            <w:tcW w:type="dxa" w:w="123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8"/>
                <w:szCs w:val="21"/>
              </w:rPr>
            </w:r>
          </w:p>
        </w:tc>
        <w:tc>
          <w:tcPr>
            <w:tcW w:type="dxa" w:w="151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rPr>
          <w:cantSplit/>
          <w:cantSplit/>
          <w:cantSplit/>
          <w:cantSplit w:val="true"/>
        </w:trPr>
      </w:tr>
      <w:tr>
        <w:tc>
          <w:tcPr>
            <w:tcW w:type="dxa" w:w="16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Табличные данные</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0,9893 / 0,9937</w:t>
              <w:rPr>
                <w:rFonts w:ascii="Times New Roman" w:hAnsi="Times New Roman" w:eastAsia="Times New Roman" w:cs="Times New Roman"/>
                <w:b w:val="0"/>
                <w:sz w:val="18"/>
                <w:szCs w:val="21"/>
              </w:rPr>
            </w:r>
          </w:p>
        </w:tc>
        <w:tc>
          <w:tcPr>
            <w:tcW w:type="dxa" w:w="145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0,9817</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0,9121 / 0,9632</w:t>
              <w:rPr>
                <w:rFonts w:ascii="Times New Roman" w:hAnsi="Times New Roman" w:eastAsia="Times New Roman" w:cs="Times New Roman"/>
                <w:b w:val="0"/>
                <w:sz w:val="18"/>
                <w:szCs w:val="21"/>
              </w:rPr>
            </w:r>
          </w:p>
        </w:tc>
        <w:tc>
          <w:tcPr>
            <w:tcW w:type="dxa" w:w="123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0,7203</w:t>
              <w:rPr>
                <w:rFonts w:ascii="Times New Roman" w:hAnsi="Times New Roman" w:eastAsia="Times New Roman" w:cs="Times New Roman"/>
                <w:b w:val="0"/>
                <w:sz w:val="18"/>
                <w:szCs w:val="21"/>
              </w:rPr>
            </w:r>
          </w:p>
        </w:tc>
        <w:tc>
          <w:tcPr>
            <w:tcW w:type="dxa" w:w="151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rPr>
          <w:cantSplit/>
          <w:cantSplit/>
          <w:cantSplit/>
          <w:cantSplit w:val="true"/>
        </w:trPr>
      </w:tr>
      <w:tr>
        <w:tc>
          <w:tcPr>
            <w:tcW w:type="dxa" w:w="16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Текст</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0,9942 / 0,9942</w:t>
              <w:rPr>
                <w:rFonts w:ascii="Times New Roman" w:hAnsi="Times New Roman" w:eastAsia="Times New Roman" w:cs="Times New Roman"/>
                <w:b w:val="0"/>
                <w:sz w:val="18"/>
                <w:szCs w:val="21"/>
              </w:rPr>
            </w:r>
          </w:p>
        </w:tc>
        <w:tc>
          <w:tcPr>
            <w:tcW w:type="dxa" w:w="145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0,9826</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0,9758 / 0,9845</w:t>
              <w:rPr>
                <w:rFonts w:ascii="Times New Roman" w:hAnsi="Times New Roman" w:eastAsia="Times New Roman" w:cs="Times New Roman"/>
                <w:b w:val="0"/>
                <w:sz w:val="18"/>
                <w:szCs w:val="21"/>
              </w:rPr>
            </w:r>
          </w:p>
        </w:tc>
        <w:tc>
          <w:tcPr>
            <w:tcW w:type="dxa" w:w="123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0,8837</w:t>
              <w:rPr>
                <w:rFonts w:ascii="Times New Roman" w:hAnsi="Times New Roman" w:eastAsia="Times New Roman" w:cs="Times New Roman"/>
                <w:b w:val="0"/>
                <w:sz w:val="18"/>
                <w:szCs w:val="21"/>
              </w:rPr>
            </w:r>
          </w:p>
        </w:tc>
        <w:tc>
          <w:tcPr>
            <w:tcW w:type="dxa" w:w="151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rPr>
          <w:cantSplit/>
          <w:cantSplit/>
          <w:cantSplit/>
          <w:cantSplit w:val="true"/>
        </w:trPr>
      </w:tr>
      <w:tr>
        <w:tc>
          <w:tcPr>
            <w:tcW w:type="dxa" w:w="16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Временные ряды</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0,9950 / 0,9960</w:t>
              <w:rPr>
                <w:rFonts w:ascii="Times New Roman" w:hAnsi="Times New Roman" w:eastAsia="Times New Roman" w:cs="Times New Roman"/>
                <w:b w:val="0"/>
                <w:sz w:val="18"/>
                <w:szCs w:val="21"/>
              </w:rPr>
            </w:r>
          </w:p>
        </w:tc>
        <w:tc>
          <w:tcPr>
            <w:tcW w:type="dxa" w:w="145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0,9911</w:t>
              <w:rPr>
                <w:rFonts w:ascii="Times New Roman" w:hAnsi="Times New Roman" w:eastAsia="Times New Roman" w:cs="Times New Roman"/>
                <w:b w:val="0"/>
                <w:sz w:val="18"/>
                <w:szCs w:val="21"/>
              </w:rPr>
            </w:r>
          </w:p>
        </w:tc>
        <w:tc>
          <w:tcPr>
            <w:tcW w:type="dxa" w:w="1640"/>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0,9543 / 0,9742</w:t>
              <w:rPr>
                <w:rFonts w:ascii="Times New Roman" w:hAnsi="Times New Roman" w:eastAsia="Times New Roman" w:cs="Times New Roman"/>
                <w:b w:val="0"/>
                <w:sz w:val="18"/>
                <w:szCs w:val="21"/>
              </w:rPr>
            </w:r>
          </w:p>
        </w:tc>
        <w:tc>
          <w:tcPr>
            <w:tcW w:type="dxa" w:w="1238"/>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0,8213</w:t>
              <w:rPr>
                <w:rFonts w:ascii="Times New Roman" w:hAnsi="Times New Roman" w:eastAsia="Times New Roman" w:cs="Times New Roman"/>
                <w:b w:val="0"/>
                <w:sz w:val="18"/>
                <w:szCs w:val="21"/>
              </w:rPr>
            </w:r>
          </w:p>
        </w:tc>
        <w:tc>
          <w:tcPr>
            <w:tcW w:type="dxa" w:w="151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0,0000</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1906151"/>
            <wp:docPr id="23" name="Picture 23" descr="Рисунок 4.23 — Согласованность действия, класса представления и состава первых компонентов" title="Рисунок 2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08000" cy="1906151"/>
                    </a:xfrm>
                    <a:prstGeom prst="rect"/>
                  </pic:spPr>
                </pic:pic>
              </a:graphicData>
            </a:graphic>
          </wp:inline>
        </w:drawing>
      </w:r>
    </w:p>
    <w:p>
      <w:pPr>
        <w:pStyle w:val="aa"/>
        <w:keepNext/>
        <w:keepLines/>
        <w:spacing w:before="120" w:after="80"/>
        <w:jc w:val="center"/>
        <w:keepNext/>
      </w:pPr>
      <w:r>
        <w:rPr>
          <w:rFonts w:ascii="Times New Roman" w:hAnsi="Times New Roman" w:eastAsia="Times New Roman"/>
          <w:b w:val="0"/>
          <w:i w:val="0"/>
        </w:rPr>
        <w:t>Рисунок 4.23 — Согласованность действия, класса представления и состава первых компонентов</w:t>
      </w:r>
    </w:p>
    <w:p>
      <w:pPr>
        <w:pStyle w:val="a0"/>
        <w:spacing w:after="80" w:line="276" w:lineRule="auto"/>
        <w:widowControl/>
      </w:pPr>
      <w:r>
        <w:rPr>
          <w:rFonts w:ascii="Times New Roman" w:hAnsi="Times New Roman" w:eastAsia="Times New Roman"/>
        </w:rPr>
        <w:t>В диапазоне крупная–мелкая согласованность действия превышает 0,989 для табличных данных и 0,994 для текста и временных рядов; для изображений она равна 1,0. Очень мелкая сетка снижает согласованность представления до 0,7203 на таблицах, 0,8837 на тексте и 0,8213 на временных рядах. При этом коэффициент Жаккара для первых компонентов для всех небазовых конфигураций равен нулю. Следовательно, действие устойчивее состава отображаемых причин, а гранулярность обязана сохраняться в происхождении.</w:t>
      </w:r>
    </w:p>
    <w:p>
      <w:pPr>
        <w:pStyle w:val="a0"/>
        <w:spacing w:after="80" w:line="276" w:lineRule="auto"/>
        <w:widowControl/>
      </w:pPr>
      <w:r>
        <w:rPr>
          <w:rFonts w:ascii="Times New Roman" w:hAnsi="Times New Roman" w:eastAsia="Times New Roman"/>
          <w:b w:val="0"/>
          <w:i w:val="0"/>
        </w:rPr>
        <w:t>H8 интерпретируется как анализ чувствительности без использования целевых меток. Результат задаёт область сопоставимости компонентных сеток, но не подтверждает универсальную устойчивость объяснения; общие ограничения приведены в разделе 4.15.</w:t>
      </w:r>
    </w:p>
    <w:p>
      <w:pPr>
        <w:pStyle w:val="a0"/>
        <w:spacing w:after="80" w:line="276" w:lineRule="auto"/>
        <w:widowControl/>
      </w:pPr>
      <w:r>
        <w:rPr>
          <w:rFonts w:ascii="Times New Roman" w:hAnsi="Times New Roman" w:eastAsia="Times New Roman"/>
          <w:b w:val="0"/>
          <w:i w:val="0"/>
        </w:rPr>
        <w:t>Чувствительность к сетке устанавливает границы сопоставимости объяснений. Последний вычислительный вопрос относится к стоимости самого операторного слоя при увеличении числа объектов.</w:t>
      </w:r>
    </w:p>
    <w:p>
      <w:pPr>
        <w:pStyle w:val="a0"/>
        <w:widowControl/>
      </w:pPr>
      <w:r>
        <w:rPr>
          <w:rFonts w:ascii="Times New Roman" w:hAnsi="Times New Roman" w:eastAsia="Times New Roman"/>
          <w:i/>
          <w:sz w:val="19"/>
        </w:rPr>
        <w:t>Доказательная основа раздела: E25. Матрица фиксирует согласованность действия, класса представления и состава первых компонентов для четырёх модальностей и четырёх уровней гранулярности.</w:t>
      </w:r>
    </w:p>
    <w:p>
      <w:pPr>
        <w:pStyle w:val="2"/>
        <w:keepNext/>
        <w:keepLines/>
        <w:pageBreakBefore/>
        <w:spacing w:before="200" w:after="120"/>
        <w:keepNext/>
      </w:pPr>
      <w:r>
        <w:rPr>
          <w:rFonts w:ascii="Times New Roman" w:hAnsi="Times New Roman" w:eastAsia="Times New Roman"/>
        </w:rPr>
        <w:t>4.22 Масштабируемость кэшированного операторного слоя: H9</w:t>
      </w:r>
    </w:p>
    <w:p>
      <w:pPr>
        <w:pStyle w:val="FirstParagraph"/>
        <w:widowControl/>
      </w:pPr>
      <w:r>
        <w:rPr>
          <w:rFonts w:ascii="Times New Roman" w:hAnsi="Times New Roman" w:eastAsia="Times New Roman"/>
          <w:i w:val="0"/>
        </w:rPr>
        <w:t>После установления семантических границ оценивается вычислительная стоимость собственной части оператора, отделённая от стоимости исходных объяснителей.</w:t>
      </w:r>
    </w:p>
    <w:p>
      <w:pPr>
        <w:pStyle w:val="a0"/>
      </w:pPr>
      <w:r>
        <w:rPr>
          <w:rFonts w:ascii="Times New Roman" w:hAnsi="Times New Roman" w:eastAsia="Times New Roman"/>
          <w:b w:val="0"/>
          <w:i w:val="0"/>
          <w:sz w:val="28"/>
        </w:rPr>
        <w:t>Формула (4.5а) отделяет стоимость внешней модели и локального объяснителя от собственной операторной обработки. Поэтому результаты H9 относятся к T_FuzzyXAI, а не к полному T_total.</w:t>
      </w:r>
    </w:p>
    <w:p>
      <w:pPr>
        <w:pStyle w:val="FirstParagraph"/>
        <w:spacing w:after="80" w:line="276" w:lineRule="auto"/>
        <w:widowControl/>
      </w:pPr>
      <w:r>
        <w:rPr>
          <w:rFonts w:ascii="Times New Roman" w:hAnsi="Times New Roman" w:eastAsia="Times New Roman"/>
        </w:rPr>
        <w:t>H9 разделяет стоимость исходного объяснителя и собственную стоимость операторного слоя. Измерение начинается после формирования локального объяснения; время SHAP, LIME, Grad-CAM или другого объяснителя не включается. Такое разделение предотвращает как приписывание чужой стоимости оператору, так и рекламное отождествление измерения только операторного слоя с полным конвейером.</w:t>
      </w:r>
    </w:p>
    <w:p>
      <w:pPr>
        <w:pStyle w:val="a0"/>
        <w:spacing w:before="60" w:after="120"/>
      </w:pPr>
      <w:r>
        <w:rPr>
          <w:rFonts w:ascii="Times New Roman" w:hAnsi="Times New Roman" w:eastAsia="Times New Roman"/>
        </w:rPr>
        <w:t>H9 характеризует только кэшированный операторный слой после получения локального объяснения. Полный перечень условий, ограничений и измерительных оговорок приведён в таблице А.12.</w:t>
      </w:r>
    </w:p>
    <w:p>
      <w:pPr/>
    </w:p>
    <w:p>
      <w:pPr>
        <w:pStyle w:val="aa"/>
        <w:keepNext/>
        <w:keepLines/>
        <w:spacing w:before="120" w:after="80"/>
        <w:jc w:val="center"/>
        <w:keepNext/>
      </w:pPr>
      <w:r>
        <w:rPr>
          <w:rFonts w:ascii="Times New Roman" w:hAnsi="Times New Roman" w:eastAsia="Times New Roman"/>
          <w:b w:val="0"/>
          <w:i w:val="0"/>
        </w:rPr>
        <w:t>Таблица 4.31 — Производительность кэшированного операторного слоя</w:t>
      </w:r>
    </w:p>
    <w:tbl>
      <w:tblPr>
        <w:tblStyle w:val="af1"/>
        <w:tblW w:type="dxa" w:w="9183"/>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14"/>
        <w:gridCol w:w="1419"/>
        <w:gridCol w:w="1605"/>
        <w:gridCol w:w="2714"/>
        <w:gridCol w:w="1931"/>
      </w:tblGrid>
      <w:tr>
        <w:trPr>
          <w:tblHeader w:val="true"/>
          <w:cantSplit/>
          <w:cantSplit/>
          <w:tblHeader w:val="true"/>
          <w:tblHeader w:val="true"/>
          <w:cantSplit/>
          <w:tblHeader w:val="true"/>
          <w:cantSplit w:val="true"/>
        </w:trPr>
        <w:tc>
          <w:tcPr>
            <w:tcW w:type="dxa" w:w="151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Объекты</w:t>
              <w:rPr>
                <w:rFonts w:ascii="Times New Roman" w:hAnsi="Times New Roman" w:eastAsia="Times New Roman" w:cs="Times New Roman"/>
                <w:b/>
                <w:sz w:val="18"/>
                <w:szCs w:val="21"/>
              </w:rPr>
            </w:r>
          </w:p>
        </w:tc>
        <w:tc>
          <w:tcPr>
            <w:tcW w:type="dxa" w:w="1419"/>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Время, с</w:t>
              <w:rPr>
                <w:rFonts w:ascii="Times New Roman" w:hAnsi="Times New Roman" w:eastAsia="Times New Roman" w:cs="Times New Roman"/>
                <w:b/>
                <w:sz w:val="18"/>
                <w:szCs w:val="21"/>
              </w:rPr>
            </w:r>
          </w:p>
        </w:tc>
        <w:tc>
          <w:tcPr>
            <w:tcW w:type="dxa" w:w="1605"/>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Объектов/с</w:t>
              <w:rPr>
                <w:rFonts w:ascii="Times New Roman" w:hAnsi="Times New Roman" w:eastAsia="Times New Roman" w:cs="Times New Roman"/>
                <w:b/>
                <w:sz w:val="18"/>
                <w:szCs w:val="21"/>
              </w:rPr>
            </w:r>
          </w:p>
        </w:tc>
        <w:tc>
          <w:tcPr>
            <w:tcW w:type="dxa" w:w="2714"/>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p50 / p95 / p99 пакета, мс</w:t>
              <w:rPr>
                <w:rFonts w:ascii="Times New Roman" w:hAnsi="Times New Roman" w:eastAsia="Times New Roman" w:cs="Times New Roman"/>
                <w:b/>
                <w:sz w:val="18"/>
                <w:szCs w:val="21"/>
              </w:rPr>
            </w:r>
          </w:p>
        </w:tc>
        <w:tc>
          <w:tcPr>
            <w:tcW w:type="dxa" w:w="1931"/>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Peak RSS, байт</w:t>
              <w:rPr>
                <w:rFonts w:ascii="Times New Roman" w:hAnsi="Times New Roman" w:eastAsia="Times New Roman" w:cs="Times New Roman"/>
                <w:b/>
                <w:sz w:val="18"/>
                <w:szCs w:val="21"/>
              </w:rPr>
            </w:r>
          </w:p>
        </w:tc>
      </w:tr>
      <w:tr>
        <w:tc>
          <w:tcPr>
            <w:tcW w:type="dxa" w:w="1514"/>
            <w:vAlign w:val="center"/>
            <w:tcMar>
              <w:top w:w="70" w:type="dxa"/>
              <w:start w:w="80" w:type="dxa"/>
              <w:bottom w:w="70" w:type="dxa"/>
              <w:end w:w="80" w:type="dxa"/>
            </w:tcMar>
            <w:shd w:fill="FFFFFF" w:val="clear"/>
          </w:tcPr>
          <w:p>
            <w:pPr>
              <w:pStyle w:val="Compact"/>
              <w:jc w:val="left"/>
              <w:suppressAutoHyphens/>
              <w:ind w:left="0" w:right="0" w:firstLine="0"/>
              <w:spacing w:after="0" w:before="0" w:line="240" w:lineRule="auto"/>
            </w:pPr>
            <w:r>
              <w:t xml:space="preserve">100 000</w:t>
              <w:rPr>
                <w:rFonts w:ascii="Times New Roman" w:hAnsi="Times New Roman" w:eastAsia="Times New Roman" w:cs="Times New Roman"/>
                <w:b w:val="0"/>
                <w:sz w:val="18"/>
                <w:szCs w:val="21"/>
              </w:rPr>
            </w:r>
          </w:p>
        </w:tc>
        <w:tc>
          <w:tcPr>
            <w:tcW w:type="dxa" w:w="141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0,0137</w:t>
              <w:rPr>
                <w:rFonts w:ascii="Times New Roman" w:hAnsi="Times New Roman" w:eastAsia="Times New Roman" w:cs="Times New Roman"/>
                <w:b w:val="0"/>
                <w:sz w:val="18"/>
                <w:szCs w:val="21"/>
              </w:rPr>
            </w:r>
          </w:p>
        </w:tc>
        <w:tc>
          <w:tcPr>
            <w:tcW w:type="dxa" w:w="160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7 282 846</w:t>
              <w:rPr>
                <w:rFonts w:ascii="Times New Roman" w:hAnsi="Times New Roman" w:eastAsia="Times New Roman" w:cs="Times New Roman"/>
                <w:b w:val="0"/>
                <w:sz w:val="18"/>
                <w:szCs w:val="21"/>
              </w:rPr>
            </w:r>
          </w:p>
        </w:tc>
        <w:tc>
          <w:tcPr>
            <w:tcW w:type="dxa" w:w="271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1,3611 / 1,4309 / 1,4637</w:t>
              <w:rPr>
                <w:rFonts w:ascii="Times New Roman" w:hAnsi="Times New Roman" w:eastAsia="Times New Roman" w:cs="Times New Roman"/>
                <w:b w:val="0"/>
                <w:sz w:val="18"/>
                <w:szCs w:val="21"/>
              </w:rPr>
            </w:r>
          </w:p>
        </w:tc>
        <w:tc>
          <w:tcPr>
            <w:tcW w:type="dxa" w:w="193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1 858 224 128</w:t>
              <w:rPr>
                <w:rFonts w:ascii="Times New Roman" w:hAnsi="Times New Roman" w:eastAsia="Times New Roman" w:cs="Times New Roman"/>
                <w:b w:val="0"/>
                <w:sz w:val="18"/>
                <w:szCs w:val="21"/>
              </w:rPr>
            </w:r>
          </w:p>
        </w:tc>
        <w:trPr>
          <w:cantSplit/>
          <w:cantSplit/>
          <w:cantSplit/>
          <w:cantSplit w:val="true"/>
        </w:trPr>
      </w:tr>
      <w:tr>
        <w:tc>
          <w:tcPr>
            <w:tcW w:type="dxa" w:w="1514"/>
            <w:vAlign w:val="center"/>
            <w:tcMar>
              <w:top w:w="70" w:type="dxa"/>
              <w:start w:w="80" w:type="dxa"/>
              <w:bottom w:w="70" w:type="dxa"/>
              <w:end w:w="80" w:type="dxa"/>
            </w:tcMar>
            <w:shd w:fill="FFFFFF" w:val="clear"/>
          </w:tcPr>
          <w:p>
            <w:pPr>
              <w:pStyle w:val="Compact"/>
              <w:jc w:val="left"/>
              <w:suppressAutoHyphens/>
              <w:ind w:left="0" w:right="0" w:firstLine="0"/>
              <w:spacing w:after="0" w:before="0" w:line="240" w:lineRule="auto"/>
            </w:pPr>
            <w:r>
              <w:t xml:space="preserve">1 000 000</w:t>
              <w:rPr>
                <w:rFonts w:ascii="Times New Roman" w:hAnsi="Times New Roman" w:eastAsia="Times New Roman" w:cs="Times New Roman"/>
                <w:b w:val="0"/>
                <w:sz w:val="18"/>
                <w:szCs w:val="21"/>
              </w:rPr>
            </w:r>
          </w:p>
        </w:tc>
        <w:tc>
          <w:tcPr>
            <w:tcW w:type="dxa" w:w="141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0,1362</w:t>
              <w:rPr>
                <w:rFonts w:ascii="Times New Roman" w:hAnsi="Times New Roman" w:eastAsia="Times New Roman" w:cs="Times New Roman"/>
                <w:b w:val="0"/>
                <w:sz w:val="18"/>
                <w:szCs w:val="21"/>
              </w:rPr>
            </w:r>
          </w:p>
        </w:tc>
        <w:tc>
          <w:tcPr>
            <w:tcW w:type="dxa" w:w="160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7 341 473</w:t>
              <w:rPr>
                <w:rFonts w:ascii="Times New Roman" w:hAnsi="Times New Roman" w:eastAsia="Times New Roman" w:cs="Times New Roman"/>
                <w:b w:val="0"/>
                <w:sz w:val="18"/>
                <w:szCs w:val="21"/>
              </w:rPr>
            </w:r>
          </w:p>
        </w:tc>
        <w:tc>
          <w:tcPr>
            <w:tcW w:type="dxa" w:w="271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1,3603 / 1,3827 / 1,3916</w:t>
              <w:rPr>
                <w:rFonts w:ascii="Times New Roman" w:hAnsi="Times New Roman" w:eastAsia="Times New Roman" w:cs="Times New Roman"/>
                <w:b w:val="0"/>
                <w:sz w:val="18"/>
                <w:szCs w:val="21"/>
              </w:rPr>
            </w:r>
          </w:p>
        </w:tc>
        <w:tc>
          <w:tcPr>
            <w:tcW w:type="dxa" w:w="193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1 858 224 128</w:t>
              <w:rPr>
                <w:rFonts w:ascii="Times New Roman" w:hAnsi="Times New Roman" w:eastAsia="Times New Roman" w:cs="Times New Roman"/>
                <w:b w:val="0"/>
                <w:sz w:val="18"/>
                <w:szCs w:val="21"/>
              </w:rPr>
            </w:r>
          </w:p>
        </w:tc>
        <w:trPr>
          <w:cantSplit/>
          <w:cantSplit/>
          <w:cantSplit/>
          <w:cantSplit w:val="true"/>
        </w:trPr>
      </w:tr>
      <w:tr>
        <w:tc>
          <w:tcPr>
            <w:tcW w:type="dxa" w:w="1514"/>
            <w:vAlign w:val="center"/>
            <w:tcMar>
              <w:top w:w="70" w:type="dxa"/>
              <w:start w:w="80" w:type="dxa"/>
              <w:bottom w:w="70" w:type="dxa"/>
              <w:end w:w="80" w:type="dxa"/>
            </w:tcMar>
            <w:shd w:fill="FFFFFF" w:val="clear"/>
          </w:tcPr>
          <w:p>
            <w:pPr>
              <w:pStyle w:val="Compact"/>
              <w:jc w:val="left"/>
              <w:suppressAutoHyphens/>
              <w:ind w:left="0" w:right="0" w:firstLine="0"/>
              <w:spacing w:after="0" w:before="0" w:line="240" w:lineRule="auto"/>
            </w:pPr>
            <w:r>
              <w:t xml:space="preserve">2 000 000</w:t>
              <w:rPr>
                <w:rFonts w:ascii="Times New Roman" w:hAnsi="Times New Roman" w:eastAsia="Times New Roman" w:cs="Times New Roman"/>
                <w:b w:val="0"/>
                <w:sz w:val="18"/>
                <w:szCs w:val="21"/>
              </w:rPr>
            </w:r>
          </w:p>
        </w:tc>
        <w:tc>
          <w:tcPr>
            <w:tcW w:type="dxa" w:w="141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0,2730</w:t>
              <w:rPr>
                <w:rFonts w:ascii="Times New Roman" w:hAnsi="Times New Roman" w:eastAsia="Times New Roman" w:cs="Times New Roman"/>
                <w:b w:val="0"/>
                <w:sz w:val="18"/>
                <w:szCs w:val="21"/>
              </w:rPr>
            </w:r>
          </w:p>
        </w:tc>
        <w:tc>
          <w:tcPr>
            <w:tcW w:type="dxa" w:w="160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7 324 936</w:t>
              <w:rPr>
                <w:rFonts w:ascii="Times New Roman" w:hAnsi="Times New Roman" w:eastAsia="Times New Roman" w:cs="Times New Roman"/>
                <w:b w:val="0"/>
                <w:sz w:val="18"/>
                <w:szCs w:val="21"/>
              </w:rPr>
            </w:r>
          </w:p>
        </w:tc>
        <w:tc>
          <w:tcPr>
            <w:tcW w:type="dxa" w:w="271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1,3618 / 1,3860 / 1,4193</w:t>
              <w:rPr>
                <w:rFonts w:ascii="Times New Roman" w:hAnsi="Times New Roman" w:eastAsia="Times New Roman" w:cs="Times New Roman"/>
                <w:b w:val="0"/>
                <w:sz w:val="18"/>
                <w:szCs w:val="21"/>
              </w:rPr>
            </w:r>
          </w:p>
        </w:tc>
        <w:tc>
          <w:tcPr>
            <w:tcW w:type="dxa" w:w="193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1 858 224 128</w:t>
              <w:rPr>
                <w:rFonts w:ascii="Times New Roman" w:hAnsi="Times New Roman" w:eastAsia="Times New Roman" w:cs="Times New Roman"/>
                <w:b w:val="0"/>
                <w:sz w:val="18"/>
                <w:szCs w:val="21"/>
              </w:rPr>
            </w:r>
          </w:p>
        </w:tc>
        <w:trPr>
          <w:cantSplit/>
          <w:cantSplit/>
          <w:cantSplit/>
          <w:cantSplit w:val="true"/>
        </w:trPr>
      </w:tr>
      <w:tr>
        <w:tc>
          <w:tcPr>
            <w:tcW w:type="dxa" w:w="1514"/>
            <w:vAlign w:val="center"/>
            <w:tcMar>
              <w:top w:w="70" w:type="dxa"/>
              <w:start w:w="80" w:type="dxa"/>
              <w:bottom w:w="70" w:type="dxa"/>
              <w:end w:w="80" w:type="dxa"/>
            </w:tcMar>
            <w:shd w:fill="FFFFFF" w:val="clear"/>
          </w:tcPr>
          <w:p>
            <w:pPr>
              <w:pStyle w:val="Compact"/>
              <w:jc w:val="left"/>
              <w:suppressAutoHyphens/>
              <w:ind w:left="0" w:right="0" w:firstLine="0"/>
              <w:spacing w:after="0" w:before="0" w:line="240" w:lineRule="auto"/>
            </w:pPr>
            <w:r>
              <w:t xml:space="preserve">5 000 000</w:t>
              <w:rPr>
                <w:rFonts w:ascii="Times New Roman" w:hAnsi="Times New Roman" w:eastAsia="Times New Roman" w:cs="Times New Roman"/>
                <w:b w:val="0"/>
                <w:sz w:val="18"/>
                <w:szCs w:val="21"/>
              </w:rPr>
            </w:r>
          </w:p>
        </w:tc>
        <w:tc>
          <w:tcPr>
            <w:tcW w:type="dxa" w:w="1419"/>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0,7196</w:t>
              <w:rPr>
                <w:rFonts w:ascii="Times New Roman" w:hAnsi="Times New Roman" w:eastAsia="Times New Roman" w:cs="Times New Roman"/>
                <w:b w:val="0"/>
                <w:sz w:val="18"/>
                <w:szCs w:val="21"/>
              </w:rPr>
            </w:r>
          </w:p>
        </w:tc>
        <w:tc>
          <w:tcPr>
            <w:tcW w:type="dxa" w:w="1605"/>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6 948 453</w:t>
              <w:rPr>
                <w:rFonts w:ascii="Times New Roman" w:hAnsi="Times New Roman" w:eastAsia="Times New Roman" w:cs="Times New Roman"/>
                <w:b w:val="0"/>
                <w:sz w:val="18"/>
                <w:szCs w:val="21"/>
              </w:rPr>
            </w:r>
          </w:p>
        </w:tc>
        <w:tc>
          <w:tcPr>
            <w:tcW w:type="dxa" w:w="2714"/>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1,3873 / 1,6303 / 2,0195</w:t>
              <w:rPr>
                <w:rFonts w:ascii="Times New Roman" w:hAnsi="Times New Roman" w:eastAsia="Times New Roman" w:cs="Times New Roman"/>
                <w:b w:val="0"/>
                <w:sz w:val="18"/>
                <w:szCs w:val="21"/>
              </w:rPr>
            </w:r>
          </w:p>
        </w:tc>
        <w:tc>
          <w:tcPr>
            <w:tcW w:type="dxa" w:w="1931"/>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1 858 224 128</w:t>
              <w:rPr>
                <w:rFonts w:ascii="Times New Roman" w:hAnsi="Times New Roman" w:eastAsia="Times New Roman" w:cs="Times New Roman"/>
                <w:b w:val="0"/>
                <w:sz w:val="18"/>
                <w:szCs w:val="21"/>
              </w:rPr>
            </w:r>
          </w:p>
        </w:tc>
        <w:trPr>
          <w:cantSplit/>
          <w:cantSplit/>
          <w:cantSplit/>
          <w:cantSplit w:val="true"/>
        </w:trPr>
      </w:tr>
    </w:tbl>
    <w:p>
      <w:pPr/>
    </w:p>
    <w:p>
      <w:pPr>
        <w:keepNext/>
        <w:jc w:val="center"/>
      </w:pPr>
      <w:r>
        <w:rPr>
          <w:rFonts w:ascii="Times New Roman" w:hAnsi="Times New Roman" w:eastAsia="Times New Roman"/>
        </w:rPr>
        <w:drawing>
          <wp:inline xmlns:a="http://schemas.openxmlformats.org/drawingml/2006/main" xmlns:pic="http://schemas.openxmlformats.org/drawingml/2006/picture">
            <wp:extent cx="5508000" cy="3250657"/>
            <wp:docPr id="24" name="Picture 24" descr="Рисунок 4.24 — Зависимость времени операторного слоя от числа объектов" title="Рисунок 2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08000" cy="3250657"/>
                    </a:xfrm>
                    <a:prstGeom prst="rect"/>
                  </pic:spPr>
                </pic:pic>
              </a:graphicData>
            </a:graphic>
          </wp:inline>
        </w:drawing>
      </w:r>
    </w:p>
    <w:p>
      <w:pPr>
        <w:pStyle w:val="aa"/>
        <w:keepNext/>
        <w:keepLines/>
        <w:spacing w:before="120" w:after="80"/>
        <w:jc w:val="center"/>
        <w:keepNext/>
      </w:pPr>
      <w:r>
        <w:rPr>
          <w:rFonts w:ascii="Times New Roman" w:hAnsi="Times New Roman" w:eastAsia="Times New Roman"/>
        </w:rPr>
        <w:t>Рисунок 4.24 — Зависимость времени операторного слоя от числа объектов</w:t>
      </w:r>
    </w:p>
    <w:p>
      <w:pPr>
        <w:pStyle w:val="a0"/>
        <w:spacing w:after="80" w:line="276" w:lineRule="auto"/>
        <w:widowControl/>
      </w:pPr>
      <w:r>
        <w:rPr>
          <w:rFonts w:ascii="Times New Roman" w:hAnsi="Times New Roman" w:eastAsia="Times New Roman"/>
          <w:b w:val="0"/>
          <w:i w:val="0"/>
        </w:rPr>
        <w:t>Для 100 тыс., 1 млн, 2 млн и 5 млн объектов общее время составил 0,0137; 0,1362; 0,2730 и 0,7196 с, эмпирический показатель степени — 1,008558. Пропускная способность находится приблизительно в диапазоне 6,95–7,34 млн записей/с. Попытка 10 млн не выполнялась из-за зарегистрированного ограничителя памяти.</w:t>
      </w:r>
    </w:p>
    <w:p>
      <w:pPr>
        <w:pStyle w:val="a0"/>
        <w:spacing w:after="80" w:line="276" w:lineRule="auto"/>
        <w:widowControl/>
      </w:pPr>
      <w:r>
        <w:rPr>
          <w:rFonts w:ascii="Times New Roman" w:hAnsi="Times New Roman" w:eastAsia="Times New Roman"/>
          <w:b w:val="0"/>
          <w:i w:val="0"/>
        </w:rPr>
        <w:t>После получения локальных объяснений кэшированный операторный слой обработал до пяти миллионов записей с близкой к линейной зависимостью. Утверждение о полном сквозном конвейере на миллионах объектов не поддерживается: контрольные части модальных наборов содержат от 120 до 8 236 объектов, а стоимость исходного объяснителя исключена. Условия переноса результата заданы в разделе 4.15 и таблице А.12.</w:t>
      </w:r>
    </w:p>
    <w:p>
      <w:pPr>
        <w:pStyle w:val="a0"/>
        <w:spacing w:after="80" w:line="276" w:lineRule="auto"/>
        <w:widowControl/>
      </w:pPr>
      <w:r>
        <w:rPr>
          <w:rFonts w:ascii="Times New Roman" w:hAnsi="Times New Roman" w:eastAsia="Times New Roman"/>
          <w:b w:val="0"/>
          <w:i w:val="0"/>
        </w:rPr>
        <w:t>Масштабируемость характеризует техническую исполнимость, но практический вывод определяется тем, какие сведения получает пользователь, эксперт и аудитор.</w:t>
      </w:r>
    </w:p>
    <w:p>
      <w:pPr>
        <w:pStyle w:val="a0"/>
        <w:widowControl/>
      </w:pPr>
      <w:r>
        <w:rPr>
          <w:rFonts w:ascii="Times New Roman" w:hAnsi="Times New Roman" w:eastAsia="Times New Roman"/>
          <w:i/>
          <w:sz w:val="19"/>
        </w:rPr>
        <w:t>Доказательная основа раздела: E26–E28. Отдельно сохраняются измерения операторного слоя, граница сквозной проверки и контролируемое теневое воспроизведение.</w:t>
      </w:r>
    </w:p>
    <w:p>
      <w:pPr>
        <w:pStyle w:val="2"/>
        <w:keepNext/>
        <w:keepLines/>
        <w:pageBreakBefore/>
        <w:spacing w:before="200" w:after="120"/>
        <w:keepNext/>
      </w:pPr>
      <w:r>
        <w:rPr>
          <w:rFonts w:ascii="Times New Roman" w:hAnsi="Times New Roman" w:eastAsia="Times New Roman"/>
        </w:rPr>
        <w:t>4.23 Сквозные режимы применения и уровни объяснения</w:t>
      </w:r>
    </w:p>
    <w:p>
      <w:pPr>
        <w:pStyle w:val="FirstParagraph"/>
        <w:spacing w:after="80" w:line="276" w:lineRule="auto"/>
        <w:widowControl/>
      </w:pPr>
      <w:r>
        <w:rPr>
          <w:rFonts w:ascii="Times New Roman" w:hAnsi="Times New Roman" w:eastAsia="Times New Roman"/>
        </w:rPr>
        <w:t>Публичный контракт различает четыре режима: принять (`accept`), краткая проверка (`short_review`), полная проверка (`full_review`) и блокировка (`block`). Ветвь определяется не одной шкалой уверенности, а типом ограничения. Низкая уверенность может привести к краткой проверке, нестабильность объяснения — к полной проверке, а формальное нарушение обязательного маршрута — к блокировке.</w:t>
      </w:r>
    </w:p>
    <w:p>
      <w:pPr>
        <w:pStyle w:val="aa"/>
        <w:keepNext/>
        <w:keepLines/>
        <w:spacing w:before="120" w:after="80"/>
        <w:jc w:val="center"/>
        <w:keepNext/>
      </w:pPr>
      <w:r>
        <w:rPr>
          <w:rFonts w:ascii="Times New Roman" w:hAnsi="Times New Roman" w:eastAsia="Times New Roman"/>
        </w:rPr>
        <w:t>Таблица 4.32 — Семантика четырёх ветвей оценки действия (ActionAssessment)</w:t>
      </w:r>
    </w:p>
    <w:tbl>
      <w:tblPr>
        <w:tblStyle w:val="af1"/>
        <w:tblW w:type="dxa" w:w="918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37"/>
        <w:gridCol w:w="3724"/>
        <w:gridCol w:w="3924"/>
      </w:tblGrid>
      <w:tr>
        <w:trPr>
          <w:cantSplit/>
          <w:tblHeader w:val="true"/>
          <w:tblHeader w:val="true"/>
          <w:cantSplit/>
          <w:tblHeader w:val="true"/>
          <w:cantSplit w:val="true"/>
        </w:trPr>
        <w:tc>
          <w:tcPr>
            <w:tcW w:type="dxa" w:w="1537"/>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Режим</w:t>
            </w:r>
          </w:p>
        </w:tc>
        <w:tc>
          <w:tcPr>
            <w:tcW w:type="dxa" w:w="3724"/>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Основание</w:t>
            </w:r>
          </w:p>
        </w:tc>
        <w:tc>
          <w:tcPr>
            <w:tcW w:type="dxa" w:w="3924"/>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Результат и reason code</w:t>
            </w:r>
          </w:p>
        </w:tc>
      </w:tr>
      <w:tr>
        <w:trPr>
          <w:cantSplit/>
          <w:cantSplit/>
          <w:cantSplit w:val="true"/>
        </w:trPr>
        <w:tc>
          <w:tcPr>
            <w:tcW w:type="dxa" w:w="153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accept</w:t>
            </w:r>
          </w:p>
        </w:tc>
        <w:tc>
          <w:tcPr>
            <w:tcW w:type="dxa" w:w="37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Низкий predictive risk, evidence доступны, маршрут certified</w:t>
            </w:r>
          </w:p>
        </w:tc>
        <w:tc>
          <w:tcPr>
            <w:tcW w:type="dxa" w:w="39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Автоматическое применение; CERTIFIED_LOW_RISK</w:t>
            </w:r>
          </w:p>
        </w:tc>
      </w:tr>
      <w:tr>
        <w:trPr>
          <w:cantSplit/>
          <w:cantSplit/>
          <w:cantSplit w:val="true"/>
        </w:trPr>
        <w:tc>
          <w:tcPr>
            <w:tcW w:type="dxa" w:w="153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short_review</w:t>
            </w:r>
          </w:p>
        </w:tc>
        <w:tc>
          <w:tcPr>
            <w:tcW w:type="dxa" w:w="37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Умеренная неопределённость при корректном маршруте</w:t>
            </w:r>
          </w:p>
        </w:tc>
        <w:tc>
          <w:tcPr>
            <w:tcW w:type="dxa" w:w="39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Краткая проверка; PREDICTIVE_UNCERTAINTY</w:t>
            </w:r>
          </w:p>
        </w:tc>
      </w:tr>
      <w:tr>
        <w:trPr>
          <w:cantSplit/>
          <w:cantSplit/>
          <w:cantSplit w:val="true"/>
        </w:trPr>
        <w:tc>
          <w:tcPr>
            <w:tcW w:type="dxa" w:w="153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full_review</w:t>
            </w:r>
          </w:p>
        </w:tc>
        <w:tc>
          <w:tcPr>
            <w:tcW w:type="dxa" w:w="37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Explanation нестабильно или конфликтует</w:t>
            </w:r>
          </w:p>
        </w:tc>
        <w:tc>
          <w:tcPr>
            <w:tcW w:type="dxa" w:w="39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Проверка канонических свидетельств и альтернатив; EXPLANATION_INSTABILITY</w:t>
            </w:r>
          </w:p>
        </w:tc>
      </w:tr>
      <w:tr>
        <w:trPr>
          <w:cantSplit/>
          <w:cantSplit/>
          <w:cantSplit w:val="true"/>
        </w:trPr>
        <w:tc>
          <w:tcPr>
            <w:tcW w:type="dxa" w:w="153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block</w:t>
            </w:r>
          </w:p>
        </w:tc>
        <w:tc>
          <w:tcPr>
            <w:tcW w:type="dxa" w:w="37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Формальное нарушение обязательного маршрута</w:t>
            </w:r>
          </w:p>
        </w:tc>
        <w:tc>
          <w:tcPr>
            <w:tcW w:type="dxa" w:w="392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Запрет до исправления; код MISSING_MANDATORY_PROVENANCE</w:t>
            </w:r>
          </w:p>
        </w:tc>
      </w:tr>
    </w:tbl>
    <w:p>
      <w:pPr/>
    </w:p>
    <w:p>
      <w:pPr>
        <w:pStyle w:val="a0"/>
        <w:spacing w:after="80" w:line="276" w:lineRule="auto"/>
        <w:widowControl/>
      </w:pPr>
      <w:r>
        <w:rPr>
          <w:rFonts w:ascii="Times New Roman" w:hAnsi="Times New Roman" w:eastAsia="Times New Roman"/>
        </w:rPr>
        <w:t>Один канонический объект проецируется на три уровня адресата. Пользователь получает решение, несколько основных наблюдаемых причин, ограничения и действие. Эксперт дополнительно видит численные вклады, пороги, устойчивость и альтернативы. Аудитор получает полный граф происхождения, версии, контрольные суммы и коды оснований. Сокращение изменяет объём представления, но не создаёт независимое объяснение.</w:t>
      </w:r>
    </w:p>
    <w:p>
      <w:pPr>
        <w:pStyle w:val="aa"/>
        <w:keepNext/>
        <w:keepLines/>
        <w:spacing w:before="120" w:after="80"/>
        <w:jc w:val="center"/>
        <w:keepNext/>
      </w:pPr>
      <w:r>
        <w:rPr>
          <w:rFonts w:ascii="Times New Roman" w:hAnsi="Times New Roman" w:eastAsia="Times New Roman"/>
          <w:b w:val="0"/>
          <w:i w:val="0"/>
        </w:rPr>
        <w:t>Таблица 4.33 — Проекция одного объяснительного объекта на уровни адресатов</w:t>
      </w:r>
    </w:p>
    <w:tbl>
      <w:tblPr>
        <w:tblStyle w:val="af1"/>
        <w:tblW w:type="dxa" w:w="918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54"/>
        <w:gridCol w:w="2641"/>
        <w:gridCol w:w="2423"/>
        <w:gridCol w:w="2867"/>
      </w:tblGrid>
      <w:tr>
        <w:trPr>
          <w:cantSplit/>
          <w:tblHeader w:val="true"/>
          <w:tblHeader w:val="true"/>
          <w:cantSplit/>
          <w:tblHeader w:val="true"/>
          <w:cantSplit w:val="true"/>
        </w:trPr>
        <w:tc>
          <w:tcPr>
            <w:tcW w:type="dxa" w:w="1254"/>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Элемент</w:t>
            </w:r>
          </w:p>
        </w:tc>
        <w:tc>
          <w:tcPr>
            <w:tcW w:type="dxa" w:w="2641"/>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Пользовательский уровень</w:t>
            </w:r>
          </w:p>
        </w:tc>
        <w:tc>
          <w:tcPr>
            <w:tcW w:type="dxa" w:w="2423"/>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Экспертный уровень</w:t>
            </w:r>
          </w:p>
        </w:tc>
        <w:tc>
          <w:tcPr>
            <w:tcW w:type="dxa" w:w="2867"/>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Аудиторский уровень</w:t>
            </w:r>
          </w:p>
        </w:tc>
      </w:tr>
      <w:tr>
        <w:trPr>
          <w:cantSplit/>
          <w:cantSplit/>
          <w:cantSplit w:val="true"/>
        </w:trPr>
        <w:tc>
          <w:tcPr>
            <w:tcW w:type="dxa" w:w="12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Результат модели</w:t>
            </w:r>
          </w:p>
        </w:tc>
        <w:tc>
          <w:tcPr>
            <w:tcW w:type="dxa" w:w="2641"/>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Класс/значение и краткая уверенность</w:t>
            </w:r>
          </w:p>
        </w:tc>
        <w:tc>
          <w:tcPr>
            <w:tcW w:type="dxa" w:w="2423"/>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Вероятность, margin, calibration</w:t>
            </w:r>
          </w:p>
        </w:tc>
        <w:tc>
          <w:tcPr>
            <w:tcW w:type="dxa" w:w="286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Версия модели, контрольная сумма, параметры запуска</w:t>
            </w:r>
          </w:p>
        </w:tc>
      </w:tr>
      <w:tr>
        <w:trPr>
          <w:cantSplit/>
          <w:cantSplit/>
          <w:cantSplit w:val="true"/>
        </w:trPr>
        <w:tc>
          <w:tcPr>
            <w:tcW w:type="dxa" w:w="12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Причины</w:t>
            </w:r>
          </w:p>
        </w:tc>
        <w:tc>
          <w:tcPr>
            <w:tcW w:type="dxa" w:w="2641"/>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До трёх предметных формулировок</w:t>
            </w:r>
          </w:p>
        </w:tc>
        <w:tc>
          <w:tcPr>
            <w:tcW w:type="dxa" w:w="2423"/>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Вклады, ранги, процентили, правила</w:t>
            </w:r>
          </w:p>
        </w:tc>
        <w:tc>
          <w:tcPr>
            <w:tcW w:type="dxa" w:w="286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Source payload, evidence ID, reference identity</w:t>
            </w:r>
          </w:p>
        </w:tc>
      </w:tr>
      <w:tr>
        <w:trPr>
          <w:cantSplit/>
          <w:cantSplit/>
          <w:cantSplit w:val="true"/>
        </w:trPr>
        <w:tc>
          <w:tcPr>
            <w:tcW w:type="dxa" w:w="12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Ограничения</w:t>
            </w:r>
          </w:p>
        </w:tc>
        <w:tc>
          <w:tcPr>
            <w:tcW w:type="dxa" w:w="2641"/>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Что мешает автоматическому применению</w:t>
            </w:r>
          </w:p>
        </w:tc>
        <w:tc>
          <w:tcPr>
            <w:tcW w:type="dxa" w:w="242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Тип конфликта, stability, shift, missing channels</w:t>
            </w:r>
          </w:p>
        </w:tc>
        <w:tc>
          <w:tcPr>
            <w:tcW w:type="dxa" w:w="286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Диагностические узлы и полный путь происхождение</w:t>
            </w:r>
          </w:p>
        </w:tc>
      </w:tr>
      <w:tr>
        <w:trPr>
          <w:cantSplit/>
          <w:cantSplit/>
          <w:cantSplit w:val="true"/>
        </w:trPr>
        <w:tc>
          <w:tcPr>
            <w:tcW w:type="dxa" w:w="12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Действие</w:t>
            </w:r>
          </w:p>
        </w:tc>
        <w:tc>
          <w:tcPr>
            <w:tcW w:type="dxa" w:w="2641"/>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Принять, проверить или не применять</w:t>
            </w:r>
          </w:p>
        </w:tc>
        <w:tc>
          <w:tcPr>
            <w:tcW w:type="dxa" w:w="242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Стоимость, порог, альтернативный режим</w:t>
            </w:r>
          </w:p>
        </w:tc>
        <w:tc>
          <w:tcPr>
            <w:tcW w:type="dxa" w:w="286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Policy version, reason code, deterministic replay</w:t>
            </w:r>
          </w:p>
        </w:tc>
      </w:tr>
      <w:tr>
        <w:trPr>
          <w:cantSplit/>
          <w:cantSplit/>
          <w:cantSplit w:val="true"/>
        </w:trPr>
        <w:tc>
          <w:tcPr>
            <w:tcW w:type="dxa" w:w="12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Процесс обучения</w:t>
            </w:r>
          </w:p>
        </w:tc>
        <w:tc>
          <w:tcPr>
            <w:tcW w:type="dxa" w:w="2641"/>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Краткая фраза о выявленной нестабильности, если trace доступен</w:t>
            </w:r>
          </w:p>
        </w:tc>
        <w:tc>
          <w:tcPr>
            <w:tcW w:type="dxa" w:w="242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Траектория loss/confidence/margin и события забывания</w:t>
            </w:r>
          </w:p>
        </w:tc>
        <w:tc>
          <w:tcPr>
            <w:tcW w:type="dxa" w:w="2867"/>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Checkpoint IDs, timestamps, контрольные суммы; при отсутствии канала — D_incomplete</w:t>
            </w:r>
          </w:p>
        </w:tc>
      </w:tr>
    </w:tbl>
    <w:p>
      <w:pPr/>
    </w:p>
    <w:p>
      <w:pPr>
        <w:pStyle w:val="a0"/>
        <w:spacing w:after="80" w:line="276" w:lineRule="auto"/>
        <w:widowControl/>
      </w:pPr>
      <w:r>
        <w:rPr>
          <w:rFonts w:ascii="Times New Roman" w:hAnsi="Times New Roman" w:eastAsia="Times New Roman"/>
        </w:rPr>
        <w:t>История обучения является необязательным каналом свидетельств. Если сохранены контрольные состояния модели или траектории отдельных объектов, экспертное представление показывает изменения функции потерь, уверенности и отступа от границы решения, а также события забывания. Если история не сохранена, система не придумывает динамику и возвращает явное состояние неполноты. Тем самым процесс обучения отображается только при наличии измеренного журнала и не заменяется фиктивными числовыми значениями.</w:t>
      </w:r>
    </w:p>
    <w:p>
      <w:pPr>
        <w:pStyle w:val="a0"/>
      </w:pPr>
      <w:r>
        <w:rPr>
          <w:rFonts w:ascii="Times New Roman" w:hAnsi="Times New Roman" w:eastAsia="Times New Roman"/>
          <w:b/>
        </w:rPr>
        <w:t>Пользовательский уровень</w:t>
      </w:r>
    </w:p>
    <w:p>
      <w:pPr>
        <w:pStyle w:val="a8"/>
        <w:spacing w:after="80" w:line="276" w:lineRule="auto" w:before="80"/>
        <w:keepLines/>
        <w:widowControl/>
        <w:ind w:left="567" w:right="283"/>
      </w:pPr>
      <w:r>
        <w:rPr>
          <w:rFonts w:ascii="Times New Roman" w:hAnsi="Times New Roman" w:eastAsia="Times New Roman"/>
          <w:b w:val="0"/>
          <w:i/>
        </w:rPr>
        <w:t>На контролируемом демонстрационном объекте № 85 система сформировала вывод: «Модель определила повышенный риск. Решение поддерживают высокая трещиноватость породы, водонасыщенность выше типичного уровня и небольшое расстояние до выработки. После 16-го этапа обучения модель вновь начала ошибаться на редких случаях этого типа, поэтому результат нельзя применять автоматически; его следует передать инженеру-геологу».</w:t>
      </w:r>
    </w:p>
    <w:p>
      <w:pPr>
        <w:pStyle w:val="a0"/>
        <w:spacing w:after="100"/>
        <w:ind w:left="283"/>
      </w:pPr>
      <w:r>
        <w:rPr>
          <w:rFonts w:ascii="Times New Roman" w:hAnsi="Times New Roman" w:eastAsia="Times New Roman"/>
        </w:rPr>
        <w:t>Связь с доказательным графом: пользовательская фраза является сокращённой проекцией утверждений C-005–C-016 и отображает только наблюдаемые причины, ограничение и действие.</w:t>
      </w:r>
    </w:p>
    <w:p>
      <w:pPr>
        <w:pStyle w:val="a0"/>
      </w:pPr>
      <w:r>
        <w:rPr>
          <w:rFonts w:ascii="Times New Roman" w:hAnsi="Times New Roman" w:eastAsia="Times New Roman"/>
          <w:b/>
        </w:rPr>
        <w:t>Экспертный уровень</w:t>
      </w:r>
    </w:p>
    <w:p>
      <w:pPr>
        <w:pStyle w:val="a8"/>
        <w:spacing w:after="80" w:line="276" w:lineRule="auto" w:before="80"/>
        <w:keepLines/>
        <w:widowControl/>
        <w:ind w:left="567" w:right="283"/>
      </w:pPr>
      <w:r>
        <w:rPr>
          <w:rFonts w:ascii="Times New Roman" w:hAnsi="Times New Roman" w:eastAsia="Times New Roman"/>
          <w:b w:val="0"/>
          <w:i/>
        </w:rPr>
        <w:t>На контролируемом демонстрационном объекте № 85 эксперт видит, что объект был впервые правильно распознан на 7-м этапе, событие забывания зафиксировано на 16-м этапе, полнота редкой подгруппы снизилась на 18 процентных пунктов, а правило R31 связывает высокую трещиноватость и малое расстояние с повышенным риском. Дополнительно показываются три похожих случая с мерами сходства 0,792; 0,627 и 0,216, а также проверочное изменение трещиноватости с 0,84 до 0,18, меняющее прогноз. Такое изменение является проверкой чувствительности модели, а не предметной рекомендацией.</w:t>
      </w:r>
    </w:p>
    <w:p>
      <w:pPr>
        <w:pStyle w:val="a0"/>
        <w:spacing w:after="100"/>
        <w:ind w:left="283"/>
      </w:pPr>
      <w:r>
        <w:rPr>
          <w:rFonts w:ascii="Times New Roman" w:hAnsi="Times New Roman" w:eastAsia="Times New Roman"/>
        </w:rPr>
        <w:t>Связь с доказательным графом: экспертная проекция раскрывает численные свидетельства, событие забывания, правило R31, подгруппу S4 и результаты проверок чувствительности, сохраняя связь с теми же утверждениями C-005–C-016.</w:t>
      </w:r>
    </w:p>
    <w:p>
      <w:pPr>
        <w:pStyle w:val="a0"/>
      </w:pPr>
      <w:r>
        <w:rPr>
          <w:rFonts w:ascii="Times New Roman" w:hAnsi="Times New Roman" w:eastAsia="Times New Roman"/>
          <w:b/>
        </w:rPr>
        <w:t>Аудиторский уровень</w:t>
      </w:r>
    </w:p>
    <w:p>
      <w:pPr>
        <w:pStyle w:val="a8"/>
        <w:keepLines/>
        <w:widowControl/>
        <w:spacing w:before="80" w:after="80"/>
        <w:ind w:left="567" w:right="283"/>
      </w:pPr>
      <w:r>
        <w:t>На контролируемом демонстрационном объекте № 85 сохраняются идентификаторы утверждений C-005–C-016, ссылка на правило R31, событие забывания, сведения о подгруппе S4, версия модели, параметры объяснителя, контрольные суммы артефактов и полный путь от исходных свидетельств к действию `defer_to_human`. Пример подтверждает реализуемость многоуровневой проекции; понятность переработанной пользовательской формы дополнительно получила положительную качественную оценку участников, изучающих объяснимый искусственный интеллект.</w:t>
      </w:r>
    </w:p>
    <w:p>
      <w:pPr>
        <w:pStyle w:val="a0"/>
        <w:spacing w:after="100"/>
        <w:ind w:left="283"/>
      </w:pPr>
      <w:r>
        <w:rPr>
          <w:rFonts w:ascii="Times New Roman" w:hAnsi="Times New Roman" w:eastAsia="Times New Roman"/>
        </w:rPr>
        <w:t>Связь с доказательным графом: аудиторская проекция показывает полный путь происхождения утверждений C-005–C-016, версии компонентов, параметры объяснителя и контрольные суммы артефактов.</w:t>
      </w:r>
    </w:p>
    <w:p>
      <w:pPr>
        <w:pStyle w:val="a0"/>
        <w:spacing w:after="80" w:line="276" w:lineRule="auto"/>
        <w:widowControl/>
      </w:pPr>
      <w:r>
        <w:t>Реализованные пользовательская карточка и аудиторская панель, приведённые на рисунках 4.11 и 4.12, являются двумя проекциями одного маршрута. Их наличие подтверждает программную реализацию, а качественная оценка участниками поддерживает понятность переработанной пользовательской формы. Совпадение рекомендуемых действий с решениями специалистов и предметная безопасность в настоящей главе не оцениваются.</w:t>
      </w:r>
    </w:p>
    <w:p>
      <w:pPr>
        <w:pStyle w:val="a0"/>
        <w:spacing w:after="80" w:line="276" w:lineRule="auto"/>
        <w:widowControl/>
      </w:pPr>
      <w:r>
        <w:rPr>
          <w:rFonts w:ascii="Times New Roman" w:hAnsi="Times New Roman" w:eastAsia="Times New Roman"/>
          <w:b w:val="0"/>
          <w:i w:val="0"/>
        </w:rPr>
        <w:t>Уровни представления показывают, как один канонический объект используется разными адресатами. Далее все результаты сводятся по доказанным свойствам и ограничениям.</w:t>
      </w:r>
    </w:p>
    <w:p>
      <w:pPr>
        <w:pStyle w:val="a0"/>
        <w:widowControl/>
      </w:pPr>
      <w:r>
        <w:rPr>
          <w:rFonts w:ascii="Times New Roman" w:hAnsi="Times New Roman" w:eastAsia="Times New Roman"/>
          <w:i/>
          <w:sz w:val="19"/>
        </w:rPr>
        <w:t>Доказательная основа раздела: E29 и артефакты Explanation Experience. Они фиксируют контракт практического контроллера и многоуровневые проекции одного канонического объекта.</w:t>
      </w:r>
    </w:p>
    <w:p>
      <w:pPr>
        <w:pStyle w:val="2"/>
        <w:keepNext/>
        <w:keepLines/>
        <w:pageBreakBefore/>
        <w:spacing w:before="200" w:after="120"/>
        <w:keepNext/>
      </w:pPr>
      <w:r>
        <w:rPr>
          <w:rFonts w:ascii="Times New Roman" w:hAnsi="Times New Roman" w:eastAsia="Times New Roman"/>
          <w:b w:val="0"/>
          <w:i w:val="0"/>
        </w:rPr>
        <w:t>4.24 Сводная оценка доказанных свойств и остаточных ограничений</w:t>
      </w:r>
    </w:p>
    <w:p>
      <w:pPr>
        <w:pStyle w:val="FirstParagraph"/>
        <w:spacing w:after="80" w:line="276" w:lineRule="auto"/>
        <w:widowControl/>
      </w:pPr>
      <w:r>
        <w:t>Сводная оценка объединяет методологические риски, выполненные проверки и остаточные ограничения. Она позволяет отличить свойства, подтверждённые количественным экспериментом, от качественно оценённых характеристик представления и от свойств, для которых получен отрицательный результат.</w:t>
      </w:r>
    </w:p>
    <w:p>
      <w:pPr>
        <w:pStyle w:val="aa"/>
        <w:keepNext/>
        <w:keepLines/>
        <w:spacing w:before="120" w:after="80"/>
        <w:jc w:val="center"/>
        <w:keepNext/>
      </w:pPr>
      <w:r>
        <w:rPr>
          <w:rFonts w:ascii="Times New Roman" w:hAnsi="Times New Roman" w:eastAsia="Times New Roman"/>
          <w:b w:val="0"/>
          <w:i w:val="0"/>
        </w:rPr>
        <w:t>Таблица 4.34 — Методологические риски, выполненные проверки и остаточные границы</w:t>
      </w:r>
    </w:p>
    <w:tbl>
      <w:tblPr>
        <w:tblStyle w:val="af1"/>
        <w:tblW w:type="dxa" w:w="918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54"/>
        <w:gridCol w:w="2788"/>
        <w:gridCol w:w="2639"/>
        <w:gridCol w:w="1904"/>
      </w:tblGrid>
      <w:tr>
        <w:trPr>
          <w:cantSplit/>
          <w:tblHeader w:val="true"/>
          <w:tblHeader w:val="true"/>
          <w:cantSplit/>
          <w:tblHeader w:val="true"/>
          <w:cantSplit w:val="true"/>
        </w:trPr>
        <w:tc>
          <w:tcPr>
            <w:tcW w:type="dxa" w:w="1854"/>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Методологический риск</w:t>
            </w:r>
          </w:p>
        </w:tc>
        <w:tc>
          <w:tcPr>
            <w:tcW w:type="dxa" w:w="2788"/>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Выполненная проверка</w:t>
            </w:r>
          </w:p>
        </w:tc>
        <w:tc>
          <w:tcPr>
            <w:tcW w:type="dxa" w:w="2639"/>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Фактический результат</w:t>
            </w:r>
          </w:p>
        </w:tc>
        <w:tc>
          <w:tcPr>
            <w:tcW w:type="dxa" w:w="1904"/>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Статус</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Смешение SHAP/LIME/Anchors/RuleFit</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Три семейства сравнений</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RuleFit перенесён в glass-box; Anchors оставлен локальным правиловым методом</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Закрыто методологически</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Нет GAM/EBM/FAST</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GAM, EBM, RuleFit, sparse tree, rule list; FAST описан как отбор взаимодействий GA²M</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Измерены AUROC, Brier, сложность и время</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Закрыто описательно</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H3 не даёт практического выигрыша</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Независимые H3-P1–P4 и 14 базовых политик</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P1 не превзошёл лучший базовый метод</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Отрицательный результат подтверждён</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H5-P не предсказывает ошибку</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Разделение H5-S/H5-P/H5-A</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H5-A поддержана на controlled library; H5-P остаётся отрицательной</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Закрыта граница функции</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H6 противоречива</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область обнаружимости H6-A и сопоставимые контрольные правила H6-B</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H6-A поддержана ограниченно; H6-B без inferential gate</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Общий эффект не заявляется</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Нет устойчивости правил vs SHAP/LIME</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Явно разделены объекты устойчивости</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Rule-set stability в замороженной доказательной базе отсутствует</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Не закрыто численно; необоснованное утверждение запрещён</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Автоматизированная проверка подменяет мнение людей</w:t>
            </w:r>
          </w:p>
        </w:tc>
        <w:tc>
          <w:tcPr>
            <w:tcW w:type="dxa" w:w="278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Автоматизированный этап дополнен качественной оценкой участниками, изучающими XAI</w:t>
            </w:r>
          </w:p>
        </w:tc>
        <w:tc>
          <w:tcPr>
            <w:tcW w:type="dxa" w:w="2639"/>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Основные замечания совпали; после исправлений объяснения признаны понятными</w:t>
            </w:r>
          </w:p>
        </w:tc>
        <w:tc>
          <w:tcPr>
            <w:tcW w:type="dxa" w:w="1904"/>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Закрыто качественно</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Масштаб только 100 тыс.</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H9 до 5 млн объектов</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Близко к линейному только операторный слой; исходный объяснитель исключён</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Закрыто для операторного слоя</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Нет анализа компонентной сетки</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H8 для четырёх модальностей</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Действие устойчиво, состав первых причин чувствителен</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Закрыто с ограничением</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Нет полного объяснения для адресатов</w:t>
            </w:r>
          </w:p>
        </w:tc>
        <w:tc>
          <w:tcPr>
            <w:tcW w:type="dxa" w:w="2788"/>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Три проекции и канал training trace</w:t>
            </w:r>
          </w:p>
        </w:tc>
        <w:tc>
          <w:tcPr>
            <w:tcW w:type="dxa" w:w="263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Canonical evidence сохраняется; отсутствие trace маркируется</w:t>
            </w:r>
          </w:p>
        </w:tc>
        <w:tc>
          <w:tcPr>
            <w:tcW w:type="dxa" w:w="1904"/>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Закрыто на уровне контракта</w:t>
            </w:r>
          </w:p>
        </w:tc>
      </w:tr>
      <w:tr>
        <w:trPr>
          <w:cantSplit/>
          <w:cantSplit/>
          <w:cantSplit w:val="true"/>
        </w:trPr>
        <w:tc>
          <w:tcPr>
            <w:tcW w:type="dxa" w:w="1854"/>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Нет пользовательской оценки понятности</w:t>
            </w:r>
          </w:p>
        </w:tc>
        <w:tc>
          <w:tcPr>
            <w:tcW w:type="dxa" w:w="2788"/>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Проведена качественная оценка переработанных материалов</w:t>
            </w:r>
          </w:p>
        </w:tc>
        <w:tc>
          <w:tcPr>
            <w:tcW w:type="dxa" w:w="2639"/>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Участники, изучающие XAI, сочли объяснения понятными и приемлемыми</w:t>
            </w:r>
          </w:p>
        </w:tc>
        <w:tc>
          <w:tcPr>
            <w:tcW w:type="dxa" w:w="1904"/>
            <w:vAlign w:val="center"/>
            <w:tcMar>
              <w:top w:w="70" w:type="dxa"/>
              <w:start w:w="80" w:type="dxa"/>
              <w:bottom w:w="70" w:type="dxa"/>
              <w:end w:w="80" w:type="dxa"/>
            </w:tcMar>
            <w:shd w:fill="FFFFFF" w:val="clear"/>
          </w:tcPr>
          <w:p>
            <w:pPr>
              <w:spacing w:before="0" w:after="0" w:line="240" w:lineRule="auto"/>
              <w:jc w:val="center"/>
            </w:pPr>
            <w:r>
              <w:rPr>
                <w:rFonts w:ascii="Times New Roman" w:hAnsi="Times New Roman" w:eastAsia="Times New Roman"/>
                <w:sz w:val="19"/>
              </w:rPr>
            </w:r>
            <w:r>
              <w:rPr>
                <w:rFonts w:ascii="Times New Roman" w:hAnsi="Times New Roman" w:eastAsia="Times New Roman"/>
                <w:b w:val="0"/>
                <w:sz w:val="19"/>
              </w:rPr>
              <w:t>Закрыто качественно; без статистического утверждения</w:t>
            </w:r>
          </w:p>
        </w:tc>
      </w:tr>
    </w:tbl>
    <w:p>
      <w:pPr/>
    </w:p>
    <w:p>
      <w:pPr>
        <w:pStyle w:val="aa"/>
        <w:keepNext/>
        <w:keepLines/>
        <w:spacing w:before="120" w:after="80"/>
        <w:jc w:val="center"/>
        <w:keepNext/>
      </w:pPr>
      <w:r>
        <w:rPr>
          <w:rFonts w:ascii="Times New Roman" w:hAnsi="Times New Roman" w:eastAsia="Times New Roman"/>
          <w:b w:val="0"/>
          <w:i w:val="0"/>
        </w:rPr>
        <w:t>Таблица 4.35 — Итоговый статус исходных и новых экспериментальных гипотез</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05"/>
        <w:gridCol w:w="2559"/>
        <w:gridCol w:w="2720"/>
        <w:gridCol w:w="2600"/>
      </w:tblGrid>
      <w:tr>
        <w:trPr>
          <w:tblHeader w:val="true"/>
          <w:cantSplit/>
          <w:cantSplit/>
          <w:tblHeader w:val="true"/>
          <w:tblHeader w:val="true"/>
          <w:cantSplit/>
          <w:tblHeader w:val="true"/>
          <w:cantSplit w:val="true"/>
        </w:trPr>
        <w:tc>
          <w:tcPr>
            <w:tcW w:type="dxa" w:w="1305"/>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Гипотеза</w:t>
              <w:rPr>
                <w:rFonts w:ascii="Times New Roman" w:hAnsi="Times New Roman" w:eastAsia="Times New Roman" w:cs="Times New Roman"/>
                <w:b/>
                <w:sz w:val="19"/>
                <w:szCs w:val="21"/>
              </w:rPr>
            </w:r>
          </w:p>
        </w:tc>
        <w:tc>
          <w:tcPr>
            <w:tcW w:type="dxa" w:w="2559"/>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Проверяемый результат</w:t>
              <w:rPr>
                <w:rFonts w:ascii="Times New Roman" w:hAnsi="Times New Roman" w:eastAsia="Times New Roman" w:cs="Times New Roman"/>
                <w:b/>
                <w:sz w:val="19"/>
                <w:szCs w:val="21"/>
              </w:rPr>
            </w:r>
          </w:p>
        </w:tc>
        <w:tc>
          <w:tcPr>
            <w:tcW w:type="dxa" w:w="272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Область доказательства</w:t>
              <w:rPr>
                <w:rFonts w:ascii="Times New Roman" w:hAnsi="Times New Roman" w:eastAsia="Times New Roman" w:cs="Times New Roman"/>
                <w:b/>
                <w:sz w:val="19"/>
                <w:szCs w:val="21"/>
              </w:rPr>
            </w:r>
          </w:p>
        </w:tc>
        <w:tc>
          <w:tcPr>
            <w:tcW w:type="dxa" w:w="260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Итог</w:t>
              <w:rPr>
                <w:rFonts w:ascii="Times New Roman" w:hAnsi="Times New Roman" w:eastAsia="Times New Roman" w:cs="Times New Roman"/>
                <w:b/>
                <w:sz w:val="19"/>
                <w:szCs w:val="21"/>
              </w:rPr>
            </w:r>
          </w:p>
        </w:tc>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H1</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Сохранение локальной верности</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6 000 пар</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H2</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Локализация отсутствующих каналов</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Контролируемые удаления</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H3</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Преимущество политики применения</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5 независимых наборов</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H4</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Снижение сложности представления</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504 260 объектов</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H5-S</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Обнаружение структурных разрывов</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Контролируемые нарушения</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H5-P</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Предсказание ошибки модели</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Подтверждающий контур</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H5-A</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Структурная сертификация</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40 шаблонов и 14 композиций</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Подтверждена в ограниченной области</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H6-general</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Общий эффект исключения правила</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Реальные наборы</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H6-A</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Обнаружимость внедрённых правил</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Заранее заданная синтетическая область</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Подтверждена в ограниченной области</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H6-B</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Эффект реальных правил</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2 табличных набора</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Статистически не 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H7-A</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Сохранение канонических артефактов</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17 404 артефакта</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H7-B</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Улучшение сокращённой проекции</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Описательный анализ</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подтверждена</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H8</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Устойчивость к компонентной сетке</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Анализ без целевых меток</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Ограниченное измерение</w:t>
              <w:rPr>
                <w:rFonts w:ascii="Times New Roman" w:hAnsi="Times New Roman" w:eastAsia="Times New Roman" w:cs="Times New Roman"/>
                <w:b w:val="0"/>
                <w:sz w:val="19"/>
                <w:szCs w:val="21"/>
              </w:rPr>
            </w:r>
          </w:p>
        </w:tc>
        <w:trPr>
          <w:cantSplit/>
          <w:cantSplit/>
          <w:cantSplit/>
          <w:cantSplit w:val="true"/>
        </w:trPr>
      </w:tr>
      <w:tr>
        <w:tc>
          <w:tcPr>
            <w:tcW w:type="dxa" w:w="1305"/>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H9</w:t>
              <w:rPr>
                <w:rFonts w:ascii="Times New Roman" w:hAnsi="Times New Roman" w:eastAsia="Times New Roman" w:cs="Times New Roman"/>
                <w:b w:val="0"/>
                <w:sz w:val="19"/>
                <w:szCs w:val="21"/>
              </w:rPr>
            </w:r>
          </w:p>
        </w:tc>
        <w:tc>
          <w:tcPr>
            <w:tcW w:type="dxa" w:w="255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Масштабируемость</w:t>
              <w:rPr>
                <w:rFonts w:ascii="Times New Roman" w:hAnsi="Times New Roman" w:eastAsia="Times New Roman" w:cs="Times New Roman"/>
                <w:b w:val="0"/>
                <w:sz w:val="19"/>
                <w:szCs w:val="21"/>
              </w:rPr>
            </w:r>
          </w:p>
        </w:tc>
        <w:tc>
          <w:tcPr>
            <w:tcW w:type="dxa" w:w="272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Кэшированный операторный слой</w:t>
              <w:rPr>
                <w:rFonts w:ascii="Times New Roman" w:hAnsi="Times New Roman" w:eastAsia="Times New Roman" w:cs="Times New Roman"/>
                <w:b w:val="0"/>
                <w:sz w:val="19"/>
                <w:szCs w:val="21"/>
              </w:rPr>
            </w:r>
          </w:p>
        </w:tc>
        <w:tc>
          <w:tcPr>
            <w:tcW w:type="dxa" w:w="260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Ограниченное измерение</w:t>
              <w:rPr>
                <w:rFonts w:ascii="Times New Roman" w:hAnsi="Times New Roman" w:eastAsia="Times New Roman" w:cs="Times New Roman"/>
                <w:b w:val="0"/>
                <w:sz w:val="19"/>
                <w:szCs w:val="21"/>
              </w:rPr>
            </w:r>
          </w:p>
        </w:tc>
        <w:trPr>
          <w:cantSplit/>
          <w:cantSplit/>
          <w:cantSplit/>
          <w:cantSplit w:val="true"/>
        </w:trPr>
      </w:tr>
    </w:tbl>
    <w:p>
      <w:pPr/>
    </w:p>
    <w:p>
      <w:pPr>
        <w:pStyle w:val="a0"/>
        <w:spacing w:after="80" w:line="276" w:lineRule="auto"/>
        <w:widowControl/>
      </w:pPr>
      <w:r>
        <w:t>Наиболее сильные положительные результаты относятся к H1, H2, H4, H5-S, H5-A, H6-A и H7-A, однако три последних имеют явно ограниченную область. H3, H5-P, H6-general, H6-B и H7-B не подтверждены. H8 и H9 являются ограниченными техническими измерениями. Качественная пользовательская оценка переработанных объяснений проведена и поддерживает их понятность; предметная безопасность и эффективность действий не входят в подтверждённые результаты.</w:t>
      </w:r>
    </w:p>
    <w:p>
      <w:pPr>
        <w:sectPr>
          <w:pgSz w:w="11906" w:h="16838"/>
          <w:pgMar w:top="1134" w:right="850" w:bottom="1134" w:left="1701" w:header="708" w:footer="708" w:gutter="0"/>
          <w:headerReference w:type="default" r:id="rId26"/>
          <w:footerReference w:type="default" r:id="rId27"/>
          <w:cols w:space="720"/>
        </w:sectPr>
      </w:pPr>
    </w:p>
    <w:bookmarkStart w:id="38" w:name="Xcfbb36c75937a4812c5ab1e78265de5031430cb"/>
    <w:p>
      <w:pPr>
        <w:pStyle w:val="a0"/>
        <w:widowControl/>
      </w:pPr>
      <w:r>
        <w:rPr>
          <w:rFonts w:ascii="Times New Roman" w:hAnsi="Times New Roman" w:eastAsia="Times New Roman"/>
          <w:i/>
          <w:sz w:val="19"/>
        </w:rPr>
        <w:t>Доказательная основа раздела: E17. Итоговый реестр утверждений запрещает положительную формулировку для свойства, не достигшего заранее заданного критерия.</w:t>
      </w:r>
    </w:p>
    <w:p>
      <w:pPr>
        <w:pStyle w:val="2"/>
        <w:keepNext/>
        <w:spacing w:before="200" w:after="120"/>
        <w:keepNext/>
      </w:pPr>
      <w:r>
        <w:rPr>
          <w:rFonts w:ascii="Times New Roman" w:hAnsi="Times New Roman" w:eastAsia="Times New Roman"/>
        </w:rPr>
        <w:t>4.25 Доказательная трассировка и воспроизводимость результатов</w:t>
      </w:r>
    </w:p>
    <w:p>
      <w:pPr>
        <w:pStyle w:val="a0"/>
        <w:widowControl/>
      </w:pPr>
      <w:r>
        <w:rPr>
          <w:rFonts w:ascii="Times New Roman" w:hAnsi="Times New Roman" w:eastAsia="Times New Roman"/>
          <w:i w:val="0"/>
        </w:rPr>
        <w:t>Доказательная трассировка встроена в логику экспериментальных разделов, а не вынесена в отдельный перечень, оторванный от интерпретации. После каждого ключевого эксперимента указаны группы источников E01–E29, на которых основаны числа, статистические выводы и ограничения. Такой способ сохраняет проверяемость и одновременно не превращает основной текст в распечатку файловой структуры архива.</w:t>
      </w:r>
    </w:p>
    <w:p>
      <w:pPr>
        <w:pStyle w:val="a0"/>
        <w:widowControl/>
      </w:pPr>
      <w:r>
        <w:rPr>
          <w:rFonts w:ascii="Times New Roman" w:hAnsi="Times New Roman" w:eastAsia="Times New Roman"/>
          <w:i w:val="0"/>
        </w:rPr>
        <w:t>Источники E01 и E03–E10 описывают линию выпуска, данные, разбиения, аудит утечек, протокол и заявленное восстановление этапа расчёта метрик. E11–E17 относятся к H3, таксономии сравнений и итоговому реестру утверждений. E18–E24 фиксируют H5, H6 и H7. E25–E29 содержат анализ компонентной сетки, масштабирование, теневое воспроизведение и контракт практического контроллера.</w:t>
      </w:r>
    </w:p>
    <w:p>
      <w:pPr>
        <w:pStyle w:val="a0"/>
        <w:widowControl/>
      </w:pPr>
      <w:r>
        <w:rPr>
          <w:rFonts w:ascii="Times New Roman" w:hAnsi="Times New Roman" w:eastAsia="Times New Roman"/>
          <w:i w:val="0"/>
        </w:rPr>
        <w:t>Первоначальный этап расчёта итоговых метрик был признан недействительным из-за ошибки разбора внешнего контейнера меток. До возникновения ошибки прогнозы, объяснения, признаки P0/P1 и действия политик уже были сформированы и хэшированы без использования контрольных меток. После отдельной фиксации отклонения повторно вычислялись только метрики по неизменяемым артефактам; обучение, настройка и выбор политик не повторялись. Поэтому результат рассматривается как подтверждающий запуск с зарегистрированным протокольным отклонением, а не как идеальный однократный запуск.</w:t>
      </w:r>
    </w:p>
    <w:p>
      <w:pPr>
        <w:pStyle w:val="a0"/>
        <w:widowControl/>
      </w:pPr>
      <w:r>
        <w:rPr>
          <w:rFonts w:ascii="Times New Roman" w:hAnsi="Times New Roman" w:eastAsia="Times New Roman"/>
          <w:i w:val="0"/>
        </w:rPr>
        <w:t>Карта 38 существенных числовых значений связывает каждое число с файлом, локатором и контрольной суммой в едином выпуске `fuzzyxai-final-practical-closure-1a71bae98f15.zip`. Основной код соответствует версии v1.3.0 и коммиту 1a71bae98f1554430d537670018dce7dc889e25f. В документальной редакции модели и экспериментальные результаты не пересчитывались.</w:t>
      </w:r>
    </w:p>
    <w:p>
      <w:pPr>
        <w:pStyle w:val="a0"/>
        <w:widowControl/>
      </w:pPr>
      <w:r>
        <w:t>Каждый результат интерпретируется только в пределах соответствующего эксперимента. Подтверждённое свойство относится к указанной области данных и протокола; отрицательный результат не заменяется более узким положительным утверждением; ограниченное измерение не переносится на полный сквозной процесс. Качественная оценка понятности рассматривается отдельно от статистических гипотез и не используется для вывода о предметной безопасности.</w:t>
      </w:r>
    </w:p>
    <w:p>
      <w:pPr>
        <w:pStyle w:val="a0"/>
        <w:widowControl/>
      </w:pPr>
      <w:r>
        <w:rPr>
          <w:rFonts w:ascii="Times New Roman" w:hAnsi="Times New Roman" w:eastAsia="Times New Roman"/>
          <w:b w:val="0"/>
          <w:i w:val="0"/>
        </w:rPr>
        <w:t>Тем самым доказательная трассировка не добавляет новых результатов, а устанавливает границы допустимого текста. Итоговые выводы формулируются только в пределах таблицы 4.35 и доказательных источников, указанных непосредственно в соответствующих разделах.</w:t>
      </w:r>
    </w:p>
    <w:p>
      <w:pPr>
        <w:pStyle w:val="2"/>
        <w:keepNext/>
        <w:keepLines/>
        <w:pageBreakBefore w:val="0"/>
        <w:spacing w:before="200" w:after="120"/>
        <w:keepNext/>
      </w:pPr>
      <w:r>
        <w:rPr>
          <w:rFonts w:ascii="Times New Roman" w:hAnsi="Times New Roman" w:eastAsia="Times New Roman"/>
          <w:b w:val="0"/>
          <w:i w:val="0"/>
        </w:rPr>
        <w:t>4.26 Обсуждение результатов и выводы по главе</w:t>
      </w:r>
    </w:p>
    <w:p>
      <w:pPr>
        <w:pStyle w:val="FirstParagraph"/>
        <w:spacing w:after="80" w:line="276" w:lineRule="auto"/>
        <w:widowControl/>
      </w:pPr>
      <w:r>
        <w:rPr>
          <w:rFonts w:ascii="Times New Roman" w:hAnsi="Times New Roman" w:eastAsia="Times New Roman"/>
        </w:rPr>
        <w:t>Расширенная экспериментальная программа подтверждает вычислительную состоятельность FuzzyXAI как системного объяснительно-аудиторского слоя. Метод принимает разнородные локальные объяснения, сохраняет их в канонической форме, связывает утверждения с происхождением, локализует предусмотренные нарушения, выбирает минимально достаточное представление и формирует воспроизводимый след действия.</w:t>
      </w:r>
    </w:p>
    <w:p>
      <w:pPr>
        <w:pStyle w:val="a0"/>
        <w:spacing w:after="80" w:line="276" w:lineRule="auto"/>
        <w:widowControl/>
      </w:pPr>
      <w:r>
        <w:rPr>
          <w:rFonts w:ascii="Times New Roman" w:hAnsi="Times New Roman" w:eastAsia="Times New Roman"/>
        </w:rPr>
        <w:t>Положительные результаты не следует интерпретировать как универсальное улучшение точности прогнозирования. H1 показывает отсутствие искажения исходного объяснения; H2 и H5-S/H5-A — корректность зарегистрированных структурных контрактов; H4 — снижение сложности представления без ухудшения зафиксированного риска; H7-A — точное сохранение 17 404 канонических артефактов. H6-A характеризует область обнаружимости внедрённых правил, но не общий эффект реальной абляции.</w:t>
      </w:r>
    </w:p>
    <w:p>
      <w:pPr>
        <w:pStyle w:val="a0"/>
        <w:spacing w:after="80" w:line="276" w:lineRule="auto"/>
        <w:widowControl/>
      </w:pPr>
      <w:r>
        <w:t>Отрицательные результаты H3, H5-P и H6-general имеют самостоятельную научную ценность. Они показывают, что структурная корректность маршрута, происхождение и конфликт не являются универсальными предикторами ошибки или безопасности. Тем самым разграничиваются аудит объяснительного маршрута и оценка истинности прогноза — два ортогональных свойства, которые нельзя подменять друг другом. FuzzyXAI предоставляет воспроизводимый диагностический слой, но не заменяет предметную проверку, не гарантирует повышение точности и не обосновывает автоматическое применение решения без отдельной калибровки.</w:t>
      </w:r>
    </w:p>
    <w:p>
      <w:pPr>
        <w:pStyle w:val="a0"/>
        <w:spacing w:after="80" w:line="276" w:lineRule="auto"/>
        <w:widowControl/>
      </w:pPr>
      <w:r>
        <w:rPr>
          <w:rFonts w:ascii="Times New Roman" w:hAnsi="Times New Roman" w:eastAsia="Times New Roman"/>
        </w:rPr>
        <w:t>Сопоставление с современными аналогами выполнено по трём корректно разделённым уровням. SHAP, LIME и Anchors оцениваются как постмодельные объяснения одной модели; GAM, EBM, RuleFit и другие внутренне интерпретируемые подходы — как самостоятельные предикторы; пороговые, конформные и риск-ориентированные схемы P0/P1 — как политики применения. FuzzyXAI не объявляется победителем общей таблицы, поскольку выполняет системную функцию над объяснительным маршрутом.</w:t>
      </w:r>
    </w:p>
    <w:p>
      <w:pPr>
        <w:pStyle w:val="a0"/>
        <w:spacing w:after="80" w:line="276" w:lineRule="auto"/>
        <w:widowControl/>
      </w:pPr>
      <w:r>
        <w:rPr>
          <w:rFonts w:ascii="Times New Roman" w:hAnsi="Times New Roman" w:eastAsia="Times New Roman"/>
        </w:rPr>
        <w:t>Масштабируемость операторного слоя проверена до пяти миллионов записей, однако стоимость исходного объяснителя исключена. Анализ компонентной сетки показал высокую устойчивость действия в рекомендованном диапазоне и одновременно нулевое совпадение первых компонентов вне базовой конфигурации. Поэтому гранулярность должна фиксироваться как часть происхождения объяснения, а результаты H8 и H9 нельзя переносить на полный сквозной конвейер без отдельного измерения.</w:t>
      </w:r>
    </w:p>
    <w:p>
      <w:pPr>
        <w:pStyle w:val="a0"/>
        <w:spacing w:after="80" w:line="276" w:lineRule="auto"/>
        <w:widowControl/>
      </w:pPr>
      <w:r>
        <w:t>Практическая значимость установлена для инженерии проверяемых объяснений, воспроизводимого аудита, контроля происхождения и ограничения действия при формальном нарушении маршрута. Качественная оценка с участием людей, изучающих объяснимый искусственный интеллект, поддерживает понятность переработанных пользовательских формулировок. При этом повышение предметной безопасности и совпадение рекомендуемого действия с решением специалиста не заявляются как доказанные свойства.</w:t>
      </w:r>
    </w:p>
    <w:p>
      <w:pPr>
        <w:pStyle w:val="a0"/>
      </w:pPr>
      <w:r>
        <w:rPr>
          <w:rFonts w:ascii="Times New Roman" w:hAnsi="Times New Roman" w:eastAsia="Times New Roman"/>
          <w:b w:val="0"/>
          <w:i w:val="0"/>
          <w:sz w:val="28"/>
        </w:rPr>
        <w:t>Практическая реализация представлена публичным API, адаптерами четырёх модальностей, типизированным OperatorRoute, проверяемым ProofTrace и экспортом доказательного пакета. Сквозной пример подтверждает, что диагностика и действие вычисляются из входных значений, формул согласования, редукции и риска, а затем независимо проверяются модулем verifier. Этот результат относится к работоспособности программного контура и не изменяет отрицательные статусы H3, H5-P, H6-general, H6-B и H7-B.</w:t>
      </w:r>
    </w:p>
    <w:p>
      <w:pPr>
        <w:pStyle w:val="a8"/>
        <w:keepLines/>
        <w:spacing w:after="80" w:line="276" w:lineRule="auto"/>
        <w:widowControl/>
      </w:pPr>
      <w:r>
        <w:rPr>
          <w:rFonts w:ascii="Times New Roman" w:hAnsi="Times New Roman" w:eastAsia="Times New Roman"/>
        </w:rPr>
        <w:t>Итоговый научный вывод: FuzzyXAI реализует воспроизводимый системный объяснительно-аудиторский слой, который сохраняет исходные свидетельства, обеспечивает трассируемость, поддерживает минимально достаточные представления и локализует зарегистрированные структурные нарушения. Метод не подтверждён как универсально лучшая политика действия, предиктор ошибки модели или средство общего улучшения правиловой системы. Эти отрицательные результаты не скрываются, а определяют научно обоснованную область применения.</w:t>
      </w:r>
    </w:p>
    <w:p>
      <w:pPr>
        <w:pStyle w:val="aa"/>
        <w:keepNext/>
        <w:keepLines/>
        <w:spacing w:before="120" w:after="80"/>
        <w:jc w:val="center"/>
        <w:keepNext/>
      </w:pPr>
      <w:r>
        <w:rPr>
          <w:rFonts w:ascii="Times New Roman" w:hAnsi="Times New Roman" w:eastAsia="Times New Roman"/>
          <w:b w:val="0"/>
          <w:i w:val="0"/>
        </w:rPr>
        <w:t>Таблица 4.36 — Итоговый научный вклад и экспериментальные границы главы</w:t>
      </w:r>
    </w:p>
    <w:tbl>
      <w:tblPr>
        <w:tblStyle w:val="af1"/>
        <w:tblW w:type="dxa" w:w="918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55"/>
        <w:gridCol w:w="5629"/>
      </w:tblGrid>
      <w:tr>
        <w:trPr>
          <w:cantSplit/>
          <w:tblHeader w:val="true"/>
          <w:tblHeader w:val="true"/>
          <w:cantSplit/>
          <w:tblHeader w:val="true"/>
          <w:cantSplit w:val="true"/>
        </w:trPr>
        <w:tc>
          <w:tcPr>
            <w:tcW w:type="dxa" w:w="3555"/>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Научный результат</w:t>
            </w:r>
          </w:p>
        </w:tc>
        <w:tc>
          <w:tcPr>
            <w:tcW w:type="dxa" w:w="5629"/>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Содержание и область доказательства</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Вычислительная форма</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Маршрут (M, x, Π, Ω) → (E, D, χ, τ) с явной неполнотой и доказательным графом</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Межмодальная переносимость</w:t>
            </w:r>
          </w:p>
        </w:tc>
        <w:tc>
          <w:tcPr>
            <w:tcW w:type="dxa" w:w="5629"/>
            <w:vAlign w:val="center"/>
            <w:tcMar>
              <w:top w:w="70" w:type="dxa"/>
              <w:start w:w="80" w:type="dxa"/>
              <w:bottom w:w="70" w:type="dxa"/>
              <w:end w:w="80" w:type="dxa"/>
            </w:tcMar>
            <w:shd w:fill="FFFFFF" w:val="clear"/>
          </w:tcPr>
          <w:p>
            <w:pPr>
              <w:spacing w:before="0" w:after="0" w:line="240" w:lineRule="auto"/>
              <w:jc w:val="left"/>
            </w:pPr>
            <w:r/>
            <w:r>
              <w:rPr>
                <w:rFonts w:ascii="Times New Roman" w:hAnsi="Times New Roman" w:eastAsia="Times New Roman"/>
                <w:b w:val="0"/>
                <w:sz w:val="19"/>
              </w:rPr>
              <w:t>Таблицы, изображения, текст и временные ряды; разные семейства моделей и объяснителей</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Сохранение локального сигнала</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6 000 парных сравнений без изменения измеренной локальной верности</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Локализация неполноты</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2 000 контролируемых удалений без ложной сертификации</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Минимально достаточное представление</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504 260 объектов; сложность снижена с 8 до 3,137 при сохранении риска</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Структурная валидность</w:t>
            </w:r>
          </w:p>
        </w:tc>
        <w:tc>
          <w:tcPr>
            <w:tcW w:type="dxa" w:w="5629"/>
            <w:vAlign w:val="center"/>
            <w:tcMar>
              <w:top w:w="70" w:type="dxa"/>
              <w:start w:w="80" w:type="dxa"/>
              <w:bottom w:w="70" w:type="dxa"/>
              <w:end w:w="80" w:type="dxa"/>
            </w:tcMar>
            <w:shd w:fill="FFFFFF" w:val="clear"/>
          </w:tcPr>
          <w:p>
            <w:pPr>
              <w:spacing w:before="0" w:after="0" w:line="240" w:lineRule="auto"/>
              <w:jc w:val="left"/>
            </w:pPr>
            <w:r/>
            <w:r>
              <w:rPr>
                <w:rFonts w:ascii="Times New Roman" w:hAnsi="Times New Roman" w:eastAsia="Times New Roman"/>
                <w:b w:val="0"/>
                <w:sz w:val="19"/>
              </w:rPr>
              <w:t>4 000 разрывов и отдельная библиотека 40 шаблонов нарушений и 14 композиций</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jc w:val="left"/>
            </w:pPr>
            <w:r/>
            <w:r>
              <w:rPr>
                <w:rFonts w:ascii="Times New Roman" w:hAnsi="Times New Roman" w:eastAsia="Times New Roman"/>
                <w:b w:val="0"/>
                <w:sz w:val="19"/>
              </w:rPr>
              <w:t>Канонические свидетельства</w:t>
            </w:r>
          </w:p>
        </w:tc>
        <w:tc>
          <w:tcPr>
            <w:tcW w:type="dxa" w:w="5629"/>
            <w:vAlign w:val="center"/>
            <w:tcMar>
              <w:top w:w="70" w:type="dxa"/>
              <w:start w:w="80" w:type="dxa"/>
              <w:bottom w:w="70" w:type="dxa"/>
              <w:end w:w="80" w:type="dxa"/>
            </w:tcMar>
            <w:shd w:fill="FFFFFF" w:val="clear"/>
          </w:tcPr>
          <w:p>
            <w:pPr>
              <w:spacing w:before="0" w:after="0" w:line="240" w:lineRule="auto"/>
              <w:jc w:val="left"/>
            </w:pPr>
            <w:r/>
            <w:r>
              <w:rPr>
                <w:rFonts w:ascii="Times New Roman" w:hAnsi="Times New Roman" w:eastAsia="Times New Roman"/>
                <w:b w:val="0"/>
                <w:sz w:val="19"/>
              </w:rPr>
              <w:t>17 404 артефакта с точным совпадением контрольных сумм</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Чувствительность гранулярности</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Действие устойчивее состава первых причин; гранулярность включается в происхождение</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Масштабируемость</w:t>
            </w:r>
          </w:p>
        </w:tc>
        <w:tc>
          <w:tcPr>
            <w:tcW w:type="dxa" w:w="5629"/>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i w:val="0"/>
                <w:sz w:val="19"/>
              </w:rPr>
              <w:t>До 5 млн записей для кэшированного операторного слоя; сквозное утверждение запрещено</w:t>
            </w:r>
          </w:p>
        </w:tc>
      </w:tr>
      <w:tr>
        <w:trPr>
          <w:cantSplit/>
          <w:cantSplit/>
          <w:cantSplit w:val="true"/>
        </w:trPr>
        <w:tc>
          <w:tcPr>
            <w:tcW w:type="dxa" w:w="3555"/>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Границы метода</w:t>
            </w:r>
          </w:p>
        </w:tc>
        <w:tc>
          <w:tcPr>
            <w:tcW w:type="dxa" w:w="5629"/>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H3, H5-P и H6-general не подтверждены; качественная пользовательская оценка поддерживает понятность текста, но не доказывает предметную безопасность или преимущество политики</w:t>
            </w:r>
          </w:p>
        </w:tc>
      </w:tr>
    </w:tbl>
    <w:p>
      <w:pPr/>
    </w:p>
    <w:p>
      <w:pPr>
        <w:pStyle w:val="2"/>
        <w:keepNext/>
        <w:keepLines/>
        <w:pageBreakBefore/>
        <w:spacing w:before="200" w:after="120"/>
        <w:keepNext/>
      </w:pPr>
      <w:r>
        <w:rPr>
          <w:rFonts w:ascii="Times New Roman" w:hAnsi="Times New Roman" w:eastAsia="Times New Roman"/>
        </w:rPr>
        <w:t>Список литературы к главе 4</w:t>
      </w:r>
    </w:p>
    <w:p>
      <w:pPr>
        <w:pStyle w:val="a0"/>
        <w:spacing w:after="80" w:line="276" w:lineRule="auto"/>
        <w:widowControl/>
      </w:pPr>
      <w:r>
        <w:rPr>
          <w:rFonts w:ascii="Times New Roman" w:hAnsi="Times New Roman" w:eastAsia="Times New Roman"/>
          <w:b w:val="0"/>
          <w:i w:val="0"/>
        </w:rPr>
        <w:t>[1] Ribeiro M. T., Singh S., Guestrin C. “Why Should I Trust You?” Explaining the Predictions of Any Classifier // Proceedings of the 22nd ACM SIGKDD International Conference on Knowledge Discovery and Data Mining. 2016. P. 1135–1144. DOI: 10.1145/2939672.2939778.</w:t>
      </w:r>
    </w:p>
    <w:p>
      <w:pPr>
        <w:pStyle w:val="a0"/>
        <w:spacing w:after="80" w:line="276" w:lineRule="auto"/>
        <w:widowControl/>
      </w:pPr>
      <w:r>
        <w:rPr>
          <w:rFonts w:ascii="Times New Roman" w:hAnsi="Times New Roman" w:eastAsia="Times New Roman"/>
        </w:rPr>
        <w:t>[2] Lundberg S. M., Lee S.-I. A Unified Approach to Interpreting Model Predictions // Advances in Neural Information Processing Systems. 2017. Vol. 30.</w:t>
      </w:r>
    </w:p>
    <w:p>
      <w:pPr>
        <w:pStyle w:val="a0"/>
        <w:spacing w:after="80" w:line="276" w:lineRule="auto"/>
        <w:widowControl/>
      </w:pPr>
      <w:r>
        <w:rPr>
          <w:rFonts w:ascii="Times New Roman" w:hAnsi="Times New Roman" w:eastAsia="Times New Roman"/>
          <w:b w:val="0"/>
          <w:i w:val="0"/>
        </w:rPr>
        <w:t>[3] Ribeiro M. T., Singh S., Guestrin C. Anchors: High-Precision Model-Agnostic Explanations // Proceedings of the AAAI Conference on Artificial Intelligence. 2018. Vol. 32. No. 1. P. 1527–1535. DOI: 10.1609/aaai.v32i1.11491.</w:t>
      </w:r>
    </w:p>
    <w:p>
      <w:pPr>
        <w:pStyle w:val="a0"/>
        <w:spacing w:after="80" w:line="276" w:lineRule="auto"/>
        <w:widowControl/>
      </w:pPr>
      <w:r>
        <w:rPr>
          <w:rFonts w:ascii="Times New Roman" w:hAnsi="Times New Roman" w:eastAsia="Times New Roman"/>
          <w:b w:val="0"/>
          <w:i w:val="0"/>
        </w:rPr>
        <w:t>[4] Friedman J. H., Popescu B. E. Predictive Learning via Rule Ensembles // The Annals of Applied Statistics. 2008. Vol. 2. No. 3. P. 916–954. DOI: 10.1214/07-AOAS148.</w:t>
      </w:r>
    </w:p>
    <w:p>
      <w:pPr>
        <w:pStyle w:val="a0"/>
        <w:spacing w:after="80" w:line="276" w:lineRule="auto"/>
        <w:widowControl/>
      </w:pPr>
      <w:r>
        <w:rPr>
          <w:rFonts w:ascii="Times New Roman" w:hAnsi="Times New Roman" w:eastAsia="Times New Roman"/>
        </w:rPr>
        <w:t>[5] Selvaraju R. R. et al. Grad-CAM: Visual Explanations from Deep Networks via Gradient-Based Localization // Proceedings of ICCV. 2017. P. 618–626.</w:t>
      </w:r>
    </w:p>
    <w:p>
      <w:pPr>
        <w:pStyle w:val="a0"/>
        <w:spacing w:after="80" w:line="276" w:lineRule="auto"/>
        <w:widowControl/>
      </w:pPr>
      <w:r>
        <w:rPr>
          <w:rFonts w:ascii="Times New Roman" w:hAnsi="Times New Roman" w:eastAsia="Times New Roman"/>
          <w:b w:val="0"/>
          <w:i w:val="0"/>
        </w:rPr>
        <w:t>[6] Sundararajan M., Taly A., Yan Q. Axiomatic Attribution for Deep Networks // Proceedings of ICML. 2017. Vol. 70. P. 3319–3328. arXiv:1703.01365.</w:t>
      </w:r>
    </w:p>
    <w:p>
      <w:pPr>
        <w:pStyle w:val="a0"/>
        <w:spacing w:after="80" w:line="276" w:lineRule="auto"/>
        <w:widowControl/>
      </w:pPr>
      <w:r>
        <w:rPr>
          <w:rFonts w:ascii="Times New Roman" w:hAnsi="Times New Roman" w:eastAsia="Times New Roman"/>
        </w:rPr>
        <w:t>[7] Doshi-Velez F., Kim B. Towards a Rigorous Science of Interpretable Machine Learning. arXiv:1702.08608. 2017.</w:t>
      </w:r>
    </w:p>
    <w:p>
      <w:pPr>
        <w:pStyle w:val="a0"/>
        <w:spacing w:after="80" w:line="276" w:lineRule="auto"/>
        <w:widowControl/>
      </w:pPr>
      <w:r>
        <w:rPr>
          <w:rFonts w:ascii="Times New Roman" w:hAnsi="Times New Roman" w:eastAsia="Times New Roman"/>
          <w:b w:val="0"/>
          <w:i w:val="0"/>
        </w:rPr>
        <w:t>[8] Miller T. Explanation in Artificial Intelligence: Insights from the Social Sciences // Artificial Intelligence. 2019. Vol. 267. P. 1–38. DOI: 10.1016/j.artint.2018.07.007.</w:t>
      </w:r>
    </w:p>
    <w:p>
      <w:pPr>
        <w:pStyle w:val="a0"/>
        <w:spacing w:after="80" w:line="276" w:lineRule="auto"/>
        <w:widowControl/>
      </w:pPr>
      <w:r>
        <w:rPr>
          <w:rFonts w:ascii="Times New Roman" w:hAnsi="Times New Roman" w:eastAsia="Times New Roman"/>
          <w:b w:val="0"/>
          <w:i w:val="0"/>
        </w:rPr>
        <w:t>[9] Rudin C. Stop Explaining Black Box Machine Learning Models for High Stakes Decisions and Use Interpretable Models Instead // Nature Machine Intelligence. 2019. Vol. 1. P. 206–215. DOI: 10.1038/s42256-019-0048-x.</w:t>
      </w:r>
    </w:p>
    <w:p>
      <w:pPr>
        <w:pStyle w:val="a0"/>
        <w:spacing w:after="80" w:line="276" w:lineRule="auto"/>
        <w:widowControl/>
      </w:pPr>
      <w:r>
        <w:rPr>
          <w:rFonts w:ascii="Times New Roman" w:hAnsi="Times New Roman" w:eastAsia="Times New Roman"/>
          <w:b w:val="0"/>
          <w:i w:val="0"/>
        </w:rPr>
        <w:t>[10] Barredo Arrieta A. et al. Explainable Artificial Intelligence: Concepts, Taxonomies, Opportunities and Challenges toward Responsible AI // Information Fusion. 2020. Vol. 58. P. 82–115. DOI: 10.1016/j.inffus.2019.12.012.</w:t>
      </w:r>
    </w:p>
    <w:p>
      <w:pPr>
        <w:pStyle w:val="a0"/>
        <w:spacing w:after="80" w:line="276" w:lineRule="auto"/>
        <w:widowControl/>
      </w:pPr>
      <w:r>
        <w:rPr>
          <w:rFonts w:ascii="Times New Roman" w:hAnsi="Times New Roman" w:eastAsia="Times New Roman"/>
          <w:b w:val="0"/>
          <w:i w:val="0"/>
        </w:rPr>
        <w:t>[11] Murdoch W. J. et al. Definitions, Methods, and Applications in Interpretable Machine Learning // Proceedings of the National Academy of Sciences. 2019. Vol. 116. No. 44. P. 22071–22080. DOI: 10.1073/pnas.1900654116.</w:t>
      </w:r>
    </w:p>
    <w:p>
      <w:pPr>
        <w:pStyle w:val="a0"/>
        <w:spacing w:after="80" w:line="276" w:lineRule="auto"/>
        <w:widowControl/>
      </w:pPr>
      <w:r>
        <w:rPr>
          <w:rFonts w:ascii="Times New Roman" w:hAnsi="Times New Roman" w:eastAsia="Times New Roman"/>
        </w:rPr>
        <w:t>[12] Holm S. A Simple Sequentially Rejective Multiple Test Procedure // Scandinavian Journal of Statistics. 1979. Vol. 6. No. 2. P. 65–70.</w:t>
      </w:r>
    </w:p>
    <w:p>
      <w:pPr>
        <w:pStyle w:val="a0"/>
        <w:spacing w:after="80" w:line="276" w:lineRule="auto"/>
        <w:widowControl/>
      </w:pPr>
      <w:r>
        <w:rPr>
          <w:rFonts w:ascii="Times New Roman" w:hAnsi="Times New Roman" w:eastAsia="Times New Roman"/>
        </w:rPr>
        <w:t>[13] Wilcoxon F. Individual Comparisons by Ranking Methods // Biometrics Bulletin. 1945. Vol. 1. No. 6. P. 80–83.</w:t>
      </w:r>
    </w:p>
    <w:p>
      <w:pPr>
        <w:pStyle w:val="a0"/>
        <w:spacing w:after="80" w:line="276" w:lineRule="auto"/>
        <w:widowControl/>
      </w:pPr>
      <w:r>
        <w:rPr>
          <w:rFonts w:ascii="Times New Roman" w:hAnsi="Times New Roman" w:eastAsia="Times New Roman"/>
        </w:rPr>
        <w:t>[14] Efron B., Tibshirani R. J. An Introduction to the Bootstrap. New York: Chapman &amp; Hall, 1993.</w:t>
      </w:r>
    </w:p>
    <w:p>
      <w:pPr>
        <w:pStyle w:val="a0"/>
        <w:spacing w:after="80" w:line="276" w:lineRule="auto"/>
        <w:widowControl/>
      </w:pPr>
      <w:r>
        <w:rPr>
          <w:rFonts w:ascii="Times New Roman" w:hAnsi="Times New Roman" w:eastAsia="Times New Roman"/>
          <w:b w:val="0"/>
          <w:i w:val="0"/>
        </w:rPr>
        <w:t>[15] Blackard J. A., Dean D. J. Comparative Accuracies of Artificial Neural Networks and Discriminant Analysis in Predicting Forest Cover Types from Cartographic Variables // Computers and Electronics in Agriculture. 1999. Vol. 24. No. 3. P. 131–151. DOI: 10.1016/S0168-1699(99)00046-0.</w:t>
      </w:r>
    </w:p>
    <w:p>
      <w:pPr>
        <w:pStyle w:val="a0"/>
        <w:spacing w:after="80" w:line="276" w:lineRule="auto"/>
        <w:widowControl/>
      </w:pPr>
      <w:r>
        <w:rPr>
          <w:rFonts w:ascii="Times New Roman" w:hAnsi="Times New Roman" w:eastAsia="Times New Roman"/>
        </w:rPr>
        <w:t>[16] Xiao H., Rasul K., Vollgraf R. Fashion-MNIST: a Novel Image Dataset for Benchmarking Machine Learning Algorithms. arXiv:1708.07747. 2017.</w:t>
      </w:r>
    </w:p>
    <w:p>
      <w:pPr>
        <w:pStyle w:val="a0"/>
        <w:spacing w:after="80" w:line="276" w:lineRule="auto"/>
        <w:widowControl/>
      </w:pPr>
      <w:r>
        <w:rPr>
          <w:rFonts w:ascii="Times New Roman" w:hAnsi="Times New Roman" w:eastAsia="Times New Roman"/>
        </w:rPr>
        <w:t>[17] Lang K. NewsWeeder: Learning to Filter Netnews // Proceedings of the 12th International Conference on Machine Learning. 1995. P. 331–339.</w:t>
      </w:r>
    </w:p>
    <w:p>
      <w:pPr>
        <w:pStyle w:val="a0"/>
        <w:spacing w:after="80" w:line="276" w:lineRule="auto"/>
        <w:widowControl/>
      </w:pPr>
      <w:r>
        <w:rPr>
          <w:rFonts w:ascii="Times New Roman" w:hAnsi="Times New Roman" w:eastAsia="Times New Roman"/>
          <w:b w:val="0"/>
          <w:i w:val="0"/>
        </w:rPr>
        <w:t>[18] Bagnall A. et al. The Great Time Series Classification Bake Off: a Review and Experimental Evaluation of Recent Algorithmic Advances // Data Mining and Knowledge Discovery. 2017. Vol. 31. P. 606–660. DOI: 10.1007/s10618-016-0483-9.</w:t>
      </w:r>
    </w:p>
    <w:p>
      <w:pPr>
        <w:pStyle w:val="a0"/>
        <w:spacing w:after="80" w:line="276" w:lineRule="auto"/>
        <w:widowControl/>
      </w:pPr>
      <w:r>
        <w:rPr>
          <w:rFonts w:ascii="Times New Roman" w:hAnsi="Times New Roman" w:eastAsia="Times New Roman"/>
        </w:rPr>
        <w:t>[19] Pedregosa F. et al. Scikit-learn: Machine Learning in Python // Journal of Machine Learning Research. 2011. Vol. 12. P. 2825–2830.</w:t>
      </w:r>
    </w:p>
    <w:p>
      <w:pPr>
        <w:pStyle w:val="a0"/>
        <w:spacing w:after="80" w:line="276" w:lineRule="auto"/>
        <w:widowControl/>
      </w:pPr>
      <w:r>
        <w:rPr>
          <w:rFonts w:ascii="Times New Roman" w:hAnsi="Times New Roman" w:eastAsia="Times New Roman"/>
        </w:rPr>
        <w:t>[20] Paszke A. et al. PyTorch: An Imperative Style, High-Performance Deep Learning Library // Advances in Neural Information Processing Systems. 2019. Vol. 32.</w:t>
      </w:r>
    </w:p>
    <w:p>
      <w:pPr>
        <w:pStyle w:val="a0"/>
        <w:spacing w:after="80" w:line="276" w:lineRule="auto"/>
        <w:widowControl/>
      </w:pPr>
      <w:r>
        <w:rPr>
          <w:rFonts w:ascii="Times New Roman" w:hAnsi="Times New Roman" w:eastAsia="Times New Roman"/>
        </w:rPr>
        <w:t>[21] Hastie T. J., Tibshirani R. J. Generalized Additive Models. London: Chapman &amp; Hall, 1990. 352 p.</w:t>
      </w:r>
    </w:p>
    <w:p>
      <w:pPr>
        <w:pStyle w:val="a0"/>
        <w:spacing w:after="80" w:line="276" w:lineRule="auto"/>
        <w:widowControl/>
      </w:pPr>
      <w:r>
        <w:rPr>
          <w:rFonts w:ascii="Times New Roman" w:hAnsi="Times New Roman" w:eastAsia="Times New Roman"/>
        </w:rPr>
        <w:t>[22] Lou Y., Caruana R., Gehrke J., Hooker G. Accurate Intelligible Models with Pairwise Interactions // Proceedings of the 19th ACM SIGKDD International Conference on Knowledge Discovery and Data Mining. 2013. P. 623–631. DOI: 10.1145/2487575.2487579.</w:t>
      </w:r>
    </w:p>
    <w:p>
      <w:pPr>
        <w:pStyle w:val="a0"/>
        <w:spacing w:after="80" w:line="276" w:lineRule="auto"/>
        <w:widowControl/>
      </w:pPr>
      <w:r>
        <w:rPr>
          <w:rFonts w:ascii="Times New Roman" w:hAnsi="Times New Roman" w:eastAsia="Times New Roman"/>
        </w:rPr>
        <w:t>[23] Nori H., Jenkins S., Koch P., Caruana R. InterpretML: A Unified Framework for Machine Learning Interpretability. arXiv:1909.09223. 2019.</w:t>
      </w:r>
    </w:p>
    <w:p>
      <w:pPr>
        <w:pStyle w:val="a0"/>
        <w:spacing w:after="80" w:line="276" w:lineRule="auto"/>
        <w:widowControl/>
      </w:pPr>
      <w:r>
        <w:rPr>
          <w:rFonts w:ascii="Times New Roman" w:hAnsi="Times New Roman" w:eastAsia="Times New Roman"/>
          <w:b w:val="0"/>
          <w:i w:val="0"/>
        </w:rPr>
        <w:t>[24] Moro S., Cortez P., Rita P. A Data-Driven Approach to Predict the Success of Bank Telemarketing // Decision Support Systems. 2014. Vol. 62. P. 22–31. DOI: 10.1016/j.dss.2014.03.001.</w:t>
      </w:r>
    </w:p>
    <w:p>
      <w:pPr>
        <w:pStyle w:val="a0"/>
        <w:spacing w:after="80" w:line="276" w:lineRule="auto"/>
        <w:widowControl/>
      </w:pPr>
      <w:r>
        <w:rPr>
          <w:rFonts w:ascii="Times New Roman" w:hAnsi="Times New Roman" w:eastAsia="Times New Roman"/>
          <w:b w:val="0"/>
          <w:i w:val="0"/>
        </w:rPr>
        <w:t>[25] Yeh I.-C., Lien C.-H. The Comparisons of Data Mining Techniques for the Predictive Accuracy of Probability of Default of Credit Card Clients // Expert Systems with Applications. 2009. Vol. 36. No. 2. P. 2473–2480. DOI: 10.1016/j.eswa.2007.12.020.</w:t>
      </w:r>
    </w:p>
    <w:p>
      <w:pPr>
        <w:pStyle w:val="a0"/>
        <w:spacing w:after="80" w:line="276" w:lineRule="auto"/>
        <w:widowControl/>
      </w:pPr>
      <w:r>
        <w:rPr>
          <w:rFonts w:ascii="Times New Roman" w:hAnsi="Times New Roman" w:eastAsia="Times New Roman"/>
        </w:rPr>
        <w:t>[26] Shoulder Implant X-Ray Manufacturer Classification [Dataset]. UCI Machine Learning Repository. 2020. DOI: 10.24432/C5F893.</w:t>
      </w:r>
    </w:p>
    <w:p>
      <w:pPr>
        <w:pStyle w:val="a0"/>
        <w:spacing w:after="80" w:line="276" w:lineRule="auto"/>
        <w:widowControl/>
      </w:pPr>
      <w:r>
        <w:rPr>
          <w:rFonts w:ascii="Times New Roman" w:hAnsi="Times New Roman" w:eastAsia="Times New Roman"/>
          <w:b w:val="0"/>
          <w:i w:val="0"/>
        </w:rPr>
        <w:t>[27] Almeida T. A., Hidalgo J. M. G., Yamakami A. Contributions to the Study of SMS Spam Filtering: New Collection and Results // Proceedings of the ACM Symposium on Document Engineering. 2011. P. 259–262. DOI: 10.1145/2034691.2034742.</w:t>
      </w:r>
    </w:p>
    <w:p>
      <w:pPr>
        <w:pStyle w:val="a0"/>
        <w:spacing w:after="80" w:line="276" w:lineRule="auto"/>
        <w:widowControl/>
      </w:pPr>
      <w:r>
        <w:rPr>
          <w:rFonts w:ascii="Times New Roman" w:hAnsi="Times New Roman" w:eastAsia="Times New Roman"/>
        </w:rPr>
        <w:t>[28] Anguita D., Ghio A., Oneto L., Parra X., Reyes-Ortiz J. L. A Public Domain Dataset for Human Activity Recognition Using Smartphones // Proceedings of ESANN. 2013. P. 437–442.</w:t>
      </w:r>
    </w:p>
    <w:p>
      <w:r>
        <w:rPr>
          <w:rFonts w:ascii="Times New Roman" w:hAnsi="Times New Roman" w:eastAsia="Times New Roman"/>
        </w:rPr>
        <w:br w:type="page"/>
      </w:r>
    </w:p>
    <w:p>
      <w:pPr>
        <w:pStyle w:val="1"/>
        <w:keepNext/>
      </w:pPr>
      <w:r>
        <w:rPr>
          <w:rFonts w:ascii="Times New Roman" w:hAnsi="Times New Roman" w:eastAsia="Times New Roman"/>
        </w:rPr>
        <w:t>Приложение А. Детализированные экспериментальные и технические таблицы</w:t>
      </w:r>
    </w:p>
    <w:p>
      <w:pPr>
        <w:pStyle w:val="FirstParagraph"/>
      </w:pPr>
      <w:r>
        <w:rPr>
          <w:rFonts w:ascii="Times New Roman" w:hAnsi="Times New Roman" w:eastAsia="Times New Roman"/>
        </w:rPr>
        <w:t>В приложение перенесены полные замороженные строки, технические параметры и факторные сетки, которые необходимы для воспроизводимости, но перегружают основной научный текст. Перенос не изменяет ни одного числового результата или статуса гипотезы.</w:t>
      </w:r>
    </w:p>
    <w:p>
      <w:pPr>
        <w:pStyle w:val="aa"/>
        <w:keepNext/>
      </w:pPr>
      <w:r>
        <w:rPr>
          <w:rFonts w:ascii="Times New Roman" w:hAnsi="Times New Roman" w:eastAsia="Times New Roman"/>
        </w:rPr>
        <w:t>Таблица А.1 — Ранний эталонный контур масштабирования</w:t>
      </w:r>
    </w:p>
    <w:tbl>
      <w:tblPr>
        <w:tblStyle w:val="af1"/>
        <w:tblW w:type="dxa" w:w="9356"/>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tblHeader w:val="true"/>
          <w:cantSplit/>
          <w:tblHeader w:val="true"/>
          <w:cantSplit w:val="true"/>
        </w:trPr>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Объектов</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Полное время, с</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Накладные расходы, с</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Пиковая память, МБ</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0,0098</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0,0085</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0,65</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5 000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0,0453</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0,0421</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3,19</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0,0925</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0,0855</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6,38</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50 000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0,4727</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0,4209</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31,86</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100 000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0,8656</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0,8080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63,71</w:t>
            </w:r>
          </w:p>
        </w:tc>
      </w:tr>
    </w:tbl>
    <w:p>
      <w:pPr>
        <w:spacing w:after="80"/>
      </w:pPr>
    </w:p>
    <w:p>
      <w:pPr>
        <w:pStyle w:val="aa"/>
        <w:keepNext/>
      </w:pPr>
      <w:r>
        <w:rPr>
          <w:rFonts w:ascii="Times New Roman" w:hAnsi="Times New Roman" w:eastAsia="Times New Roman"/>
        </w:rPr>
        <w:t>Таблица А.2 — Размер доказательного графа и сериализации</w:t>
      </w:r>
    </w:p>
    <w:tbl>
      <w:tblPr>
        <w:tblStyle w:val="af1"/>
        <w:tblW w:type="dxa" w:w="9356"/>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tblHeader w:val="true"/>
          <w:cantSplit/>
          <w:tblHeader w:val="true"/>
          <w:cantSplit w:val="true"/>
        </w:trPr>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Объектов</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Узлов</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Рёбер</w:t>
            </w:r>
          </w:p>
        </w:tc>
        <w:tc>
          <w:tcPr>
            <w:tcW w:type="dxa" w:w="2339"/>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Сериализация, байт</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46 178</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5 000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25 000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237 888</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480 379</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50 000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250 000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200 000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2 436 956</w:t>
            </w:r>
          </w:p>
        </w:tc>
      </w:tr>
      <w:tr>
        <w:trPr>
          <w:cantSplit/>
          <w:cantSplit/>
          <w:cantSplit w:val="true"/>
        </w:trPr>
        <w:tc>
          <w:tcPr>
            <w:tcW w:type="dxa" w:w="2339"/>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100 000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500 000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400 000</w:t>
            </w:r>
          </w:p>
        </w:tc>
        <w:tc>
          <w:tcPr>
            <w:tcW w:type="dxa" w:w="2339"/>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4 785 544</w:t>
            </w:r>
          </w:p>
        </w:tc>
      </w:tr>
    </w:tbl>
    <w:p>
      <w:pPr>
        <w:spacing w:after="80"/>
      </w:pPr>
    </w:p>
    <w:p>
      <w:pPr>
        <w:pStyle w:val="aa"/>
        <w:keepNext/>
      </w:pPr>
      <w:r>
        <w:rPr>
          <w:rFonts w:ascii="Times New Roman" w:hAnsi="Times New Roman" w:eastAsia="Times New Roman"/>
        </w:rPr>
        <w:t>Таблица А.3 — Полное сравнение объяснителей на раннем контролируемом контуре</w:t>
      </w:r>
    </w:p>
    <w:tbl>
      <w:tblPr>
        <w:tblStyle w:val="af1"/>
        <w:tblW w:type="dxa" w:w="9352"/>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36"/>
        <w:gridCol w:w="1336"/>
        <w:gridCol w:w="1336"/>
        <w:gridCol w:w="1336"/>
        <w:gridCol w:w="1336"/>
        <w:gridCol w:w="1336"/>
        <w:gridCol w:w="1336"/>
      </w:tblGrid>
      <w:tr>
        <w:trPr>
          <w:tblHeader w:val="true"/>
          <w:cantSplit/>
          <w:tblHeader w:val="true"/>
          <w:cantSplit/>
          <w:tblHeader w:val="true"/>
          <w:cantSplit w:val="true"/>
        </w:trPr>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Метод</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N</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Верн.</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Уст.</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Полн.</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Элем.</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Время</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SHAP</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0,277</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0,821</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LIME</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0,273</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0,770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0,750</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Anch.</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0,960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0,960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2,17</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13,713</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RuleFit</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0,749</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0,749</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29,00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5,561</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S+L</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0,845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1,572</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FX+S</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0,277</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0,821</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FX full</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0,275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0,845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1,572</w:t>
            </w:r>
          </w:p>
        </w:tc>
      </w:tr>
    </w:tbl>
    <w:p>
      <w:pPr>
        <w:spacing w:after="80"/>
      </w:pPr>
    </w:p>
    <w:p>
      <w:pPr>
        <w:pStyle w:val="aa"/>
        <w:keepNext/>
      </w:pPr>
      <w:r>
        <w:rPr>
          <w:rFonts w:ascii="Times New Roman" w:hAnsi="Times New Roman" w:eastAsia="Times New Roman"/>
        </w:rPr>
        <w:t>Таблица А.4 — Полное сравнение ранних политик применения</w:t>
      </w:r>
    </w:p>
    <w:tbl>
      <w:tblPr>
        <w:tblStyle w:val="af1"/>
        <w:tblW w:type="dxa" w:w="9352"/>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36"/>
        <w:gridCol w:w="1336"/>
        <w:gridCol w:w="1336"/>
        <w:gridCol w:w="1336"/>
        <w:gridCol w:w="1336"/>
        <w:gridCol w:w="1336"/>
        <w:gridCol w:w="1336"/>
      </w:tblGrid>
      <w:tr>
        <w:trPr>
          <w:tblHeader w:val="true"/>
          <w:cantSplit/>
          <w:tblHeader w:val="true"/>
          <w:cantSplit/>
          <w:tblHeader w:val="true"/>
          <w:cantSplit w:val="true"/>
        </w:trPr>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Схема</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Авт.</w:t>
              <w:br/>
              <w:t>покр.</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Ошиб.</w:t>
              <w:br/>
              <w:t>принято</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Ручная</w:t>
              <w:br/>
              <w:t>проверка</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Блок</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Ложн.</w:t>
              <w:br/>
              <w:t>блок</w:t>
            </w:r>
          </w:p>
        </w:tc>
        <w:tc>
          <w:tcPr>
            <w:tcW w:type="dxa" w:w="1336"/>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Средн.</w:t>
              <w:br/>
              <w:t>стоимость</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P1: порог уверенности</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0,7405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245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519</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0,8792</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P2: порог + SHAP</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0,4045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146</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1191</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1,1852</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P3: согласие SHAP/LIME</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0,1775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69</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1645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1,3718</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P4: устойчивость + разрыв</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0,4920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996</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P5: P4 + история</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0,4920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185</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996</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18</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1,1395</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P6: все на проверку</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2000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1,5000</w:t>
            </w:r>
          </w:p>
        </w:tc>
      </w:tr>
      <w:tr>
        <w:trPr>
          <w:cantSplit/>
          <w:cantSplit/>
          <w:cantSplit w:val="true"/>
        </w:trPr>
        <w:tc>
          <w:tcPr>
            <w:tcW w:type="dxa" w:w="1336"/>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P7: все принять</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467</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w:t>
            </w:r>
          </w:p>
        </w:tc>
        <w:tc>
          <w:tcPr>
            <w:tcW w:type="dxa" w:w="1336"/>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0,9340</w:t>
            </w:r>
          </w:p>
        </w:tc>
      </w:tr>
    </w:tbl>
    <w:p>
      <w:pPr>
        <w:spacing w:after="80"/>
      </w:pPr>
    </w:p>
    <w:p>
      <w:pPr>
        <w:pStyle w:val="aa"/>
        <w:keepNext/>
      </w:pPr>
      <w:r>
        <w:rPr>
          <w:rFonts w:ascii="Times New Roman" w:hAnsi="Times New Roman" w:eastAsia="Times New Roman"/>
        </w:rPr>
        <w:t>Таблица А.5 — Повторная десятикратная проверка удаления правила</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Метрика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Средняя разность</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95%-й ДИ</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p Холма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Интерпр.</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Точность</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-0,000120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[-0,000500; 0,000320]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0,946174</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Общий эффект отсутствует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Полнота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-0,001381</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[-0,001854; -0,000947]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0,000111</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Статистически различимо, практически мало</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F1</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-0,000403</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[-0,000771; 0,000017]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0,042346</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Малый пограничный эффект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Полнота редкой группы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[0,000000; 0,000000]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Эффект отсутствует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F1 редкой группы</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[0,000000; 0,000000]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1,000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Эффект отсутствует</w:t>
            </w:r>
          </w:p>
        </w:tc>
      </w:tr>
    </w:tbl>
    <w:p>
      <w:pPr>
        <w:spacing w:after="80"/>
      </w:pPr>
    </w:p>
    <w:p>
      <w:pPr>
        <w:pStyle w:val="aa"/>
        <w:keepNext/>
      </w:pPr>
      <w:r>
        <w:rPr>
          <w:rFonts w:ascii="Times New Roman" w:hAnsi="Times New Roman" w:eastAsia="Times New Roman"/>
        </w:rPr>
        <w:t>Таблица А.6 — Полная детализация робастности прогноза и объяснения</w:t>
      </w:r>
    </w:p>
    <w:tbl>
      <w:tblPr>
        <w:tblStyle w:val="af1"/>
        <w:tblW w:type="dxa" w:w="9355"/>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tblHeader w:val="true"/>
          <w:cantSplit/>
          <w:tblHeader w:val="true"/>
          <w:cantSplit w:val="true"/>
        </w:trPr>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Объект проверки</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Возмущение или повтор</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Метрика</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Значение</w:t>
            </w:r>
          </w:p>
        </w:tc>
        <w:tc>
          <w:tcPr>
            <w:tcW w:type="dxa" w:w="1871"/>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8"/>
              </w:rPr>
            </w:r>
            <w:r>
              <w:rPr>
                <w:rFonts w:ascii="Times New Roman" w:hAnsi="Times New Roman" w:eastAsia="Times New Roman"/>
                <w:b/>
                <w:sz w:val="18"/>
              </w:rPr>
              <w:t>Граница интерпретации</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SHAP</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Повторный запуск объяснителя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Устойчивость локального объяснения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0,9977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Контролируемый табличный контур</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LIME</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Повторный запуск объяснителя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Устойчивость локального объяснения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0,9977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Контролируемый табличный контур</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SHAP + LIME</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Повторный запуск совмещённого контура</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Устойчивость локального объяснения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0,9977</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 является причинной валидностью</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Прогноз модели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Шум признаков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Доля изменившихся прогнозов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0,0180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Интенсивность фиксирована протоколом</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Прогноз модели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Пропуски и медианное заполнение</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Доля изменившихся прогнозов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0,0275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Проверяется прогноз, не набор причин</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Прогноз модели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Сдвиг распределения</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Доля изменившихся прогнозов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0,0850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Максимальный измеренный эффект</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Прогноз модели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Смена фоновой выборки</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Доля изменившихся прогнозов</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0,0055</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Относится к выбранному reference set</w:t>
            </w:r>
          </w:p>
        </w:tc>
      </w:tr>
      <w:tr>
        <w:trPr>
          <w:cantSplit/>
          <w:cantSplit/>
          <w:cantSplit w:val="true"/>
        </w:trPr>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Топ-3 причин</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Гауссов шум σ = 0,05 и 0,20</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Jaccard</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8"/>
              </w:rPr>
            </w:r>
            <w:r>
              <w:rPr>
                <w:rFonts w:ascii="Times New Roman" w:hAnsi="Times New Roman" w:eastAsia="Times New Roman"/>
                <w:b w:val="0"/>
                <w:sz w:val="18"/>
              </w:rPr>
              <w:t>Не измерено</w:t>
            </w:r>
          </w:p>
        </w:tc>
        <w:tc>
          <w:tcPr>
            <w:tcW w:type="dxa" w:w="1871"/>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8"/>
              </w:rPr>
            </w:r>
            <w:r>
              <w:rPr>
                <w:rFonts w:ascii="Times New Roman" w:hAnsi="Times New Roman" w:eastAsia="Times New Roman"/>
                <w:b w:val="0"/>
                <w:sz w:val="18"/>
              </w:rPr>
              <w:t>Новый эксперимент; численное значение не подставляется</w:t>
            </w:r>
          </w:p>
        </w:tc>
      </w:tr>
    </w:tbl>
    <w:p>
      <w:pPr>
        <w:spacing w:after="80"/>
      </w:pPr>
    </w:p>
    <w:p>
      <w:pPr>
        <w:pStyle w:val="aa"/>
        <w:keepNext/>
      </w:pPr>
      <w:r>
        <w:rPr>
          <w:rFonts w:ascii="Times New Roman" w:hAnsi="Times New Roman" w:eastAsia="Times New Roman"/>
        </w:rPr>
        <w:t>Таблица А.7 — Параметры воспроизводимого запуска</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tblHeader w:val="true"/>
          <w:cantSplit/>
          <w:tblHeader w:val="true"/>
          <w:cantSplit w:val="true"/>
        </w:trPr>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Элемент</w:t>
            </w:r>
          </w:p>
        </w:tc>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Зафиксированное значение</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Основной evidence commit</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e34e52fb8ae62ee1be043d6d5b26a0c9214a0572</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Основная ветка</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feat/q1-final-closure</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AI-review pipeline commit</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1f5fd774afadde5fe03aed07eaf44f3f54967736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Профиль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full_q1_final</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Python</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3.11.15</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Платформа</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Linux-6.17.0-1020-azure-x86_64-with-glibc2.39</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Число потоков</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Dockerfile</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Dockerfile.q1-final</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Команда</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docker run --rm fuzzyxai-q1-final make reproduce-q1-final</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Публичный CI</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29740096302</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Статус Docker</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PASS</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SHA256 formative AI-review ZIP</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c13e614a34c524ec1009d17856b1f79ea83df8302c3dcba2e4869c3966557414</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SHA256 aggregate JSONL</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08d9a197ac955ab22c741711efde02a83c59b92cb9efff2114f52423a6f29c3d</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Stable release</w:t>
            </w:r>
          </w:p>
        </w:tc>
        <w:tc>
          <w:tcPr>
            <w:tcW w:type="dxa" w:w="4677"/>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технический выпуск v1.3.0; стабильность относится к коду и артефактам, а не к предметной безопасности</w:t>
            </w:r>
          </w:p>
        </w:tc>
      </w:tr>
    </w:tbl>
    <w:p>
      <w:pPr>
        <w:spacing w:after="80"/>
      </w:pPr>
    </w:p>
    <w:p>
      <w:pPr>
        <w:pStyle w:val="aa"/>
        <w:keepNext/>
      </w:pPr>
      <w:r>
        <w:rPr>
          <w:rFonts w:ascii="Times New Roman" w:hAnsi="Times New Roman" w:eastAsia="Times New Roman"/>
        </w:rPr>
        <w:t>Таблица А.8 — Полные оценки формирующего AI-рецензирования</w:t>
      </w:r>
    </w:p>
    <w:tbl>
      <w:tblPr>
        <w:tblStyle w:val="af1"/>
        <w:tblW w:type="dxa" w:w="935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77"/>
        <w:gridCol w:w="4677"/>
      </w:tblGrid>
      <w:tr>
        <w:trPr>
          <w:tblHeader w:val="true"/>
          <w:cantSplit/>
          <w:tblHeader w:val="true"/>
          <w:cantSplit/>
          <w:tblHeader w:val="true"/>
          <w:cantSplit w:val="true"/>
        </w:trPr>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Критерий</w:t>
            </w:r>
          </w:p>
        </w:tc>
        <w:tc>
          <w:tcPr>
            <w:tcW w:type="dxa" w:w="4677"/>
            <w:vAlign w:val="center"/>
            <w:shd w:fill="D9D9D9" w:val="clear"/>
            <w:tcMar>
              <w:top w:w="70" w:type="dxa"/>
              <w:start w:w="80" w:type="dxa"/>
              <w:bottom w:w="70" w:type="dxa"/>
              <w:end w:w="80" w:type="dxa"/>
            </w:tcMar>
          </w:tcPr>
          <w:p>
            <w:pPr>
              <w:spacing w:after="0" w:before="0" w:line="240" w:lineRule="auto"/>
              <w:ind w:left="0" w:right="0" w:firstLine="0"/>
              <w:jc w:val="center"/>
            </w:pPr>
            <w:r>
              <w:rPr>
                <w:rFonts w:ascii="Times New Roman" w:hAnsi="Times New Roman" w:eastAsia="Times New Roman"/>
                <w:b/>
                <w:sz w:val="19"/>
              </w:rPr>
            </w:r>
            <w:r>
              <w:rPr>
                <w:rFonts w:ascii="Times New Roman" w:hAnsi="Times New Roman" w:eastAsia="Times New Roman"/>
                <w:b/>
                <w:sz w:val="19"/>
              </w:rPr>
              <w:t>Средняя оценка 0–4</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Фактическая согласованность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4,000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Прослеживаемость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4,000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Честность представления неопределённости</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1,768</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Качество предлагаемого действия</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3,346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Понятность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2,761</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Полнота ограничений</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2,336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Контроль чрезмерного доверия</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3,186</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Корректность причинных формулировок</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4,000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Соответствие аудитории</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3,000</w:t>
            </w:r>
          </w:p>
        </w:tc>
      </w:tr>
      <w:tr>
        <w:trPr>
          <w:cantSplit/>
          <w:cantSplit/>
          <w:cantSplit w:val="true"/>
        </w:trPr>
        <w:tc>
          <w:tcPr>
            <w:tcW w:type="dxa" w:w="4677"/>
            <w:vAlign w:val="center"/>
            <w:tcMar>
              <w:top w:w="70" w:type="dxa"/>
              <w:start w:w="80" w:type="dxa"/>
              <w:bottom w:w="70" w:type="dxa"/>
              <w:end w:w="80" w:type="dxa"/>
            </w:tcMar>
            <w:shd w:fill="FFFFFF" w:val="clear"/>
          </w:tcPr>
          <w:p>
            <w:pPr>
              <w:spacing w:after="0" w:before="0" w:line="240" w:lineRule="auto"/>
              <w:ind w:left="0" w:right="0" w:firstLine="0"/>
              <w:jc w:val="left"/>
            </w:pPr>
            <w:r>
              <w:rPr>
                <w:rFonts w:ascii="Times New Roman" w:hAnsi="Times New Roman" w:eastAsia="Times New Roman"/>
                <w:b w:val="0"/>
                <w:sz w:val="19"/>
              </w:rPr>
            </w:r>
            <w:r>
              <w:rPr>
                <w:rFonts w:ascii="Times New Roman" w:hAnsi="Times New Roman" w:eastAsia="Times New Roman"/>
                <w:b w:val="0"/>
                <w:sz w:val="19"/>
              </w:rPr>
              <w:t>Общая пригодность</w:t>
            </w:r>
          </w:p>
        </w:tc>
        <w:tc>
          <w:tcPr>
            <w:tcW w:type="dxa" w:w="4677"/>
            <w:vAlign w:val="center"/>
            <w:tcMar>
              <w:top w:w="70" w:type="dxa"/>
              <w:start w:w="80" w:type="dxa"/>
              <w:bottom w:w="70" w:type="dxa"/>
              <w:end w:w="80" w:type="dxa"/>
            </w:tcMar>
            <w:shd w:fill="FFFFFF" w:val="clear"/>
          </w:tcPr>
          <w:p>
            <w:pPr>
              <w:spacing w:after="0" w:before="0" w:line="240" w:lineRule="auto"/>
              <w:ind w:left="0" w:right="0" w:firstLine="0"/>
              <w:jc w:val="center"/>
            </w:pPr>
            <w:r>
              <w:rPr>
                <w:rFonts w:ascii="Times New Roman" w:hAnsi="Times New Roman" w:eastAsia="Times New Roman"/>
                <w:b w:val="0"/>
                <w:sz w:val="19"/>
              </w:rPr>
            </w:r>
            <w:r>
              <w:rPr>
                <w:rFonts w:ascii="Times New Roman" w:hAnsi="Times New Roman" w:eastAsia="Times New Roman"/>
                <w:b w:val="0"/>
                <w:sz w:val="19"/>
              </w:rPr>
              <w:t>3,147</w:t>
            </w:r>
          </w:p>
        </w:tc>
      </w:tr>
    </w:tbl>
    <w:p>
      <w:pPr>
        <w:spacing w:after="80"/>
      </w:pPr>
    </w:p>
    <w:p>
      <w:pPr>
        <w:pStyle w:val="aa"/>
        <w:keepNext/>
      </w:pPr>
      <w:r>
        <w:rPr>
          <w:rFonts w:ascii="Times New Roman" w:hAnsi="Times New Roman" w:eastAsia="Times New Roman"/>
        </w:rPr>
        <w:t>Таблица А.9 — Доказательная линия последовательных выпусков</w:t>
      </w:r>
    </w:p>
    <w:tbl>
      <w:tblPr>
        <w:tblStyle w:val="af1"/>
        <w:tblW w:type="dxa" w:w="9184"/>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3"/>
        <w:gridCol w:w="1819"/>
        <w:gridCol w:w="2556"/>
        <w:gridCol w:w="2556"/>
      </w:tblGrid>
      <w:tr>
        <w:trPr>
          <w:cantSplit/>
          <w:tblHeader w:val="true"/>
          <w:tblHeader w:val="true"/>
          <w:cantSplit/>
          <w:tblHeader w:val="true"/>
          <w:cantSplit w:val="true"/>
        </w:trPr>
        <w:tc>
          <w:tcPr>
            <w:tcW w:type="dxa" w:w="2253"/>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Этап</w:t>
            </w:r>
          </w:p>
        </w:tc>
        <w:tc>
          <w:tcPr>
            <w:tcW w:type="dxa" w:w="1819"/>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Идентификатор</w:t>
            </w:r>
          </w:p>
        </w:tc>
        <w:tc>
          <w:tcPr>
            <w:tcW w:type="dxa" w:w="2556"/>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Назначение</w:t>
            </w:r>
          </w:p>
        </w:tc>
        <w:tc>
          <w:tcPr>
            <w:tcW w:type="dxa" w:w="2556"/>
            <w:vAlign w:val="center"/>
            <w:tcMar>
              <w:top w:w="70" w:type="dxa"/>
              <w:start w:w="80" w:type="dxa"/>
              <w:bottom w:w="70" w:type="dxa"/>
              <w:end w:w="80" w:type="dxa"/>
            </w:tcMar>
            <w:shd w:fill="D9D9D9" w:val="clear"/>
          </w:tcPr>
          <w:p>
            <w:pPr>
              <w:spacing w:before="0" w:after="0" w:line="240" w:lineRule="auto"/>
              <w:ind w:left="0" w:right="0" w:firstLine="0"/>
              <w:jc w:val="center"/>
            </w:pPr>
            <w:r>
              <w:rPr>
                <w:rFonts w:ascii="Times New Roman" w:hAnsi="Times New Roman" w:eastAsia="Times New Roman"/>
                <w:b/>
                <w:sz w:val="19"/>
              </w:rPr>
              <w:t>Научная граница</w:t>
            </w:r>
          </w:p>
        </w:tc>
      </w:tr>
      <w:tr>
        <w:trPr>
          <w:cantSplit/>
          <w:cantSplit/>
          <w:cantSplit w:val="true"/>
        </w:trPr>
        <w:tc>
          <w:tcPr>
            <w:tcW w:type="dxa" w:w="225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Многомодальное Q1-замораживание</w:t>
            </w:r>
          </w:p>
        </w:tc>
        <w:tc>
          <w:tcPr>
            <w:tcW w:type="dxa" w:w="1819"/>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e34e52fb8ae6</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H1–H6, статистика, воспроизводимость</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H3, H5-P и H6-general отрицательны</w:t>
            </w:r>
          </w:p>
        </w:tc>
      </w:tr>
      <w:tr>
        <w:trPr>
          <w:cantSplit/>
          <w:cantSplit/>
          <w:cantSplit w:val="true"/>
        </w:trPr>
        <w:tc>
          <w:tcPr>
            <w:tcW w:type="dxa" w:w="225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Формирующий AI-аудит</w:t>
            </w:r>
          </w:p>
        </w:tc>
        <w:tc>
          <w:tcPr>
            <w:tcW w:type="dxa" w:w="1819"/>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1f5fd774afad</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240 случаев, 720 слепых вариантов</w:t>
            </w:r>
          </w:p>
        </w:tc>
        <w:tc>
          <w:tcPr>
            <w:tcW w:type="dxa" w:w="2556"/>
            <w:vAlign w:val="center"/>
            <w:tcMar>
              <w:top w:w="70" w:type="dxa"/>
              <w:start w:w="80" w:type="dxa"/>
              <w:bottom w:w="70" w:type="dxa"/>
              <w:end w:w="80" w:type="dxa"/>
            </w:tcMar>
            <w:shd w:fill="FFFFFF" w:val="clear"/>
          </w:tcPr>
          <w:p>
            <w:pPr>
              <w:spacing w:before="0" w:after="0" w:line="240" w:lineRule="auto"/>
              <w:jc w:val="left"/>
            </w:pPr>
            <w:r>
              <w:rPr>
                <w:rFonts w:ascii="Times New Roman" w:hAnsi="Times New Roman" w:eastAsia="Times New Roman"/>
                <w:sz w:val="19"/>
              </w:rPr>
            </w:r>
            <w:r>
              <w:rPr>
                <w:rFonts w:ascii="Times New Roman" w:hAnsi="Times New Roman" w:eastAsia="Times New Roman"/>
                <w:b w:val="0"/>
                <w:sz w:val="19"/>
              </w:rPr>
              <w:t>Предварительный этап дополнен качественной пользовательской оценкой; статистические гипотезы не изменяются</w:t>
            </w:r>
          </w:p>
        </w:tc>
      </w:tr>
      <w:tr>
        <w:trPr>
          <w:cantSplit/>
          <w:cantSplit/>
          <w:cantSplit w:val="true"/>
        </w:trPr>
        <w:tc>
          <w:tcPr>
            <w:tcW w:type="dxa" w:w="225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Технический stable release</w:t>
            </w:r>
          </w:p>
        </w:tc>
        <w:tc>
          <w:tcPr>
            <w:tcW w:type="dxa" w:w="1819"/>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v1.3.0 / 1a71bae98f15</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Код, контракты, единый архив и проверки</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Stable относится к техническому выпуску</w:t>
            </w:r>
          </w:p>
        </w:tc>
      </w:tr>
      <w:tr>
        <w:trPr>
          <w:cantSplit/>
          <w:cantSplit/>
          <w:cantSplit w:val="true"/>
        </w:trPr>
        <w:tc>
          <w:tcPr>
            <w:tcW w:type="dxa" w:w="2253"/>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Документационная фиксация</w:t>
            </w:r>
          </w:p>
        </w:tc>
        <w:tc>
          <w:tcPr>
            <w:tcW w:type="dxa" w:w="1819"/>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1e894a689de1</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center"/>
            </w:pPr>
            <w:r>
              <w:rPr>
                <w:rFonts w:ascii="Times New Roman" w:hAnsi="Times New Roman" w:eastAsia="Times New Roman"/>
                <w:b w:val="0"/>
                <w:sz w:val="19"/>
              </w:rPr>
              <w:t>Глава и карта evidence</w:t>
            </w:r>
          </w:p>
        </w:tc>
        <w:tc>
          <w:tcPr>
            <w:tcW w:type="dxa" w:w="2556"/>
            <w:vAlign w:val="center"/>
            <w:tcMar>
              <w:top w:w="70" w:type="dxa"/>
              <w:start w:w="80" w:type="dxa"/>
              <w:bottom w:w="70" w:type="dxa"/>
              <w:end w:w="80" w:type="dxa"/>
            </w:tcMar>
            <w:shd w:fill="FFFFFF" w:val="clear"/>
          </w:tcPr>
          <w:p>
            <w:pPr>
              <w:spacing w:before="0" w:after="0" w:line="240" w:lineRule="auto"/>
              <w:ind w:left="0" w:right="0" w:firstLine="0"/>
              <w:jc w:val="left"/>
            </w:pPr>
            <w:r>
              <w:rPr>
                <w:rFonts w:ascii="Times New Roman" w:hAnsi="Times New Roman" w:eastAsia="Times New Roman"/>
                <w:b w:val="0"/>
                <w:sz w:val="19"/>
              </w:rPr>
              <w:t>Не изменяет замороженной доказательной базе</w:t>
            </w:r>
          </w:p>
        </w:tc>
      </w:tr>
    </w:tbl>
    <w:p>
      <w:pPr>
        <w:spacing w:after="80"/>
      </w:pPr>
    </w:p>
    <w:p>
      <w:pPr>
        <w:pStyle w:val="aa"/>
        <w:keepNext/>
      </w:pPr>
      <w:r>
        <w:rPr>
          <w:rFonts w:ascii="Times New Roman" w:hAnsi="Times New Roman" w:eastAsia="Times New Roman"/>
        </w:rPr>
        <w:t>Таблица А.10 — Полная таблица P0/P1 и исключения компонентов</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47"/>
        <w:gridCol w:w="2010"/>
        <w:gridCol w:w="1237"/>
        <w:gridCol w:w="2158"/>
        <w:gridCol w:w="2432"/>
      </w:tblGrid>
      <w:tr>
        <w:trPr>
          <w:tblHeader w:val="true"/>
          <w:cantSplit/>
          <w:cantSplit/>
          <w:tblHeader w:val="true"/>
          <w:tblHeader w:val="true"/>
          <w:cantSplit/>
          <w:tblHeader w:val="true"/>
          <w:cantSplit w:val="true"/>
        </w:trPr>
        <w:tc>
          <w:tcPr>
            <w:tcW w:type="dxa" w:w="1347"/>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Проверка</w:t>
              <w:rPr>
                <w:rFonts w:ascii="Times New Roman" w:hAnsi="Times New Roman" w:eastAsia="Times New Roman" w:cs="Times New Roman"/>
                <w:b/>
                <w:sz w:val="18"/>
                <w:szCs w:val="21"/>
              </w:rPr>
            </w:r>
          </w:p>
        </w:tc>
        <w:tc>
          <w:tcPr>
            <w:tcW w:type="dxa" w:w="2010"/>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Сравнение или компонент</w:t>
              <w:rPr>
                <w:rFonts w:ascii="Times New Roman" w:hAnsi="Times New Roman" w:eastAsia="Times New Roman" w:cs="Times New Roman"/>
                <w:b/>
                <w:sz w:val="18"/>
                <w:szCs w:val="21"/>
              </w:rPr>
            </w:r>
          </w:p>
        </w:tc>
        <w:tc>
          <w:tcPr>
            <w:tcW w:type="dxa" w:w="1237"/>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Изменение</w:t>
              <w:rPr>
                <w:rFonts w:ascii="Times New Roman" w:hAnsi="Times New Roman" w:eastAsia="Times New Roman" w:cs="Times New Roman"/>
                <w:b/>
                <w:sz w:val="18"/>
                <w:szCs w:val="21"/>
              </w:rPr>
            </w:r>
          </w:p>
        </w:tc>
        <w:tc>
          <w:tcPr>
            <w:tcW w:type="dxa" w:w="2158"/>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Интервал / p</w:t>
              <w:rPr>
                <w:rFonts w:ascii="Times New Roman" w:hAnsi="Times New Roman" w:eastAsia="Times New Roman" w:cs="Times New Roman"/>
                <w:b/>
                <w:sz w:val="18"/>
                <w:szCs w:val="21"/>
              </w:rPr>
            </w:r>
          </w:p>
        </w:tc>
        <w:tc>
          <w:tcPr>
            <w:tcW w:type="dxa" w:w="2432"/>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Вывод</w:t>
              <w:rPr>
                <w:rFonts w:ascii="Times New Roman" w:hAnsi="Times New Roman" w:eastAsia="Times New Roman" w:cs="Times New Roman"/>
                <w:b/>
                <w:sz w:val="18"/>
                <w:szCs w:val="21"/>
              </w:rPr>
            </w:r>
          </w:p>
        </w:tc>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Основная</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P1 против взвешенной политики</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−3,894 %</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[−0,027123; 0,019860], p=0,999999</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Преимущество отсутствует</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Дополнительная</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P1 против P0</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+0,387 %</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[−0,021214; 0,015218], p=0,616690</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Добавочная польза не показана</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Расхождение объяснителей</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+7 действий</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Малое изменение</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Расхождение моделей</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+4 действия</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Малое изменение</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Полнота происхождения</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 действие</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Устойчивого эффекта нет</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Потеря редукции</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−3 действия</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Устойчивого эффекта нет</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Класс представления</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−12 действий</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Устойчивого эффекта нет</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Нарушение маршрута</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 действий</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 контрольной выборке слой не активирован</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Сдвиг распределения</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 действия</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Устойчивого эффекта нет</w:t>
              <w:rPr>
                <w:rFonts w:ascii="Times New Roman" w:hAnsi="Times New Roman" w:eastAsia="Times New Roman" w:cs="Times New Roman"/>
                <w:b w:val="0"/>
                <w:sz w:val="18"/>
                <w:szCs w:val="21"/>
              </w:rPr>
            </w:r>
          </w:p>
        </w:tc>
        <w:trPr>
          <w:cantSplit/>
          <w:cantSplit/>
          <w:cantSplit/>
          <w:cantSplit w:val="true"/>
        </w:trPr>
      </w:tr>
      <w:tr>
        <w:tc>
          <w:tcPr>
            <w:tcW w:type="dxa" w:w="134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Исключение</w:t>
              <w:rPr>
                <w:rFonts w:ascii="Times New Roman" w:hAnsi="Times New Roman" w:eastAsia="Times New Roman" w:cs="Times New Roman"/>
                <w:b w:val="0"/>
                <w:sz w:val="18"/>
                <w:szCs w:val="21"/>
              </w:rPr>
            </w:r>
          </w:p>
        </w:tc>
        <w:tc>
          <w:tcPr>
            <w:tcW w:type="dxa" w:w="2010"/>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Устойчивость объяснения</w:t>
              <w:rPr>
                <w:rFonts w:ascii="Times New Roman" w:hAnsi="Times New Roman" w:eastAsia="Times New Roman" w:cs="Times New Roman"/>
                <w:b w:val="0"/>
                <w:sz w:val="18"/>
                <w:szCs w:val="21"/>
              </w:rPr>
            </w:r>
          </w:p>
        </w:tc>
        <w:tc>
          <w:tcPr>
            <w:tcW w:type="dxa" w:w="1237"/>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+22 действия</w:t>
              <w:rPr>
                <w:rFonts w:ascii="Times New Roman" w:hAnsi="Times New Roman" w:eastAsia="Times New Roman" w:cs="Times New Roman"/>
                <w:b w:val="0"/>
                <w:sz w:val="18"/>
                <w:szCs w:val="21"/>
              </w:rPr>
            </w:r>
          </w:p>
        </w:tc>
        <w:tc>
          <w:tcPr>
            <w:tcW w:type="dxa" w:w="215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w:t>
              <w:rPr>
                <w:rFonts w:ascii="Times New Roman" w:hAnsi="Times New Roman" w:eastAsia="Times New Roman" w:cs="Times New Roman"/>
                <w:b w:val="0"/>
                <w:sz w:val="18"/>
                <w:szCs w:val="21"/>
              </w:rPr>
            </w:r>
          </w:p>
        </w:tc>
        <w:tc>
          <w:tcPr>
            <w:tcW w:type="dxa" w:w="2432"/>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Требует отдельной проверки</w:t>
              <w:rPr>
                <w:rFonts w:ascii="Times New Roman" w:hAnsi="Times New Roman" w:eastAsia="Times New Roman" w:cs="Times New Roman"/>
                <w:b w:val="0"/>
                <w:sz w:val="18"/>
                <w:szCs w:val="21"/>
              </w:rPr>
            </w:r>
          </w:p>
        </w:tc>
        <w:trPr>
          <w:cantSplit/>
          <w:cantSplit/>
          <w:cantSplit/>
          <w:cantSplit w:val="true"/>
        </w:trPr>
      </w:tr>
    </w:tbl>
    <w:p>
      <w:pPr>
        <w:spacing w:after="80"/>
      </w:pPr>
    </w:p>
    <w:p>
      <w:pPr>
        <w:pStyle w:val="aa"/>
        <w:keepNext/>
      </w:pPr>
      <w:r>
        <w:rPr>
          <w:rFonts w:ascii="Times New Roman" w:hAnsi="Times New Roman" w:eastAsia="Times New Roman"/>
        </w:rPr>
        <w:t>Таблица А.11 — Факторная сетка области обнаружимости H6-A</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99"/>
        <w:gridCol w:w="1646"/>
        <w:gridCol w:w="2336"/>
        <w:gridCol w:w="3103"/>
      </w:tblGrid>
      <w:tr>
        <w:trPr>
          <w:tblHeader w:val="true"/>
          <w:cantSplit/>
          <w:cantSplit/>
          <w:tblHeader w:val="true"/>
          <w:tblHeader w:val="true"/>
          <w:cantSplit/>
          <w:tblHeader w:val="true"/>
          <w:cantSplit w:val="true"/>
        </w:trPr>
        <w:tc>
          <w:tcPr>
            <w:tcW w:type="dxa" w:w="2099"/>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Показатель H6-A</w:t>
              <w:rPr>
                <w:rFonts w:ascii="Times New Roman" w:hAnsi="Times New Roman" w:eastAsia="Times New Roman" w:cs="Times New Roman"/>
                <w:b/>
                <w:sz w:val="19"/>
                <w:szCs w:val="21"/>
              </w:rPr>
            </w:r>
          </w:p>
        </w:tc>
        <w:tc>
          <w:tcPr>
            <w:tcW w:type="dxa" w:w="1646"/>
            <w:vAlign w:val="center"/>
            <w:tcMar>
              <w:top w:w="70" w:type="dxa"/>
              <w:start w:w="80" w:type="dxa"/>
              <w:bottom w:w="70" w:type="dxa"/>
              <w:end w:w="80" w:type="dxa"/>
            </w:tcMar>
            <w:shd w:fill="D9D9D9" w:val="clear"/>
          </w:tcPr>
          <w:p>
            <w:pPr>
              <w:pStyle w:val="Compact"/>
              <w:jc w:val="center"/>
              <w:suppressAutoHyphens/>
              <w:ind w:left="0" w:right="0" w:firstLine="0"/>
              <w:spacing w:after="0" w:before="0" w:line="240" w:lineRule="auto"/>
            </w:pPr>
            <w:r>
              <w:t xml:space="preserve">Значение</w:t>
              <w:rPr>
                <w:rFonts w:ascii="Times New Roman" w:hAnsi="Times New Roman" w:eastAsia="Times New Roman" w:cs="Times New Roman"/>
                <w:b/>
                <w:sz w:val="19"/>
                <w:szCs w:val="21"/>
              </w:rPr>
            </w:r>
          </w:p>
        </w:tc>
        <w:tc>
          <w:tcPr>
            <w:tcW w:type="dxa" w:w="2336"/>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Метод оценки</w:t>
              <w:rPr>
                <w:rFonts w:ascii="Times New Roman" w:hAnsi="Times New Roman" w:eastAsia="Times New Roman" w:cs="Times New Roman"/>
                <w:b/>
                <w:sz w:val="19"/>
                <w:szCs w:val="21"/>
              </w:rPr>
            </w:r>
          </w:p>
        </w:tc>
        <w:tc>
          <w:tcPr>
            <w:tcW w:type="dxa" w:w="3103"/>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Ограничение</w:t>
              <w:rPr>
                <w:rFonts w:ascii="Times New Roman" w:hAnsi="Times New Roman" w:eastAsia="Times New Roman" w:cs="Times New Roman"/>
                <w:b/>
                <w:sz w:val="19"/>
                <w:szCs w:val="21"/>
              </w:rPr>
            </w:r>
          </w:p>
        </w:tc>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Число конфигураций в области</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243</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Факторная сетка</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Строки имеют общие параметры</w:t>
              <w:rPr>
                <w:rFonts w:ascii="Times New Roman" w:hAnsi="Times New Roman" w:eastAsia="Times New Roman" w:cs="Times New Roman"/>
                <w:b w:val="0"/>
                <w:sz w:val="19"/>
                <w:szCs w:val="21"/>
              </w:rPr>
            </w:r>
          </w:p>
        </w:tc>
        <w:trPr>
          <w:cantSplit/>
          <w:cantSplit/>
          <w:cantSplit/>
          <w:cantSplit w:val="true"/>
        </w:trPr>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Доля обнаружения</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Точечная оценка</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Только заданная область</w:t>
              <w:rPr>
                <w:rFonts w:ascii="Times New Roman" w:hAnsi="Times New Roman" w:eastAsia="Times New Roman" w:cs="Times New Roman"/>
                <w:b w:val="0"/>
                <w:sz w:val="19"/>
                <w:szCs w:val="21"/>
              </w:rPr>
            </w:r>
          </w:p>
        </w:tc>
        <w:trPr>
          <w:cantSplit/>
          <w:cantSplit/>
          <w:cantSplit/>
          <w:cantSplit w:val="true"/>
        </w:trPr>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Интервал в пакете v1.3.0</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 1,0000]</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2 000 выборок percentile bootstrap</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Вырожден при 243 единицах</w:t>
              <w:rPr>
                <w:rFonts w:ascii="Times New Roman" w:hAnsi="Times New Roman" w:eastAsia="Times New Roman" w:cs="Times New Roman"/>
                <w:b w:val="0"/>
                <w:sz w:val="19"/>
                <w:szCs w:val="21"/>
              </w:rPr>
            </w:r>
          </w:p>
        </w:tc>
        <w:trPr>
          <w:cantSplit/>
          <w:cantSplit/>
          <w:cantSplit/>
          <w:cantSplit w:val="true"/>
        </w:trPr>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Точный биномиальный интервал</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[0,984934; 1,0000]</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Клоппер—Пирсон, 95 %</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Анализ чувствительности; предполагает независимость строк</w:t>
              <w:rPr>
                <w:rFonts w:ascii="Times New Roman" w:hAnsi="Times New Roman" w:eastAsia="Times New Roman" w:cs="Times New Roman"/>
                <w:b w:val="0"/>
                <w:sz w:val="19"/>
                <w:szCs w:val="21"/>
              </w:rPr>
            </w:r>
          </w:p>
        </w:tc>
        <w:trPr>
          <w:cantSplit/>
          <w:cantSplit/>
          <w:cantSplit/>
          <w:cantSplit w:val="true"/>
        </w:trPr>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Доля ложных обнаружений</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0,006316</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Зафиксированный расчёт</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Синтетический контур</w:t>
              <w:rPr>
                <w:rFonts w:ascii="Times New Roman" w:hAnsi="Times New Roman" w:eastAsia="Times New Roman" w:cs="Times New Roman"/>
                <w:b w:val="0"/>
                <w:sz w:val="19"/>
                <w:szCs w:val="21"/>
              </w:rPr>
            </w:r>
          </w:p>
        </w:tc>
        <w:trPr>
          <w:cantSplit/>
          <w:cantSplit/>
          <w:cantSplit/>
          <w:cantSplit w:val="true"/>
        </w:trPr>
      </w:tr>
      <w:tr>
        <w:tc>
          <w:tcPr>
            <w:tcW w:type="dxa" w:w="209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Правильность знака</w:t>
              <w:rPr>
                <w:rFonts w:ascii="Times New Roman" w:hAnsi="Times New Roman" w:eastAsia="Times New Roman" w:cs="Times New Roman"/>
                <w:b w:val="0"/>
                <w:sz w:val="19"/>
                <w:szCs w:val="21"/>
              </w:rPr>
            </w:r>
          </w:p>
        </w:tc>
        <w:tc>
          <w:tcPr>
            <w:tcW w:type="dxa" w:w="1646"/>
            <w:vAlign w:val="center"/>
            <w:tcMar>
              <w:top w:w="70" w:type="dxa"/>
              <w:start w:w="80" w:type="dxa"/>
              <w:bottom w:w="70" w:type="dxa"/>
              <w:end w:w="80" w:type="dxa"/>
            </w:tcMar>
            <w:shd w:fill="FFFFFF" w:val="clear"/>
          </w:tcPr>
          <w:p>
            <w:pPr>
              <w:pStyle w:val="Compact"/>
              <w:jc w:val="center"/>
              <w:suppressAutoHyphens/>
              <w:ind w:left="0" w:right="0" w:firstLine="0"/>
              <w:spacing w:after="0" w:before="0" w:line="240" w:lineRule="auto"/>
            </w:pPr>
            <w:r>
              <w:t xml:space="preserve">1,0000</w:t>
              <w:rPr>
                <w:rFonts w:ascii="Times New Roman" w:hAnsi="Times New Roman" w:eastAsia="Times New Roman" w:cs="Times New Roman"/>
                <w:b w:val="0"/>
                <w:sz w:val="19"/>
                <w:szCs w:val="21"/>
              </w:rPr>
            </w:r>
          </w:p>
        </w:tc>
        <w:tc>
          <w:tcPr>
            <w:tcW w:type="dxa" w:w="2336"/>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Зафиксированный расчёт</w:t>
              <w:rPr>
                <w:rFonts w:ascii="Times New Roman" w:hAnsi="Times New Roman" w:eastAsia="Times New Roman" w:cs="Times New Roman"/>
                <w:b w:val="0"/>
                <w:sz w:val="19"/>
                <w:szCs w:val="21"/>
              </w:rPr>
            </w:r>
          </w:p>
        </w:tc>
        <w:tc>
          <w:tcPr>
            <w:tcW w:type="dxa" w:w="3103"/>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Синтетический контур</w:t>
              <w:rPr>
                <w:rFonts w:ascii="Times New Roman" w:hAnsi="Times New Roman" w:eastAsia="Times New Roman" w:cs="Times New Roman"/>
                <w:b w:val="0"/>
                <w:sz w:val="19"/>
                <w:szCs w:val="21"/>
              </w:rPr>
            </w:r>
          </w:p>
        </w:tc>
        <w:trPr>
          <w:cantSplit/>
          <w:cantSplit/>
          <w:cantSplit/>
          <w:cantSplit w:val="true"/>
        </w:trPr>
      </w:tr>
    </w:tbl>
    <w:p>
      <w:pPr>
        <w:spacing w:after="80"/>
      </w:pPr>
    </w:p>
    <w:p>
      <w:pPr>
        <w:pStyle w:val="aa"/>
        <w:keepNext/>
      </w:pPr>
      <w:r>
        <w:rPr>
          <w:rFonts w:ascii="Times New Roman" w:hAnsi="Times New Roman" w:eastAsia="Times New Roman"/>
        </w:rPr>
        <w:t>Таблица А.12 — Полные условия измерения масштабируемости H9</w:t>
      </w:r>
    </w:p>
    <w:tbl>
      <w:tblPr>
        <w:tblStyle w:val="af1"/>
        <w:tblW w:type="dxa" w:w="9184"/>
        <w:tblLook w:firstRow="1" w:lastRow="0" w:firstColumn="0" w:lastColumn="0" w:noHBand="0" w:noVBand="0" w:val="0020"/>
        <w:jc w:val="center"/>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17"/>
        <w:gridCol w:w="3589"/>
        <w:gridCol w:w="3378"/>
      </w:tblGrid>
      <w:tr>
        <w:trPr>
          <w:tblHeader w:val="true"/>
          <w:cantSplit/>
          <w:cantSplit/>
          <w:tblHeader w:val="true"/>
          <w:tblHeader w:val="true"/>
          <w:cantSplit/>
          <w:tblHeader w:val="true"/>
          <w:cantSplit w:val="true"/>
        </w:trPr>
        <w:tc>
          <w:tcPr>
            <w:tcW w:type="dxa" w:w="2217"/>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Условие измерения</w:t>
              <w:rPr>
                <w:rFonts w:ascii="Times New Roman" w:hAnsi="Times New Roman" w:eastAsia="Times New Roman" w:cs="Times New Roman"/>
                <w:b/>
                <w:sz w:val="19"/>
                <w:szCs w:val="21"/>
              </w:rPr>
            </w:r>
          </w:p>
        </w:tc>
        <w:tc>
          <w:tcPr>
            <w:tcW w:type="dxa" w:w="3589"/>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Зафиксированное значение</w:t>
              <w:rPr>
                <w:rFonts w:ascii="Times New Roman" w:hAnsi="Times New Roman" w:eastAsia="Times New Roman" w:cs="Times New Roman"/>
                <w:b/>
                <w:sz w:val="19"/>
                <w:szCs w:val="21"/>
              </w:rPr>
            </w:r>
          </w:p>
        </w:tc>
        <w:tc>
          <w:tcPr>
            <w:tcW w:type="dxa" w:w="3378"/>
            <w:vAlign w:val="center"/>
            <w:tcMar>
              <w:top w:w="70" w:type="dxa"/>
              <w:start w:w="80" w:type="dxa"/>
              <w:bottom w:w="70" w:type="dxa"/>
              <w:end w:w="80" w:type="dxa"/>
            </w:tcMar>
            <w:shd w:fill="D9D9D9" w:val="clear"/>
          </w:tcPr>
          <w:p>
            <w:pPr>
              <w:pStyle w:val="Compact"/>
              <w:suppressAutoHyphens/>
              <w:ind w:left="0" w:right="0" w:firstLine="0"/>
              <w:spacing w:after="0" w:before="0" w:line="240" w:lineRule="auto"/>
              <w:jc w:val="center"/>
            </w:pPr>
            <w:r>
              <w:t xml:space="preserve">Ограничение воспроизводимости</w:t>
              <w:rPr>
                <w:rFonts w:ascii="Times New Roman" w:hAnsi="Times New Roman" w:eastAsia="Times New Roman" w:cs="Times New Roman"/>
                <w:b/>
                <w:sz w:val="19"/>
                <w:szCs w:val="21"/>
              </w:rPr>
            </w:r>
          </w:p>
        </w:tc>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Режим</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Потоковый, кэшированный операторный слой</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полный конвейер</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Размер пакета</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10 000 объектов</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Зафиксирован в коде и результатах</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Вход одного объекта</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12 чисел float32, 48 байт без накладных расходов</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Полный размер объекта не измерен</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Повторы</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Один запуск на размер и один повтор для 100 тыс.</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Межзапусковый разброс не оценён</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p50/p95/p99</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Квантили задержки отдельных пакетов</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Не интервалы по независимым запускам</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Процессор</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зарегистрирован в артефакте H9</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Нельзя восстанавливать по текущей машине</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Оперативная память</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зарегистрирована</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Peak RSS относится ко всему процессу</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Операционная система</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Отдельный снимок Linux не связан однозначно с H9</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В основном выводе не используется</w:t>
              <w:rPr>
                <w:rFonts w:ascii="Times New Roman" w:hAnsi="Times New Roman" w:eastAsia="Times New Roman" w:cs="Times New Roman"/>
                <w:b w:val="0"/>
                <w:sz w:val="19"/>
                <w:szCs w:val="21"/>
              </w:rPr>
            </w:r>
          </w:p>
        </w:tc>
        <w:trPr>
          <w:cantSplit/>
          <w:cantSplit/>
          <w:cantSplit/>
          <w:cantSplit w:val="true"/>
        </w:trPr>
      </w:tr>
      <w:tr>
        <w:tc>
          <w:tcPr>
            <w:tcW w:type="dxa" w:w="2217"/>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Число потоков</w:t>
              <w:rPr>
                <w:rFonts w:ascii="Times New Roman" w:hAnsi="Times New Roman" w:eastAsia="Times New Roman" w:cs="Times New Roman"/>
                <w:b w:val="0"/>
                <w:sz w:val="19"/>
                <w:szCs w:val="21"/>
              </w:rPr>
            </w:r>
          </w:p>
        </w:tc>
        <w:tc>
          <w:tcPr>
            <w:tcW w:type="dxa" w:w="3589"/>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center"/>
            </w:pPr>
            <w:r>
              <w:t xml:space="preserve">Не зарегистрировано для H9</w:t>
              <w:rPr>
                <w:rFonts w:ascii="Times New Roman" w:hAnsi="Times New Roman" w:eastAsia="Times New Roman" w:cs="Times New Roman"/>
                <w:b w:val="0"/>
                <w:sz w:val="19"/>
                <w:szCs w:val="21"/>
              </w:rPr>
            </w:r>
          </w:p>
        </w:tc>
        <w:tc>
          <w:tcPr>
            <w:tcW w:type="dxa" w:w="3378"/>
            <w:vAlign w:val="center"/>
            <w:tcMar>
              <w:top w:w="70" w:type="dxa"/>
              <w:start w:w="80" w:type="dxa"/>
              <w:bottom w:w="70" w:type="dxa"/>
              <w:end w:w="80" w:type="dxa"/>
            </w:tcMar>
            <w:shd w:fill="FFFFFF" w:val="clear"/>
          </w:tcPr>
          <w:p>
            <w:pPr>
              <w:pStyle w:val="Compact"/>
              <w:suppressAutoHyphens/>
              <w:ind w:left="0" w:right="0" w:firstLine="0"/>
              <w:spacing w:after="0" w:before="0" w:line="240" w:lineRule="auto"/>
              <w:jc w:val="left"/>
            </w:pPr>
            <w:r>
              <w:t xml:space="preserve">Влияние внутренних потоков NumPy не оценено</w:t>
              <w:rPr>
                <w:rFonts w:ascii="Times New Roman" w:hAnsi="Times New Roman" w:eastAsia="Times New Roman" w:cs="Times New Roman"/>
                <w:b w:val="0"/>
                <w:sz w:val="19"/>
                <w:szCs w:val="21"/>
              </w:rPr>
            </w:r>
          </w:p>
        </w:tc>
        <w:trPr>
          <w:cantSplit/>
          <w:cantSplit/>
          <w:cantSplit/>
          <w:cantSplit w:val="true"/>
        </w:trPr>
      </w:tr>
    </w:tbl>
    <w:sectPr>
      <w:pgSz w:w="11906" w:h="16838"/>
      <w:pgMar w:top="1134" w:right="850" w:bottom="1134" w:left="1701" w:header="708" w:footer="708" w:gutter="0"/>
      <w:headerReference w:type="default" r:id="rId26"/>
      <w:footerReference w:type="default" r:id="rId27"/>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5EB" w:rsidRDefault="009B05EB">
      <w:pPr>
        <w:spacing w:line="240" w:lineRule="auto"/>
      </w:pPr>
      <w:r>
        <w:separator/>
      </w:r>
    </w:p>
  </w:endnote>
  <w:endnote w:type="continuationSeparator" w:id="0">
    <w:p w:rsidR="009B05EB" w:rsidRDefault="009B0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sz w:val="15"/>
      </w:rPr>
      <w:t xml:space="preserve">стр. </w:t>
    </w:r>
    <w:r>
      <w:rPr>
        <w:rFonts w:ascii="Arial" w:hAnsi="Arial" w:cs="Arial" w:eastAsia="Arial"/>
        <w:sz w:val="15"/>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5EB" w:rsidRDefault="009B05EB">
      <w:r>
        <w:separator/>
      </w:r>
    </w:p>
  </w:footnote>
  <w:footnote w:type="continuationSeparator" w:id="0">
    <w:p w:rsidR="009B05EB" w:rsidRDefault="009B05E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3024"/>
      <w:gridCol w:w="3024"/>
      <w:gridCol w:w="3024"/>
    </w:tblGrid>
    <w:tr>
      <w:trPr>
        <w:tblHeader/>
      </w:trPr>
      <w:tc>
        <w:tcPr>
          <w:tcW w:type="dxa" w:w="1584"/>
          <w:vAlign w:val="center"/>
          <w:tcMar>
            <w:top w:w="30" w:type="dxa"/>
            <w:start w:w="40" w:type="dxa"/>
            <w:bottom w:w="30" w:type="dxa"/>
            <w:end w:w="40" w:type="dxa"/>
          </w:tcMar>
        </w:tcPr>
        <w:p>
          <w:pPr>
            <w:jc w:val="center"/>
          </w:pPr>
          <w:r>
            <w:rPr>
              <w:rFonts w:ascii="Times New Roman" w:hAnsi="Times New Roman"/>
              <w:b/>
              <w:sz w:val="18"/>
            </w:rPr>
            <w:t>ГЛАВА 4</w:t>
          </w:r>
        </w:p>
      </w:tc>
      <w:tc>
        <w:tcPr>
          <w:tcW w:type="dxa" w:w="5760"/>
          <w:vAlign w:val="center"/>
          <w:tcMar>
            <w:top w:w="30" w:type="dxa"/>
            <w:start w:w="40" w:type="dxa"/>
            <w:bottom w:w="30" w:type="dxa"/>
            <w:end w:w="40" w:type="dxa"/>
          </w:tcMar>
        </w:tcPr>
        <w:p>
          <w:pPr>
            <w:jc w:val="center"/>
          </w:pPr>
          <w:r>
            <w:rPr>
              <w:rFonts w:ascii="Times New Roman" w:hAnsi="Times New Roman"/>
              <w:b/>
              <w:sz w:val="18"/>
            </w:rPr>
            <w:t>Метод реализации системного оператора</w:t>
          </w:r>
        </w:p>
      </w:tc>
      <w:tc>
        <w:tcPr>
          <w:tcW w:type="dxa" w:w="1728"/>
          <w:vAlign w:val="center"/>
          <w:tcMar>
            <w:top w:w="30" w:type="dxa"/>
            <w:start w:w="40" w:type="dxa"/>
            <w:bottom w:w="30" w:type="dxa"/>
            <w:end w:w="40" w:type="dxa"/>
          </w:tcMar>
        </w:tcPr>
        <w:p>
          <w:pPr>
            <w:jc w:val="center"/>
          </w:pPr>
          <w:r>
            <w:rPr>
              <w:rFonts w:ascii="Times New Roman" w:hAnsi="Times New Roman"/>
              <w:b/>
              <w:sz w:val="18"/>
            </w:rPr>
            <w:t>FuzzyXAI</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47242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3C50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D376F6"/>
    <w:rsid w:val="00750287"/>
    <w:rsid w:val="0085609B"/>
    <w:rsid w:val="009B05EB"/>
    <w:rsid w:val="00D376F6"/>
    <w:rsid w:val="00DB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A39C"/>
  <w15:docId w15:val="{B2DBC791-C6E3-4389-B96D-304182F1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360" w:lineRule="auto" w:before="0"/>
      <w:ind w:firstLine="709"/>
      <w:jc w:val="both"/>
    </w:pPr>
    <w:rPr>
      <w:rFonts w:ascii="Times New Roman" w:eastAsia="Times New Roman" w:hAnsi="Times New Roman" w:cs="Times New Roman"/>
      <w:b w:val="0"/>
      <w:sz w:val="28"/>
    </w:rPr>
  </w:style>
  <w:style w:type="paragraph" w:styleId="1">
    <w:name w:val="heading 1"/>
    <w:basedOn w:val="a"/>
    <w:next w:val="a0"/>
    <w:uiPriority w:val="9"/>
    <w:qFormat/>
    <w:pPr>
      <w:keepNext/>
      <w:keepLines/>
      <w:spacing w:before="200" w:line="276" w:lineRule="auto" w:after="100"/>
      <w:ind w:firstLine="0"/>
      <w:jc w:val="left"/>
      <w:outlineLvl w:val="0"/>
    </w:pPr>
    <w:rPr>
      <w:rFonts w:asciiTheme="majorHAnsi" w:eastAsiaTheme="majorEastAsia" w:hAnsiTheme="majorHAnsi" w:cstheme="majorBidi" w:ascii="Times New Roman" w:hAnsi="Times New Roman" w:eastAsia="Times New Roman" w:cs="Arial"/>
      <w:b/>
      <w:bCs/>
      <w:sz w:val="32"/>
      <w:szCs w:val="32"/>
    </w:rPr>
  </w:style>
  <w:style w:type="paragraph" w:styleId="2">
    <w:name w:val="heading 2"/>
    <w:basedOn w:val="a"/>
    <w:next w:val="a0"/>
    <w:uiPriority w:val="9"/>
    <w:unhideWhenUsed/>
    <w:qFormat/>
    <w:pPr>
      <w:keepNext/>
      <w:keepLines/>
      <w:spacing w:before="200" w:line="276" w:lineRule="auto" w:after="100"/>
      <w:ind w:firstLine="0"/>
      <w:jc w:val="left"/>
      <w:outlineLvl w:val="1"/>
    </w:pPr>
    <w:rPr>
      <w:rFonts w:asciiTheme="majorHAnsi" w:eastAsiaTheme="majorEastAsia" w:hAnsiTheme="majorHAnsi" w:cstheme="majorBidi" w:ascii="Times New Roman" w:hAnsi="Times New Roman" w:eastAsia="Times New Roman" w:cs="Arial"/>
      <w:b/>
      <w:bCs/>
      <w:sz w:val="28"/>
      <w:szCs w:val="28"/>
    </w:rPr>
  </w:style>
  <w:style w:type="paragraph" w:styleId="3">
    <w:name w:val="heading 3"/>
    <w:basedOn w:val="a"/>
    <w:next w:val="a0"/>
    <w:uiPriority w:val="9"/>
    <w:unhideWhenUsed/>
    <w:qFormat/>
    <w:pPr>
      <w:keepNext/>
      <w:keepLines/>
      <w:spacing w:before="160" w:line="276" w:lineRule="auto" w:after="80"/>
      <w:ind w:firstLine="0"/>
      <w:jc w:val="left"/>
      <w:outlineLvl w:val="2"/>
    </w:pPr>
    <w:rPr>
      <w:rFonts w:asciiTheme="majorHAnsi" w:eastAsiaTheme="majorEastAsia" w:hAnsiTheme="majorHAnsi" w:cstheme="majorBidi" w:ascii="Times New Roman" w:hAnsi="Times New Roman" w:eastAsia="Times New Roman" w:cs="Arial"/>
      <w:b/>
      <w:bCs/>
      <w:sz w:val="28"/>
    </w:rPr>
  </w:style>
  <w:style w:type="paragraph" w:styleId="4">
    <w:name w:val="heading 4"/>
    <w:basedOn w:val="a"/>
    <w:next w:val="a0"/>
    <w:uiPriority w:val="9"/>
    <w:unhideWhenUsed/>
    <w:qFormat/>
    <w:pPr>
      <w:keepNext/>
      <w:keepLines/>
      <w:spacing w:before="160" w:line="276" w:lineRule="auto" w:after="80"/>
      <w:ind w:firstLine="0"/>
      <w:jc w:val="left"/>
      <w:outlineLvl w:val="3"/>
    </w:pPr>
    <w:rPr>
      <w:rFonts w:asciiTheme="majorHAnsi" w:eastAsiaTheme="majorEastAsia" w:hAnsiTheme="majorHAnsi" w:cstheme="majorBidi" w:ascii="Times New Roman" w:hAnsi="Times New Roman" w:eastAsia="Times New Roman"/>
      <w:b/>
      <w:bCs/>
      <w:i/>
      <w:sz w:val="28"/>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60" w:lineRule="auto" w:before="0" w:after="0"/>
      <w:ind w:firstLine="709"/>
      <w:jc w:val="both"/>
    </w:pPr>
    <w:rPr>
      <w:rFonts w:ascii="Times New Roman" w:hAnsi="Times New Roman" w:eastAsia="Times New Roman" w:cs="Times New Roman"/>
      <w:sz w:val="28"/>
    </w:rPr>
  </w:style>
  <w:style w:type="paragraph" w:customStyle="1" w:styleId="FirstParagraph">
    <w:name w:val="First Paragraph"/>
    <w:basedOn w:val="a0"/>
    <w:next w:val="a0"/>
    <w:qFormat/>
    <w:pPr>
      <w:spacing w:line="360" w:lineRule="auto" w:before="0" w:after="0"/>
      <w:ind w:firstLine="709"/>
      <w:jc w:val="both"/>
    </w:pPr>
    <w:rPr>
      <w:rFonts w:ascii="Times New Roman" w:hAnsi="Times New Roman" w:eastAsia="Times New Roman" w:cs="Times New Roman"/>
      <w:sz w:val="28"/>
    </w:rPr>
  </w:style>
  <w:style w:type="paragraph" w:customStyle="1" w:styleId="Compact">
    <w:name w:val="Compact"/>
    <w:basedOn w:val="a0"/>
    <w:qFormat/>
    <w:pPr>
      <w:spacing w:after="48" w:line="259" w:lineRule="auto"/>
      <w:ind w:firstLine="0"/>
      <w:jc w:val="both"/>
    </w:pPr>
    <w:rPr>
      <w:rFonts w:ascii="Times New Roman" w:hAnsi="Times New Roman" w:cs="Times New Roman" w:eastAsia="Times New Roman"/>
      <w:sz w:val="18"/>
    </w:r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Times New Roman" w:hAnsi="Times New Roman"/>
      <w:b/>
      <w:bCs/>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pPr>
      <w:spacing w:after="60" w:line="276" w:lineRule="auto"/>
      <w:ind w:left="0" w:firstLine="0"/>
      <w:jc w:val="both"/>
    </w:pPr>
    <w:rPr>
      <w:rFonts w:ascii="Times New Roman" w:hAnsi="Times New Roman" w:eastAsia="Times New Roman"/>
      <w:sz w:val="24"/>
    </w:rPr>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pPr>
      <w:spacing w:line="360" w:lineRule="auto" w:before="80" w:after="80"/>
      <w:ind w:firstLine="0" w:left="454" w:right="454"/>
      <w:jc w:val="both"/>
    </w:pPr>
    <w:rPr>
      <w:rFonts w:ascii="Times New Roman" w:hAnsi="Times New Roman" w:eastAsia="Times New Roman"/>
      <w:sz w:val="28"/>
    </w:rPr>
  </w:style>
  <w:style w:type="paragraph" w:styleId="aa">
    <w:name w:val="caption"/>
    <w:basedOn w:val="a"/>
    <w:link w:val="ab"/>
    <w:pPr>
      <w:keepNext/>
      <w:spacing w:after="120" w:line="276" w:lineRule="auto" w:before="60"/>
      <w:jc w:val="center"/>
    </w:pPr>
    <w:rPr>
      <w:rFonts w:ascii="Times New Roman" w:hAnsi="Times New Roman" w:eastAsia="Times New Roman" w:cs="Arial"/>
      <w:b w:val="0"/>
      <w:i w:val="0"/>
      <w:sz w:val="24"/>
    </w:rPr>
  </w:style>
  <w:style w:type="paragraph" w:customStyle="1" w:styleId="TableCaption">
    <w:name w:val="Table Caption"/>
    <w:basedOn w:val="aa"/>
    <w:pPr>
      <w:keepNext/>
    </w:pPr>
  </w:style>
  <w:style w:type="paragraph" w:customStyle="1" w:styleId="ImageCaption">
    <w:name w:val="Image Caption"/>
    <w:basedOn w:val="aa"/>
    <w:pPr>
      <w:spacing w:before="120" w:line="360" w:lineRule="auto" w:after="0"/>
      <w:ind w:firstLine="709"/>
      <w:jc w:val="center"/>
    </w:pPr>
    <w:rPr>
      <w:rFonts w:ascii="Times New Roman" w:hAnsi="Times New Roman" w:eastAsia="Times New Roman"/>
      <w:sz w:val="28"/>
    </w:rPr>
  </w:style>
  <w:style w:type="paragraph" w:customStyle="1" w:styleId="Figure">
    <w:name w:val="Figure"/>
    <w:basedOn w:val="a"/>
  </w:style>
  <w:style w:type="paragraph" w:customStyle="1" w:styleId="CaptionedFigure">
    <w:name w:val="Captioned Figure"/>
    <w:basedOn w:val="Figure"/>
    <w:pPr>
      <w:keepNext/>
      <w:spacing w:before="120" w:after="120"/>
      <w:ind w:firstLine="0"/>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style>
  <w:style w:type="paragraph" w:styleId="ae">
    <w:name w:val="TOC Heading"/>
    <w:basedOn w:val="1"/>
    <w:next w:val="a0"/>
    <w:uiPriority w:val="39"/>
    <w:unhideWhenUsed/>
    <w:qFormat/>
    <w:pPr>
      <w:spacing w:before="240" w:line="259" w:lineRule="auto"/>
      <w:outlineLvl w:val="9"/>
    </w:pPr>
    <w:rPr>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 w:type="paragraph" w:styleId="af">
    <w:name w:val="Balloon Text"/>
    <w:basedOn w:val="a"/>
    <w:link w:val="af0"/>
    <w:semiHidden/>
    <w:unhideWhenUsed/>
    <w:rsid w:val="00750287"/>
    <w:pPr>
      <w:spacing w:line="240" w:lineRule="auto"/>
    </w:pPr>
    <w:rPr>
      <w:rFonts w:ascii="Segoe UI" w:hAnsi="Segoe UI" w:cs="Segoe UI"/>
      <w:sz w:val="18"/>
      <w:szCs w:val="18"/>
    </w:rPr>
  </w:style>
  <w:style w:type="character" w:customStyle="1" w:styleId="af0">
    <w:name w:val="Текст выноски Знак"/>
    <w:basedOn w:val="a1"/>
    <w:link w:val="af"/>
    <w:semiHidden/>
    <w:rsid w:val="00750287"/>
    <w:rPr>
      <w:rFonts w:ascii="Segoe UI" w:eastAsia="Times New Roman" w:hAnsi="Segoe UI" w:cs="Segoe UI"/>
      <w:sz w:val="18"/>
      <w:szCs w:val="18"/>
    </w:rPr>
  </w:style>
  <w:style w:type="table" w:styleId="20">
    <w:name w:val="Plain Table 2"/>
    <w:basedOn w:val="a2"/>
    <w:rsid w:val="00750287"/>
    <w:pPr>
      <w:spacing w:after="0"/>
    </w:p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af1">
    <w:name w:val="Table Grid"/>
    <w:basedOn w:val="a2"/>
    <w:rsid w:val="00750287"/>
    <w:pPr>
      <w:spacing w:after="0"/>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Grid Table Light"/>
    <w:basedOn w:val="a2"/>
    <w:rsid w:val="00750287"/>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0">
    <w:name w:val="Plain Table 3"/>
    <w:basedOn w:val="a2"/>
    <w:rsid w:val="00DB2C3C"/>
    <w:pPr>
      <w:spacing w:after="0"/>
    </w:pPr>
    <w:tblPr>
      <w:tblStyleRowBandSize w:val="1"/>
      <w:tblStyleColBandSize w:val="1"/>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tblStylePr>
    <w:tblStylePr w:type="band1Horz">
      <w:tblPr/>
      <w:tcPr/>
    </w:tblStylePr>
    <w:tblStylePr w:type="neCell">
      <w:tblPr/>
      <w:tcPr>
        <w:tcBorders>
          <w:left w:val="nil"/>
        </w:tcBorders>
      </w:tcPr>
    </w:tblStylePr>
    <w:tblStylePr w:type="nwCell">
      <w:tblPr/>
      <w:tcPr>
        <w:tcBorders>
          <w:right w:val="nil"/>
        </w:tcBorders>
      </w:tcPr>
    </w:tblStylePr>
  </w:style>
  <w:style w:type="table" w:styleId="10">
    <w:name w:val="Plain Table 1"/>
    <w:basedOn w:val="a2"/>
    <w:rsid w:val="00DB2C3C"/>
    <w:pPr>
      <w:spacing w:after="0"/>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paragraph" w:customStyle="1" w:styleId="FXAI_Callout">
    <w:name w:val="FXAI_Callout"/>
    <w:pPr>
      <w:spacing w:before="80" w:after="100"/>
      <w:ind w:left="85" w:right="28"/>
    </w:pPr>
    <w:rPr>
      <w:rFonts w:ascii="Arial" w:hAnsi="Arial" w:cs="Arial" w:eastAsia="Arial"/>
      <w:sz w:val="19"/>
    </w:rPr>
  </w:style>
  <w:style w:type="paragraph" w:customStyle="1" w:styleId="FXAI_Result">
    <w:name w:val="FXAI_Result"/>
    <w:pPr>
      <w:spacing w:before="80" w:after="100"/>
      <w:ind w:left="85" w:right="28"/>
    </w:pPr>
    <w:rPr>
      <w:rFonts w:ascii="Arial" w:hAnsi="Arial" w:cs="Arial" w:eastAsia="Arial"/>
      <w:sz w:val="19"/>
    </w:rPr>
  </w:style>
  <w:style w:type="paragraph" w:customStyle="1" w:styleId="FXAI_Definition">
    <w:name w:val="FXAI_Definition"/>
    <w:rPr>
      <w:rFonts w:ascii="Liberation Serif" w:hAnsi="Liberation Serif"/>
      <w:sz w:val="22"/>
    </w:rPr>
  </w:style>
  <w:style w:type="paragraph" w:customStyle="1" w:styleId="FXAI_Code">
    <w:name w:val="FXAI_Code"/>
    <w:pPr>
      <w:spacing w:before="80" w:after="100"/>
      <w:ind w:left="85" w:right="28"/>
    </w:pPr>
    <w:rPr>
      <w:rFonts w:ascii="Consolas" w:hAnsi="Consolas" w:cs="Consolas" w:eastAsia="Consolas"/>
      <w:sz w:val="17"/>
    </w:rPr>
  </w:style>
  <w:style w:type="paragraph" w:customStyle="1" w:styleId="FXAI_Statement">
    <w:name w:val="FXAI_Statement"/>
    <w:basedOn w:val="a0"/>
    <w:pPr>
      <w:keepNext/>
      <w:spacing w:before="100" w:after="100"/>
      <w:ind w:left="125" w:right="57"/>
    </w:pPr>
    <w:rPr>
      <w:rFonts w:ascii="Arial" w:hAnsi="Arial"/>
      <w:b w:val="0"/>
      <w:sz w:val="19"/>
    </w:rPr>
  </w:style>
  <w:style w:type="paragraph" w:customStyle="1" w:styleId="FXAI_Proof">
    <w:name w:val="FXAI_Proof"/>
    <w:basedOn w:val="a0"/>
    <w:pPr>
      <w:spacing w:before="60" w:after="80"/>
      <w:ind w:left="159"/>
    </w:pPr>
    <w:rPr>
      <w:rFonts w:ascii="Times New Roman" w:hAnsi="Times New Roman"/>
      <w:i/>
      <w:sz w:val="19"/>
    </w:rPr>
  </w:style>
  <w:style w:type="paragraph" w:customStyle="1" w:styleId="Equation">
    <w:name w:val="Equation"/>
    <w:pPr>
      <w:spacing w:line="276" w:lineRule="auto" w:before="80" w:after="80"/>
      <w:ind w:firstLine="0"/>
      <w:jc w:val="center"/>
    </w:pPr>
    <w:rPr>
      <w:rFonts w:ascii="Times New Roman" w:hAnsi="Times New Roman" w:eastAsia="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merged11.png"/><Relationship Id="rId20" Type="http://schemas.openxmlformats.org/officeDocument/2006/relationships/image" Target="media/merged12.png"/><Relationship Id="rId21" Type="http://schemas.openxmlformats.org/officeDocument/2006/relationships/image" Target="media/merged13.png"/><Relationship Id="rId22" Type="http://schemas.openxmlformats.org/officeDocument/2006/relationships/image" Target="media/merged14.png"/><Relationship Id="rId23" Type="http://schemas.openxmlformats.org/officeDocument/2006/relationships/image" Target="media/merged15.png"/><Relationship Id="rId24" Type="http://schemas.openxmlformats.org/officeDocument/2006/relationships/image" Target="media/merged16.png"/><Relationship Id="rId25" Type="http://schemas.openxmlformats.org/officeDocument/2006/relationships/image" Target="media/merged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78</Pages>
  <Words>19216</Words>
  <Characters>109534</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Глава 2. Системный оператор нечёткой логики</vt:lpstr>
    </vt:vector>
  </TitlesOfParts>
  <Company>SPecialiST RePack</Company>
  <LinksUpToDate>false</LinksUpToDate>
  <CharactersWithSpaces>128494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4. Вычислительная реализация и экспериментальная проверка FuzzyXAI (v12)</dc:title>
  <dc:subject>Финальная редакция на основе v9 с интегрированной практической реализацией v11</dc:subject>
  <dc:creator>Александр Лебедев</dc:creator>
  <cp:keywords>FuzzyXAI, объяснимый искусственный интеллект, системный оператор, воспроизводимость</cp:keywords>
  <cp:lastModifiedBy>Comp3</cp:lastModifiedBy>
  <cp:revision>12</cp:revision>
  <cp:lastPrinted>2026-05-21T15:07:00Z</cp:lastPrinted>
  <dcterms:created xsi:type="dcterms:W3CDTF">2026-05-12T19:59:00Z</dcterms:created>
  <dcterms:modified xsi:type="dcterms:W3CDTF">2026-05-21T15:46:00Z</dcterms:modified>
  <dc:description>Замороженные экспериментальные значения и статусы гипотез не изменены.</dc:description>
</cp:coreProperties>
</file>