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32"/>
        </w:rPr>
        <w:t xml:space="preserve">Техническое</w:t>
      </w:r>
      <w:r>
        <w:rPr>
          <w:rFonts w:ascii="Times New Roman" w:hAnsi="Times New Roman" w:eastAsia="Times New Roman"/>
          <w:b/>
          <w:sz w:val="32"/>
        </w:rPr>
        <w:t xml:space="preserve"> </w:t>
      </w:r>
      <w:r>
        <w:rPr>
          <w:rFonts w:ascii="Times New Roman" w:hAnsi="Times New Roman" w:eastAsia="Times New Roman"/>
          <w:b/>
          <w:sz w:val="32"/>
        </w:rPr>
        <w:t xml:space="preserve">задание</w:t>
      </w:r>
      <w:r>
        <w:rPr>
          <w:rFonts w:ascii="Times New Roman" w:hAnsi="Times New Roman" w:eastAsia="Times New Roman"/>
          <w:b/>
          <w:sz w:val="32"/>
        </w:rPr>
        <w:t xml:space="preserve"> </w:t>
      </w:r>
      <w:r>
        <w:rPr>
          <w:rFonts w:ascii="Times New Roman" w:hAnsi="Times New Roman" w:eastAsia="Times New Roman"/>
          <w:b/>
          <w:sz w:val="32"/>
        </w:rPr>
        <w:t xml:space="preserve">на</w:t>
      </w:r>
      <w:r>
        <w:rPr>
          <w:rFonts w:ascii="Times New Roman" w:hAnsi="Times New Roman" w:eastAsia="Times New Roman"/>
          <w:b/>
          <w:sz w:val="32"/>
        </w:rPr>
        <w:t xml:space="preserve"> </w:t>
      </w:r>
      <w:r>
        <w:rPr>
          <w:rFonts w:ascii="Times New Roman" w:hAnsi="Times New Roman" w:eastAsia="Times New Roman"/>
          <w:b/>
          <w:sz w:val="32"/>
        </w:rPr>
        <w:t xml:space="preserve">разработку</w:t>
      </w:r>
      <w:r>
        <w:rPr>
          <w:rFonts w:ascii="Times New Roman" w:hAnsi="Times New Roman" w:eastAsia="Times New Roman"/>
          <w:b/>
          <w:sz w:val="32"/>
        </w:rPr>
        <w:t xml:space="preserve"> </w:t>
      </w:r>
      <w:r>
        <w:rPr>
          <w:rFonts w:ascii="Times New Roman" w:hAnsi="Times New Roman" w:eastAsia="Times New Roman"/>
          <w:b/>
          <w:sz w:val="32"/>
        </w:rPr>
        <w:t xml:space="preserve">активного</w:t>
      </w:r>
      <w:r>
        <w:rPr>
          <w:rFonts w:ascii="Times New Roman" w:hAnsi="Times New Roman" w:eastAsia="Times New Roman"/>
          <w:b/>
          <w:sz w:val="32"/>
        </w:rPr>
        <w:t xml:space="preserve"> </w:t>
      </w:r>
      <w:r>
        <w:rPr>
          <w:rFonts w:ascii="Times New Roman" w:hAnsi="Times New Roman" w:eastAsia="Times New Roman"/>
          <w:b/>
          <w:sz w:val="32"/>
        </w:rPr>
        <w:t xml:space="preserve">риск-ориентированного</w:t>
      </w:r>
      <w:r>
        <w:rPr>
          <w:rFonts w:ascii="Times New Roman" w:hAnsi="Times New Roman" w:eastAsia="Times New Roman"/>
          <w:b/>
          <w:sz w:val="32"/>
        </w:rPr>
        <w:t xml:space="preserve"> </w:t>
      </w:r>
      <w:r>
        <w:rPr>
          <w:rFonts w:ascii="Times New Roman" w:hAnsi="Times New Roman" w:eastAsia="Times New Roman"/>
          <w:b/>
          <w:sz w:val="32"/>
        </w:rPr>
        <w:t xml:space="preserve">наблюдателя</w:t>
      </w:r>
      <w:r>
        <w:rPr>
          <w:rFonts w:ascii="Times New Roman" w:hAnsi="Times New Roman" w:eastAsia="Times New Roman"/>
          <w:b/>
          <w:sz w:val="32"/>
        </w:rPr>
        <w:t xml:space="preserve"> </w:t>
      </w:r>
      <w:r>
        <w:rPr>
          <w:rFonts w:ascii="Times New Roman" w:hAnsi="Times New Roman" w:eastAsia="Times New Roman"/>
          <w:b/>
          <w:sz w:val="32"/>
        </w:rPr>
        <w:t xml:space="preserve">модели</w:t>
      </w:r>
    </w:p>
    <w:p>
      <w:pPr>
        <w:pStyle w:val="Subtitle"/>
        <w:jc w:val="center"/>
      </w:pPr>
      <w:r>
        <w:rPr>
          <w:rFonts w:ascii="Times New Roman" w:hAnsi="Times New Roman" w:eastAsia="Times New Roman"/>
          <w:b/>
          <w:sz w:val="26"/>
        </w:rPr>
        <w:t xml:space="preserve">Расширение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FuzzyXAI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Doctoral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Core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на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основе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системного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оператора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нечёткой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логики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и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иерархии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нечётких</w:t>
      </w:r>
      <w:r>
        <w:rPr>
          <w:rFonts w:ascii="Times New Roman" w:hAnsi="Times New Roman" w:eastAsia="Times New Roman"/>
          <w:b/>
          <w:sz w:val="26"/>
        </w:rPr>
        <w:t xml:space="preserve"> </w:t>
      </w:r>
      <w:r>
        <w:rPr>
          <w:rFonts w:ascii="Times New Roman" w:hAnsi="Times New Roman" w:eastAsia="Times New Roman"/>
          <w:b/>
          <w:sz w:val="26"/>
        </w:rPr>
        <w:t xml:space="preserve">представлений</w:t>
      </w:r>
    </w:p>
    <w:bookmarkStart w:id="20" w:name="аннотация"/>
    <w:p>
      <w:pPr>
        <w:pStyle w:val="Heading1"/>
      </w:pPr>
      <w:r>
        <w:rPr>
          <w:rFonts w:ascii="Times New Roman" w:hAnsi="Times New Roman" w:eastAsia="Times New Roman"/>
        </w:rPr>
        <w:t xml:space="preserve">Аннотация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Настоящее техническое задание описывает развитие программного комплекса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b/>
          <w:bCs/>
        </w:rPr>
        <w:t xml:space="preserve">FuzzyXAI Doctoral Core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в направлении активного риск-ориентированного наблюдателя модели. В существующей разработке уже реализованы конструкции глав 2 и 3 докторской диссертации: системный оператор нечёткой логики, объяснительный объект, композиция объяснений, диагностические состояния, иерархия нечётких представлений, редукции, потери объяснительной информации, proof-скрипты, benchmark-сценарии и демонстрационный интерфейс.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Новый слой должен перевести систему из режима пассивной объяснимости в режим контролируемого применения прогноза. Наблюдатель подключается к любой модели, имеющей прогнозный интерфейс, строит расширенный объяснительный объект прогноза, оценивает неопределённость, интерпретируемость, потерю редукции и диагностические разрывы, после чего передаёт эти величины в риск-ориентированную политику. Такая политика определяет, можно ли принять прогноз автоматически, нужно ли снизить уверенность, запросить дополнительные данные, передать случай эксперту или заблокировать автоматическое решение.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Разработка не должна заявляться как универсальный способ улучшения точности любой модели. Корректная постановка состоит в другом: наблюдатель снижает риск неконтролируемого использования прогноза при заданной политике стоимости ошибок и при наличии вычислимого контура объяснимости.</w:t>
      </w:r>
    </w:p>
    <w:bookmarkEnd w:id="20"/>
    <w:bookmarkStart w:id="21" w:name="исходное-состояние-проекта"/>
    <w:p>
      <w:pPr>
        <w:pStyle w:val="Heading1"/>
      </w:pPr>
      <w:r>
        <w:rPr>
          <w:rFonts w:ascii="Times New Roman" w:hAnsi="Times New Roman" w:eastAsia="Times New Roman"/>
        </w:rPr>
        <w:t xml:space="preserve">1. Исходное состояние проекта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Проект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b/>
          <w:bCs/>
        </w:rPr>
        <w:t xml:space="preserve">FuzzyXAI Doctoral Core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исполняемым исследовательским прототипом для глав 2 и 3 докторской диссертации. Он показывает, что математические объекты диссертации можно построить, редуцировать, сравнить, скомпоновать, откалибровать, визуализировать и проверить воспроизводимыми скриптами.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В части главы 2 уже реализованы объект объяснения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ExplanationObject</w:t>
      </w:r>
      <w:r>
        <w:rPr>
          <w:rFonts w:ascii="Times New Roman" w:hAnsi="Times New Roman" w:eastAsia="Times New Roman"/>
        </w:rPr>
        <w:t xml:space="preserve">, конфигурация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ExplainPlan</w:t>
      </w:r>
      <w:r>
        <w:rPr>
          <w:rFonts w:ascii="Times New Roman" w:hAnsi="Times New Roman" w:eastAsia="Times New Roman"/>
        </w:rPr>
        <w:t xml:space="preserve">, системный оператор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SystemOperator</w:t>
      </w:r>
      <w:r>
        <w:rPr>
          <w:rFonts w:ascii="Times New Roman" w:hAnsi="Times New Roman" w:eastAsia="Times New Roman"/>
        </w:rPr>
        <w:t xml:space="preserve">, композиция объяснений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compose</w:t>
      </w:r>
      <w:r>
        <w:rPr>
          <w:rFonts w:ascii="Times New Roman" w:hAnsi="Times New Roman" w:eastAsia="Times New Roman"/>
        </w:rPr>
        <w:t xml:space="preserve">, мера рассогласования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semantic_disagreement</w:t>
      </w:r>
      <w:r>
        <w:rPr>
          <w:rFonts w:ascii="Times New Roman" w:hAnsi="Times New Roman" w:eastAsia="Times New Roman"/>
        </w:rPr>
        <w:t xml:space="preserve">, функционал потери интерпретируемости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interpretability_loss</w:t>
      </w:r>
      <w:r>
        <w:rPr>
          <w:rFonts w:ascii="Times New Roman" w:hAnsi="Times New Roman" w:eastAsia="Times New Roman"/>
        </w:rPr>
        <w:t xml:space="preserve">, индекс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interpretability_index</w:t>
      </w:r>
      <w:r>
        <w:rPr>
          <w:rFonts w:ascii="Times New Roman" w:hAnsi="Times New Roman" w:eastAsia="Times New Roman"/>
        </w:rPr>
        <w:t xml:space="preserve">, диагностическое состояние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D_ij</w:t>
      </w:r>
      <w:r>
        <w:rPr>
          <w:rFonts w:ascii="Times New Roman" w:hAnsi="Times New Roman" w:eastAsia="Times New Roman"/>
        </w:rPr>
        <w:t xml:space="preserve">, калибровка весов и визуальная диагностика композиции.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В части главы 3 уже реализованы классы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F0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IntervalFS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HesitantFS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NeutrosophicFS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MultiLevelFS</w:t>
      </w:r>
      <w:r>
        <w:rPr>
          <w:rFonts w:ascii="Times New Roman" w:hAnsi="Times New Roman" w:eastAsia="Times New Roman"/>
        </w:rPr>
        <w:t xml:space="preserve">, редукции к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F0</w:t>
      </w:r>
      <w:r>
        <w:rPr>
          <w:rFonts w:ascii="Times New Roman" w:hAnsi="Times New Roman" w:eastAsia="Times New Roman"/>
        </w:rPr>
        <w:t xml:space="preserve">, потеря редукции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Delta</w:t>
      </w:r>
      <w:r>
        <w:rPr>
          <w:rFonts w:ascii="Times New Roman" w:hAnsi="Times New Roman" w:eastAsia="Times New Roman"/>
        </w:rPr>
        <w:t xml:space="preserve">, ситуационный профиль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P_sit</w:t>
      </w:r>
      <w:r>
        <w:rPr>
          <w:rFonts w:ascii="Times New Roman" w:hAnsi="Times New Roman" w:eastAsia="Times New Roman"/>
        </w:rPr>
        <w:t xml:space="preserve">, Парето-выбор минимально достаточного класса и диагностическое состояние выбора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D_choice</w:t>
      </w:r>
      <w:r>
        <w:rPr>
          <w:rFonts w:ascii="Times New Roman" w:hAnsi="Times New Roman" w:eastAsia="Times New Roman"/>
        </w:rPr>
        <w:t xml:space="preserve">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Отдельно реализованы демонстрационные и проверочные сценарии: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defense_demo.py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nicegui_dashboard.py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validate_thesis_examples.py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thesis_demo.py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breast_cancer_benchmark.py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operator_comparison_benchmark.py</w:t>
      </w:r>
      <w:r>
        <w:rPr>
          <w:rFonts w:ascii="Times New Roman" w:hAnsi="Times New Roman" w:eastAsia="Times New Roman"/>
        </w:rPr>
        <w:t xml:space="preserve">. Текущий benchmark уже показывает важное различие между режимом без оператора и режимом с оператором: без оператора доступны только прогноз и важности признаков, а с оператором появляются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gamma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I(E_G)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и обнаружение искусственного конфликта через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D_ij</w:t>
      </w:r>
      <w:r>
        <w:rPr>
          <w:rFonts w:ascii="Times New Roman" w:hAnsi="Times New Roman" w:eastAsia="Times New Roman"/>
        </w:rPr>
        <w:t xml:space="preserve">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Новый этап должен добавить модуль, который использует эти величины не только для отчёта, но и для принятия безопасного действия.</w:t>
      </w:r>
    </w:p>
    <w:bookmarkEnd w:id="21"/>
    <w:bookmarkStart w:id="22" w:name="цель-разработки"/>
    <w:p>
      <w:pPr>
        <w:pStyle w:val="Heading1"/>
      </w:pPr>
      <w:r>
        <w:rPr>
          <w:rFonts w:ascii="Times New Roman" w:hAnsi="Times New Roman" w:eastAsia="Times New Roman"/>
        </w:rPr>
        <w:t xml:space="preserve">2. Цель разработки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Цель разработки состоит в создании модуля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  <w:b/>
          <w:bCs/>
        </w:rPr>
        <w:t xml:space="preserve">Risk-Aware Observer</w:t>
      </w:r>
      <w:r>
        <w:rPr>
          <w:rFonts w:ascii="Times New Roman" w:hAnsi="Times New Roman" w:eastAsia="Times New Roman"/>
        </w:rPr>
        <w:t xml:space="preserve">, который работает как внешний наблюдающий и управляющий слой над произвольной моделью машинного обучения. Модуль должен принимать прогноз модели, строить объяснительный объект, оценивать риск автоматического применения результата и формировать действие, минимизирующее ожидаемую стоимость ошибки.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В минимальной версии модуль не изменяет внутренние параметры исходной модели. Он управляет уровнем решения поверх модели. Это важно для научной корректности и инженерной реализуемости, поскольку позволяет использовать наблюдатель с моделями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sklearn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XGBoost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PyTorch</w:t>
      </w:r>
      <w:r>
        <w:rPr>
          <w:rFonts w:ascii="Times New Roman" w:hAnsi="Times New Roman" w:eastAsia="Times New Roman"/>
        </w:rPr>
        <w:t xml:space="preserve">, медицинскими скоринговыми моделями и любыми другими системами, имеющими прогнозный интерфейс.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Общая схема разработки задаётся цепочкой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→</m:t>
          </m:r>
          <m:sSubSup>
            <m:e>
              <m:r>
                <m:t>E</m:t>
              </m:r>
            </m:e>
            <m:sub>
              <m:r>
                <m:t>M</m:t>
              </m:r>
            </m:sub>
            <m:sup>
              <m:r>
                <m:t>e</m:t>
              </m:r>
              <m:r>
                <m:t>x</m:t>
              </m:r>
              <m:r>
                <m:t>t</m:t>
              </m:r>
            </m:sup>
          </m:sSubSup>
          <m:r>
            <m:rPr>
              <m:sty m:val="p"/>
            </m:rPr>
            <m:t>→</m:t>
          </m:r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→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→</m:t>
          </m:r>
          <m:sSub>
            <m:e>
              <m:r>
                <m:t>E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Здесь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M(x)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обозначает прогноз модели,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E_M^{ext}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— расширенный объяснительный объект прогноза,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rho(x)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— риск автоматического применения прогноза,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a^*(x)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— выбранное безопасное действие, а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E_G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— итоговое композиционное объяснение всей цепочки.</w:t>
      </w:r>
    </w:p>
    <w:bookmarkEnd w:id="22"/>
    <w:bookmarkStart w:id="23" w:name="граница-применимости"/>
    <w:p>
      <w:pPr>
        <w:pStyle w:val="Heading1"/>
      </w:pPr>
      <w:r>
        <w:rPr>
          <w:rFonts w:ascii="Times New Roman" w:hAnsi="Times New Roman" w:eastAsia="Times New Roman"/>
        </w:rPr>
        <w:t xml:space="preserve">3. Граница применимости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Наблюдатель должен подключаться к любой модели, у которой есть один из следующих интерфейсов: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Times New Roman" w:hAnsi="Times New Roman" w:eastAsia="Times New Roman"/>
        </w:rPr>
        <w:t xml:space="preserve">predict_proba(X)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для классификации;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Times New Roman" w:hAnsi="Times New Roman" w:eastAsia="Times New Roman"/>
        </w:rPr>
        <w:t xml:space="preserve">decision_function(X)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для моделей без вероятностного выхода;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Times New Roman" w:hAnsi="Times New Roman" w:eastAsia="Times New Roman"/>
        </w:rPr>
        <w:t xml:space="preserve">predict(X)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для регрессии или скоринга;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/>
        </w:rPr>
        <w:t xml:space="preserve">пользовательская функция, возвращающая score или риск.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Если модель не имеет вероятностного выхода, должна использоваться процедура нормировки score в диапазон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[0,1]</w:t>
      </w:r>
      <w:r>
        <w:rPr>
          <w:rFonts w:ascii="Times New Roman" w:hAnsi="Times New Roman" w:eastAsia="Times New Roman"/>
        </w:rPr>
        <w:t xml:space="preserve">. Если нормировка невозможна или не задана в конфигурации, формируется диагностическое состояние.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Наблюдатель не гарантирует истинность прогноза и не доказывает медицинскую корректность решения. Он оценивает риск автоматического применения прогноза по доступным признакам неопределённости, объяснимости и трассируемости. В критических областях итоговое решение должно оставаться под контролем экспертного протокола.</w:t>
      </w:r>
    </w:p>
    <w:bookmarkEnd w:id="23"/>
    <w:bookmarkStart w:id="29" w:name="математическая-модель"/>
    <w:p>
      <w:pPr>
        <w:pStyle w:val="Heading1"/>
      </w:pPr>
      <w:r>
        <w:rPr>
          <w:rFonts w:ascii="Times New Roman" w:hAnsi="Times New Roman" w:eastAsia="Times New Roman"/>
        </w:rPr>
        <w:t xml:space="preserve">4. Математическая модель</w:t>
      </w:r>
    </w:p>
    <w:bookmarkStart w:id="24" w:name="базовая-модель"/>
    <w:p>
      <w:pPr>
        <w:pStyle w:val="Heading2"/>
      </w:pPr>
      <w:r>
        <w:rPr>
          <w:rFonts w:ascii="Times New Roman" w:hAnsi="Times New Roman" w:eastAsia="Times New Roman"/>
        </w:rPr>
        <w:t xml:space="preserve">4.1. Базовая модель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Пусть дана модель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где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X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пространством входных объектов, а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пространством выходов. Для задачи классификации модель возвращает вероятностный вектор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Для бинарной медицинской задачи удобно выделить вероятность положительного или рискованного класса: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r</m:t>
              </m:r>
              <m:r>
                <m:t>i</m:t>
              </m:r>
              <m:r>
                <m:t>s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Прогнозируемый класс задаётся как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sSub>
            <m:e>
              <m:r>
                <m:t>p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bookmarkEnd w:id="24"/>
    <w:bookmarkStart w:id="25" w:name="наблюдаемое-состояние-модели"/>
    <w:p>
      <w:pPr>
        <w:pStyle w:val="Heading2"/>
      </w:pPr>
      <w:r>
        <w:rPr>
          <w:rFonts w:ascii="Times New Roman" w:hAnsi="Times New Roman" w:eastAsia="Times New Roman"/>
        </w:rPr>
        <w:t xml:space="preserve">4.2. Наблюдаемое состояние модели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Для каждого объекта вводится состояние модели как компонента ИИ-системы: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sSubSup>
            <m:e>
              <m:r>
                <m:t>u</m:t>
              </m:r>
            </m:e>
            <m:sub>
              <m:r>
                <m:t>M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В этой записи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x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входом,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M(x)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выходом модели,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контекстом применения, а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u_M^0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исходной модельной неопределённостью. Контекст должен включать тип задачи, режим применения, стоимость ошибок, требование аудита, доступность экспертных источников, информацию о сдвиге данных и допустимые действия.</w:t>
      </w:r>
    </w:p>
    <w:bookmarkEnd w:id="25"/>
    <w:bookmarkStart w:id="26" w:name="модельная-неопределённость"/>
    <w:p>
      <w:pPr>
        <w:pStyle w:val="Heading2"/>
      </w:pPr>
      <w:r>
        <w:rPr>
          <w:rFonts w:ascii="Times New Roman" w:hAnsi="Times New Roman" w:eastAsia="Times New Roman"/>
        </w:rPr>
        <w:t xml:space="preserve">4.3. Модельная неопределённость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Для классификационной модели базовой мерой неопределённости является нормированная энтропия: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e</m:t>
              </m:r>
              <m:r>
                <m:t>n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</m:num>
            <m:den>
              <m:r>
                <m:rPr>
                  <m:sty m:val="p"/>
                </m:rPr>
                <m:t>log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где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epsilon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используется для численной устойчивости. Значение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u_ent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принадлежит диапазону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[0,1]</w:t>
      </w:r>
      <w:r>
        <w:rPr>
          <w:rFonts w:ascii="Times New Roman" w:hAnsi="Times New Roman" w:eastAsia="Times New Roman"/>
        </w:rPr>
        <w:t xml:space="preserve">. При равномерном распределении вероятностей неопределённость близка к единице, при почти вырожденном распределении близка к нулю.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Дополнительная мера основана на зазоре между двумя наиболее вероятными классами: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m</m:t>
              </m:r>
              <m:r>
                <m:t>a</m:t>
              </m:r>
              <m:r>
                <m:t>r</m:t>
              </m:r>
              <m:r>
                <m:t>g</m:t>
              </m:r>
              <m:r>
                <m:t>i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где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p_(1)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и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p_(2)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являются первой и второй наибольшими вероятностями. Чем меньше разрыв между двумя наиболее вероятными классами, тем выше неопределённость.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Для ансамблевых моделей допускается мера дисперсии прогнозов: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e</m:t>
              </m:r>
              <m:r>
                <m:t>n</m:t>
              </m:r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p>
            <m:e>
              <m:r>
                <m:t>p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p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где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p^(b)(x)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прогнозом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b</w:t>
      </w:r>
      <w:r>
        <w:rPr>
          <w:rFonts w:ascii="Times New Roman" w:hAnsi="Times New Roman" w:eastAsia="Times New Roman"/>
        </w:rPr>
        <w:t xml:space="preserve">-го базового алгоритма, а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bar p(x)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средним прогнозом ансамбля.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Итоговая исходная неопределённость может задаваться как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M</m:t>
              </m:r>
            </m:sub>
            <m:sup>
              <m:r>
                <m:t>0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e</m:t>
              </m:r>
              <m:r>
                <m:t>n</m:t>
              </m:r>
              <m:r>
                <m:t>t</m:t>
              </m:r>
            </m:sub>
          </m:sSub>
          <m:sSub>
            <m:e>
              <m:r>
                <m:t>u</m:t>
              </m:r>
            </m:e>
            <m:sub>
              <m:r>
                <m:t>e</m:t>
              </m:r>
              <m:r>
                <m:t>n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m</m:t>
              </m:r>
              <m:r>
                <m:t>a</m:t>
              </m:r>
              <m:r>
                <m:t>r</m:t>
              </m:r>
              <m:r>
                <m:t>g</m:t>
              </m:r>
              <m:r>
                <m:t>i</m:t>
              </m:r>
              <m:r>
                <m:t>n</m:t>
              </m:r>
            </m:sub>
          </m:sSub>
          <m:sSub>
            <m:e>
              <m:r>
                <m:t>u</m:t>
              </m:r>
            </m:e>
            <m:sub>
              <m:r>
                <m:t>m</m:t>
              </m:r>
              <m:r>
                <m:t>a</m:t>
              </m:r>
              <m:r>
                <m:t>r</m:t>
              </m:r>
              <m:r>
                <m:t>g</m:t>
              </m:r>
              <m:r>
                <m:t>i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e</m:t>
              </m:r>
              <m:r>
                <m:t>n</m:t>
              </m:r>
              <m:r>
                <m:t>s</m:t>
              </m:r>
            </m:sub>
          </m:sSub>
          <m:sSub>
            <m:e>
              <m:r>
                <m:t>u</m:t>
              </m:r>
            </m:e>
            <m:sub>
              <m:r>
                <m:t>e</m:t>
              </m:r>
              <m:r>
                <m:t>n</m:t>
              </m:r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при условиях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m</m:t>
              </m:r>
              <m:r>
                <m:t>a</m:t>
              </m:r>
              <m:r>
                <m:t>r</m:t>
              </m:r>
              <m:r>
                <m:t>g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e</m:t>
              </m:r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В первой версии модуля должны быть реализованы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entropy_uncertainty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и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margin_uncertainty</w:t>
      </w:r>
      <w:r>
        <w:rPr>
          <w:rFonts w:ascii="Times New Roman" w:hAnsi="Times New Roman" w:eastAsia="Times New Roman"/>
        </w:rPr>
        <w:t xml:space="preserve">. Ансамблевая дисперсия добавляется как расширение.</w:t>
      </w:r>
    </w:p>
    <w:bookmarkEnd w:id="26"/>
    <w:bookmarkStart w:id="27" w:name="системный-оператор-как-наблюдатель"/>
    <w:p>
      <w:pPr>
        <w:pStyle w:val="Heading2"/>
      </w:pPr>
      <w:r>
        <w:rPr>
          <w:rFonts w:ascii="Times New Roman" w:hAnsi="Times New Roman" w:eastAsia="Times New Roman"/>
        </w:rPr>
        <w:t xml:space="preserve">4.4. Системный оператор как наблюдатель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Системный оператор строит объяснительный объект прогноза: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В базовом виде объект имеет структуру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t>L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Здесь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L_M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словарём термов,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mu_M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семейством функций принадлежности,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R_M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базой правил,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alpha_M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являются активациями правил,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u_M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агрегированной неопределённостью, а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tau_M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трассируемым следом.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В расширенной форме из главы 3 объект записывается так: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M</m:t>
              </m:r>
            </m:sub>
            <m:sup>
              <m:r>
                <m:t>e</m:t>
              </m:r>
              <m:r>
                <m:t>x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t>L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A</m:t>
              </m:r>
            </m:e>
            <m:sub>
              <m:r>
                <m:t>M</m:t>
              </m:r>
            </m:sub>
            <m:sup>
              <m:r>
                <m:rPr>
                  <m:sty m:val="p"/>
                  <m:scr m:val="script"/>
                </m:rPr>
                <m:t>F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Δ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Здесь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A_M^F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выбранным нечётким представлением неопределённости, а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Delta_M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потерей объяснительной информации при редукции.</w:t>
      </w:r>
    </w:p>
    <w:bookmarkEnd w:id="27"/>
    <w:bookmarkStart w:id="28" w:name="выбор-нечёткого-представления"/>
    <w:p>
      <w:pPr>
        <w:pStyle w:val="Heading2"/>
      </w:pPr>
      <w:r>
        <w:rPr>
          <w:rFonts w:ascii="Times New Roman" w:hAnsi="Times New Roman" w:eastAsia="Times New Roman"/>
        </w:rPr>
        <w:t xml:space="preserve">4.5. Выбор нечёткого представления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Выбор класса представления выполняется на основе профиля ситуации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i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t>u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  <m:r>
                    <m:t>i</m:t>
                  </m:r>
                  <m:r>
                    <m:t>m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u</m:t>
                  </m:r>
                  <m:r>
                    <m:t>s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t>u</m:t>
                  </m:r>
                  <m:r>
                    <m:t>l</m:t>
                  </m:r>
                  <m:r>
                    <m:t>t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u</m:t>
                  </m:r>
                  <m:r>
                    <m:t>l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Если профиль содержит только числовую и лингвистическую неопределённость, используется классическое представление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F0</w:t>
      </w:r>
      <w:r>
        <w:rPr>
          <w:rFonts w:ascii="Times New Roman" w:hAnsi="Times New Roman" w:eastAsia="Times New Roman"/>
        </w:rPr>
        <w:t xml:space="preserve">. Если присутствует интервальность, выбирается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IntervalFS</w:t>
      </w:r>
      <w:r>
        <w:rPr>
          <w:rFonts w:ascii="Times New Roman" w:hAnsi="Times New Roman" w:eastAsia="Times New Roman"/>
        </w:rPr>
        <w:t xml:space="preserve">. Если присутствует несколько экспертных оценок, выбирается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HesitantFS</w:t>
      </w:r>
      <w:r>
        <w:rPr>
          <w:rFonts w:ascii="Times New Roman" w:hAnsi="Times New Roman" w:eastAsia="Times New Roman"/>
        </w:rPr>
        <w:t xml:space="preserve">. Если присутствует конфликт источников, выбирается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NeutrosophicFS</w:t>
      </w:r>
      <w:r>
        <w:rPr>
          <w:rFonts w:ascii="Times New Roman" w:hAnsi="Times New Roman" w:eastAsia="Times New Roman"/>
        </w:rPr>
        <w:t xml:space="preserve">. Если несколько типов должны сохраняться одновременно, строится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MultiLevelFS</w:t>
      </w:r>
      <w:r>
        <w:rPr>
          <w:rFonts w:ascii="Times New Roman" w:hAnsi="Times New Roman" w:eastAsia="Times New Roman"/>
        </w:rPr>
        <w:t xml:space="preserve">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Парето-выбор минимально достаточного класса выполняется по критериям когнитивной сложности, вычислительной сложности и ожидаемой потери редукции: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r>
            <m:t>P</m:t>
          </m:r>
          <m:r>
            <m:t>a</m:t>
          </m:r>
          <m:r>
            <m:t>r</m:t>
          </m:r>
          <m:r>
            <m:t>e</m:t>
          </m:r>
          <m:r>
            <m:t>t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Δ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Если ни один класс не покрывает обязательный профиль, формируется диагностическое состояние выбора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D_choice</w:t>
      </w:r>
      <w:r>
        <w:rPr>
          <w:rFonts w:ascii="Times New Roman" w:hAnsi="Times New Roman" w:eastAsia="Times New Roman"/>
        </w:rPr>
        <w:t xml:space="preserve">.</w:t>
      </w:r>
    </w:p>
    <w:bookmarkEnd w:id="28"/>
    <w:bookmarkEnd w:id="29"/>
    <w:bookmarkStart w:id="35" w:name="риск-автоматического-применения-прогноза"/>
    <w:p>
      <w:pPr>
        <w:pStyle w:val="Heading1"/>
      </w:pPr>
      <w:r>
        <w:rPr>
          <w:rFonts w:ascii="Times New Roman" w:hAnsi="Times New Roman" w:eastAsia="Times New Roman"/>
        </w:rPr>
        <w:t xml:space="preserve">5. Риск автоматического применения прогноза</w:t>
      </w:r>
    </w:p>
    <w:bookmarkStart w:id="30" w:name="общая-функция-риска"/>
    <w:p>
      <w:pPr>
        <w:pStyle w:val="Heading2"/>
      </w:pPr>
      <w:r>
        <w:rPr>
          <w:rFonts w:ascii="Times New Roman" w:hAnsi="Times New Roman" w:eastAsia="Times New Roman"/>
        </w:rPr>
        <w:t xml:space="preserve">5.1. Общая функция риска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Риск автоматического применения прогноза задаётся функцией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В базовой реализации риск должен быть нормирован: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Предлагаемая формула: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sSub>
            <m:e>
              <m:r>
                <m:t>ρ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u</m:t>
              </m:r>
            </m:sub>
          </m:sSub>
          <m:sSub>
            <m:e>
              <m:r>
                <m:t>u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Δ</m:t>
              </m:r>
            </m:sub>
          </m:sSub>
          <m:sSub>
            <m:e>
              <m:r>
                <m:t>Δ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r>
            <m:rPr>
              <m:sty m:val="b"/>
            </m:rPr>
            <m:t>1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⌀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Условия нормировки весов: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Δ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Компонента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rho_p(x)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отражает собственный риск прогноза. Для медицинской бинарной задачи естественно положить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r</m:t>
              </m:r>
              <m:r>
                <m:t>i</m:t>
              </m:r>
              <m:r>
                <m:t>s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Если прогноз относится к высокому риску, даже уверенная модель должна проходить более строгий контур принятия решения. Если прогноз относится к низкому риску, но неопределённость высока, итоговый риск также может быть высоким.</w:t>
      </w:r>
    </w:p>
    <w:bookmarkEnd w:id="30"/>
    <w:bookmarkStart w:id="31" w:name="матрица-стоимости-ошибок"/>
    <w:p>
      <w:pPr>
        <w:pStyle w:val="Heading2"/>
      </w:pPr>
      <w:r>
        <w:rPr>
          <w:rFonts w:ascii="Times New Roman" w:hAnsi="Times New Roman" w:eastAsia="Times New Roman"/>
        </w:rPr>
        <w:t xml:space="preserve">5.2. Матрица стоимости ошибок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Для риск-ориентированной политики задаётся матрица стоимости ошибок: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где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C_ij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стоимостью решения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j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при истинном классе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i</w:t>
      </w:r>
      <w:r>
        <w:rPr>
          <w:rFonts w:ascii="Times New Roman" w:hAnsi="Times New Roman" w:eastAsia="Times New Roman"/>
        </w:rPr>
        <w:t xml:space="preserve">. В медицинских задачах обычно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C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так как ложное отрицание может быть опаснее ложного положительного решения.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Ожидаемая стоимость автоматического решения задаётся как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C</m:t>
              </m:r>
            </m:e>
            <m:sub>
              <m:r>
                <m:t>a</m:t>
              </m:r>
              <m:r>
                <m:t>u</m:t>
              </m:r>
              <m:r>
                <m:t>t</m:t>
              </m:r>
              <m:r>
                <m:t>o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sSub>
            <m:e>
              <m:r>
                <m:t>C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sSub>
            <m:e>
              <m:r>
                <m:t>C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Стоимость передачи эксперту задаётся отдельным параметром: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C</m:t>
              </m:r>
            </m:e>
            <m:sub>
              <m:r>
                <m:t>d</m:t>
              </m:r>
              <m:r>
                <m:t>e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d</m:t>
              </m:r>
              <m:r>
                <m:t>e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Политика выбирает действие с минимальной ожидаемой стоимостью: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E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bookmarkEnd w:id="31"/>
    <w:bookmarkStart w:id="32" w:name="множество-действий"/>
    <w:p>
      <w:pPr>
        <w:pStyle w:val="Heading2"/>
      </w:pPr>
      <w:r>
        <w:rPr>
          <w:rFonts w:ascii="Times New Roman" w:hAnsi="Times New Roman" w:eastAsia="Times New Roman"/>
        </w:rPr>
        <w:t xml:space="preserve">5.3. Множество действий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Множество допустимых действий: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t>c</m:t>
          </m:r>
          <m:r>
            <m:t>c</m:t>
          </m:r>
          <m:r>
            <m:t>e</m:t>
          </m:r>
          <m:r>
            <m:t>p</m:t>
          </m:r>
          <m:r>
            <m:t>t</m:t>
          </m:r>
          <m:r>
            <m:rPr>
              <m:sty m:val="p"/>
            </m:rPr>
            <m:t>,</m:t>
          </m:r>
          <m:r>
            <m:t>l</m:t>
          </m:r>
          <m:r>
            <m:t>o</m:t>
          </m:r>
          <m:r>
            <m:t>w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c</m:t>
          </m:r>
          <m:r>
            <m:t>o</m:t>
          </m:r>
          <m:r>
            <m:t>n</m:t>
          </m:r>
          <m:r>
            <m:t>f</m:t>
          </m:r>
          <m:r>
            <m:t>i</m:t>
          </m:r>
          <m:r>
            <m:t>d</m:t>
          </m:r>
          <m:r>
            <m:t>e</m:t>
          </m:r>
          <m:r>
            <m:t>n</m:t>
          </m:r>
          <m:r>
            <m:t>c</m:t>
          </m:r>
          <m:r>
            <m:t>e</m:t>
          </m:r>
          <m:r>
            <m:rPr>
              <m:sty m:val="p"/>
            </m:rPr>
            <m:t>,</m:t>
          </m:r>
          <m:r>
            <m:t>r</m:t>
          </m:r>
          <m:r>
            <m:t>e</m:t>
          </m:r>
          <m:r>
            <m:t>q</m:t>
          </m:r>
          <m:r>
            <m:t>u</m:t>
          </m:r>
          <m:r>
            <m:t>e</m:t>
          </m:r>
          <m:r>
            <m:t>s</m:t>
          </m:r>
          <m:r>
            <m:t>t</m:t>
          </m:r>
          <m:r>
            <m:rPr>
              <m:sty m:val="p"/>
            </m:rPr>
            <m:t>_</m:t>
          </m:r>
          <m:r>
            <m:t>m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_</m:t>
          </m:r>
          <m:r>
            <m:t>d</m:t>
          </m:r>
          <m:r>
            <m:t>a</m:t>
          </m:r>
          <m:r>
            <m:t>t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t>e</m:t>
          </m:r>
          <m:r>
            <m:t>f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t</m:t>
          </m:r>
          <m:r>
            <m:t>o</m:t>
          </m:r>
          <m:r>
            <m:rPr>
              <m:sty m:val="p"/>
            </m:rPr>
            <m:t>_</m:t>
          </m:r>
          <m:r>
            <m:t>h</m:t>
          </m:r>
          <m:r>
            <m:t>u</m:t>
          </m:r>
          <m:r>
            <m:t>m</m:t>
          </m:r>
          <m:r>
            <m:t>a</m:t>
          </m:r>
          <m:r>
            <m:t>n</m:t>
          </m:r>
          <m:r>
            <m:rPr>
              <m:sty m:val="p"/>
            </m:rPr>
            <m:t>,</m:t>
          </m:r>
          <m:r>
            <m:t>b</m:t>
          </m:r>
          <m:r>
            <m:t>l</m:t>
          </m:r>
          <m:r>
            <m:t>o</m:t>
          </m:r>
          <m:r>
            <m:t>c</m:t>
          </m:r>
          <m:r>
            <m:t>k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Действие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accept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означает автоматическое принятие прогноза. Действие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lower_confidence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означает сохранение класса при понижении уверенности. Действие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request_more_data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означает запрос дополнительной информации. Действие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defer_to_human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означает передачу случая эксперту. Действие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block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означает запрет автоматического решения.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Правило выбора действия задаётся политикой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E</m:t>
                  </m:r>
                </m:e>
                <m:sub>
                  <m:r>
                    <m:t>M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Базовая пороговая политика: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b</m:t>
                    </m:r>
                    <m:r>
                      <m:t>l</m:t>
                    </m:r>
                    <m:r>
                      <m:t>o</m:t>
                    </m:r>
                    <m:r>
                      <m:t>c</m:t>
                    </m:r>
                    <m:r>
                      <m:t>k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d</m:t>
                    </m:r>
                    <m:r>
                      <m:t>e</m:t>
                    </m:r>
                    <m:r>
                      <m:t>f</m:t>
                    </m:r>
                    <m:r>
                      <m:t>e</m:t>
                    </m:r>
                    <m:r>
                      <m:t>r</m:t>
                    </m:r>
                    <m:r>
                      <m:rPr>
                        <m:sty m:val="p"/>
                      </m:rPr>
                      <m:t>_</m:t>
                    </m:r>
                    <m:r>
                      <m:t>t</m:t>
                    </m:r>
                    <m:r>
                      <m:t>o</m:t>
                    </m:r>
                    <m:r>
                      <m:rPr>
                        <m:sty m:val="p"/>
                      </m:rPr>
                      <m:t>_</m:t>
                    </m:r>
                    <m:r>
                      <m:t>h</m:t>
                    </m:r>
                    <m:r>
                      <m:t>u</m:t>
                    </m:r>
                    <m:r>
                      <m:t>m</m:t>
                    </m:r>
                    <m:r>
                      <m:t>a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ρ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h</m:t>
                        </m:r>
                        <m:r>
                          <m:t>i</m:t>
                        </m:r>
                        <m:r>
                          <m:t>g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r>
                      <m:t>e</m:t>
                    </m:r>
                    <m:r>
                      <m:t>q</m:t>
                    </m:r>
                    <m:r>
                      <m:t>u</m:t>
                    </m:r>
                    <m:r>
                      <m:t>e</m:t>
                    </m:r>
                    <m:r>
                      <m:t>s</m:t>
                    </m:r>
                    <m:r>
                      <m:t>t</m:t>
                    </m:r>
                    <m:r>
                      <m:rPr>
                        <m:sty m:val="p"/>
                      </m:rPr>
                      <m:t>_</m:t>
                    </m:r>
                    <m:r>
                      <m:t>m</m:t>
                    </m:r>
                    <m:r>
                      <m:t>o</m:t>
                    </m:r>
                    <m:r>
                      <m:t>r</m:t>
                    </m:r>
                    <m:r>
                      <m:t>e</m:t>
                    </m:r>
                    <m:r>
                      <m:rPr>
                        <m:sty m:val="p"/>
                      </m:rPr>
                      <m:t>_</m:t>
                    </m:r>
                    <m:r>
                      <m:t>d</m:t>
                    </m:r>
                    <m:r>
                      <m:t>a</m:t>
                    </m:r>
                    <m:r>
                      <m:t>t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ρ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h</m:t>
                        </m:r>
                        <m:r>
                          <m:t>i</m:t>
                        </m:r>
                        <m:r>
                          <m:t>g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a</m:t>
                    </m:r>
                    <m:r>
                      <m:t>c</m:t>
                    </m:r>
                    <m:r>
                      <m:t>c</m:t>
                    </m:r>
                    <m:r>
                      <m:t>e</m:t>
                    </m:r>
                    <m:r>
                      <m:t>p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ρ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Пороги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theta_mid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и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theta_high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хранятся в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ExplainPlan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и могут калиброваться на валидационной выборке.</w:t>
      </w:r>
    </w:p>
    <w:bookmarkEnd w:id="32"/>
    <w:bookmarkStart w:id="33" w:name="коррекция-уверенности"/>
    <w:p>
      <w:pPr>
        <w:pStyle w:val="Heading2"/>
      </w:pPr>
      <w:r>
        <w:rPr>
          <w:rFonts w:ascii="Times New Roman" w:hAnsi="Times New Roman" w:eastAsia="Times New Roman"/>
        </w:rPr>
        <w:t xml:space="preserve">5.4. Коррекция уверенности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Базовая уверенность определяется через неопределённость: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Скорректированная уверенность задаётся формулой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sSub>
            <m:e>
              <m:r>
                <m:t>f</m:t>
              </m:r>
            </m:e>
            <m:sub>
              <m:r>
                <m:t>c</m:t>
              </m:r>
              <m:r>
                <m:t>o</m:t>
              </m:r>
              <m:r>
                <m:t>r</m:t>
              </m:r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n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Если нужно учитывать интерпретируемость и потерю редукции, используется расширенная формула: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sSub>
            <m:e>
              <m:r>
                <m:t>f</m:t>
              </m:r>
            </m:e>
            <m:sub>
              <m:r>
                <m:t>c</m:t>
              </m:r>
              <m:r>
                <m:t>o</m:t>
              </m:r>
              <m:r>
                <m:t>r</m:t>
              </m:r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n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M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M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⌀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При наличии диагностического состояния автоматическое решение должно блокироваться либо передаваться эксперту.</w:t>
      </w:r>
    </w:p>
    <w:bookmarkEnd w:id="33"/>
    <w:bookmarkStart w:id="34" w:name="коррекция-вероятностного-распределения"/>
    <w:p>
      <w:pPr>
        <w:pStyle w:val="Heading2"/>
      </w:pPr>
      <w:r>
        <w:rPr>
          <w:rFonts w:ascii="Times New Roman" w:hAnsi="Times New Roman" w:eastAsia="Times New Roman"/>
        </w:rPr>
        <w:t xml:space="preserve">5.5. Коррекция вероятностного распределения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Если требуется корректировать вероятностный вектор, используется температурное сглаживание: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c</m:t>
              </m:r>
              <m:r>
                <m:t>o</m:t>
              </m:r>
              <m:r>
                <m:t>r</m:t>
              </m:r>
              <m:r>
                <m:t>r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T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sup>
                  </m:sSubSup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Температура зависит от риска: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При росте риска температура возрастает, распределение становится более плоским, а уверенность модели снижается. На первом этапе эта коррекция должна быть опциональной. Основной режим разработки должен корректировать не класс, а действие.</w:t>
      </w:r>
    </w:p>
    <w:bookmarkEnd w:id="34"/>
    <w:bookmarkEnd w:id="35"/>
    <w:bookmarkStart w:id="38" w:name="композиция-модели-риск-модуля-и-решения"/>
    <w:p>
      <w:pPr>
        <w:pStyle w:val="Heading1"/>
      </w:pPr>
      <w:r>
        <w:rPr>
          <w:rFonts w:ascii="Times New Roman" w:hAnsi="Times New Roman" w:eastAsia="Times New Roman"/>
        </w:rPr>
        <w:t xml:space="preserve">6. Композиция модели, риск-модуля и решения</w:t>
      </w:r>
    </w:p>
    <w:bookmarkStart w:id="36" w:name="объяснение-риск-модуля"/>
    <w:p>
      <w:pPr>
        <w:pStyle w:val="Heading2"/>
      </w:pPr>
      <w:r>
        <w:rPr>
          <w:rFonts w:ascii="Times New Roman" w:hAnsi="Times New Roman" w:eastAsia="Times New Roman"/>
        </w:rPr>
        <w:t xml:space="preserve">6.1. Объяснение риск-модуля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Риск-модуль должен формировать собственный объяснительный объект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t>L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A</m:t>
              </m:r>
            </m:e>
            <m:sub>
              <m:r>
                <m:t>R</m:t>
              </m:r>
            </m:sub>
            <m:sup>
              <m:r>
                <m:rPr>
                  <m:sty m:val="p"/>
                  <m:scr m:val="script"/>
                </m:rPr>
                <m:t>F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Δ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Словарь риск-модуля включает термы: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low_risk, medium_risk, high_risk,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low_uncertainty, medium_uncertainty, high_uncertainty,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accept, request_more_data, defer_to_human, block.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Примеры правил: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IF predicted_risk high AND uncertainty high THEN defer_to_human.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IF diagnostic_state true THEN block.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IF predicted_risk medium AND interpretability low THEN request_more_data.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IF predicted_risk low AND uncertainty low AND interpretability high THEN accept.</w:t>
      </w:r>
    </w:p>
    <w:bookmarkEnd w:id="36"/>
    <w:bookmarkStart w:id="37" w:name="итоговая-композиция"/>
    <w:p>
      <w:pPr>
        <w:pStyle w:val="Heading2"/>
      </w:pPr>
      <w:r>
        <w:rPr>
          <w:rFonts w:ascii="Times New Roman" w:hAnsi="Times New Roman" w:eastAsia="Times New Roman"/>
        </w:rPr>
        <w:t xml:space="preserve">6.2. Итоговая композиция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Итоговое объяснение системы строится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E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где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E_M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объяснением базовой модели,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E_R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объяснением риск-модуля, а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E_D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является объяснением итогового действия.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Если компоненты согласованы, вычисляется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Если согласование невозможно, формируется диагностическое состояние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M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c</m:t>
          </m:r>
          <m:r>
            <m:t>o</m:t>
          </m:r>
          <m:r>
            <m:t>m</m:t>
          </m:r>
          <m:r>
            <m:t>p</m:t>
          </m:r>
          <m:r>
            <m:t>o</m:t>
          </m:r>
          <m:r>
            <m:t>n</m:t>
          </m:r>
          <m:r>
            <m:t>e</m:t>
          </m:r>
          <m:r>
            <m:t>n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c</m:t>
          </m:r>
          <m:r>
            <m:t>o</m:t>
          </m:r>
          <m:r>
            <m:t>m</m:t>
          </m:r>
          <m:r>
            <m:t>p</m:t>
          </m:r>
          <m:r>
            <m:t>o</m:t>
          </m:r>
          <m:r>
            <m:t>n</m:t>
          </m:r>
          <m:r>
            <m:t>e</m:t>
          </m:r>
          <m:r>
            <m:t>n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r</m:t>
          </m:r>
          <m:r>
            <m:t>e</m:t>
          </m:r>
          <m:r>
            <m:t>a</m:t>
          </m:r>
          <m:r>
            <m:t>s</m:t>
          </m:r>
          <m:r>
            <m:t>o</m:t>
          </m:r>
          <m:r>
            <m:t>n</m:t>
          </m:r>
          <m:r>
            <m:rPr>
              <m:sty m:val="p"/>
            </m:rPr>
            <m:t>,</m:t>
          </m:r>
          <m:r>
            <m:t>s</m:t>
          </m:r>
          <m:r>
            <m:t>e</m:t>
          </m:r>
          <m:r>
            <m:t>v</m:t>
          </m:r>
          <m:r>
            <m:t>e</m:t>
          </m:r>
          <m:r>
            <m:t>r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Причины диагностического состояния: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term_mismatch,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rule_conflict,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trace_missing,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unsupported_uncertainty_type,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risk_policy_violation.</w:t>
      </w:r>
    </w:p>
    <w:bookmarkEnd w:id="37"/>
    <w:bookmarkEnd w:id="38"/>
    <w:bookmarkStart w:id="42" w:name="метрики-оценки-наблюдателя"/>
    <w:p>
      <w:pPr>
        <w:pStyle w:val="Heading1"/>
      </w:pPr>
      <w:r>
        <w:rPr>
          <w:rFonts w:ascii="Times New Roman" w:hAnsi="Times New Roman" w:eastAsia="Times New Roman"/>
        </w:rPr>
        <w:t xml:space="preserve">7. Метрики оценки наблюдателя</w:t>
      </w:r>
    </w:p>
    <w:bookmarkStart w:id="39" w:name="точность-и-покрытие"/>
    <w:p>
      <w:pPr>
        <w:pStyle w:val="Heading2"/>
      </w:pPr>
      <w:r>
        <w:rPr>
          <w:rFonts w:ascii="Times New Roman" w:hAnsi="Times New Roman" w:eastAsia="Times New Roman"/>
        </w:rPr>
        <w:t xml:space="preserve">7.1. Точность и покрытие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Точность исходной модели: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c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b"/>
                </m:rPr>
                <m:t>1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Покрытие автоматического режима: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v</m:t>
          </m:r>
          <m:r>
            <m:t>e</m:t>
          </m:r>
          <m:r>
            <m:t>r</m:t>
          </m:r>
          <m:r>
            <m:t>a</m:t>
          </m:r>
          <m:r>
            <m:t>g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c</m:t>
                  </m:r>
                  <m:r>
                    <m:t>e</m:t>
                  </m:r>
                  <m:r>
                    <m:t>p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Точность среди автоматически принятых решений: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c</m:t>
          </m:r>
          <m:sSub>
            <m:e>
              <m:r>
                <m:t>c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  <m:r>
                <m:t>e</m:t>
              </m:r>
              <m:r>
                <m:t>p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c</m:t>
                  </m:r>
                  <m:r>
                    <m:t>e</m:t>
                  </m:r>
                  <m:r>
                    <m:t>p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t>c</m:t>
              </m:r>
              <m:r>
                <m:t>e</m:t>
              </m:r>
              <m:r>
                <m:t>p</m:t>
              </m:r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b"/>
                </m:rPr>
                <m:t>1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Доля переданных эксперту случаев: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f</m:t>
          </m:r>
          <m:r>
            <m:t>e</m:t>
          </m:r>
          <m:r>
            <m:t>r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Доля заблокированных случаев: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l</m:t>
          </m:r>
          <m:r>
            <m:t>o</m:t>
          </m:r>
          <m:r>
            <m:t>c</m:t>
          </m:r>
          <m:r>
            <m:t>k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  <m:r>
                    <m:t>l</m:t>
                  </m:r>
                  <m:r>
                    <m:t>o</m:t>
                  </m:r>
                  <m:r>
                    <m:t>c</m:t>
                  </m:r>
                  <m:r>
                    <m:t>k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ожидаемая-стоимость"/>
    <w:p>
      <w:pPr>
        <w:pStyle w:val="Heading2"/>
      </w:pPr>
      <w:r>
        <w:rPr>
          <w:rFonts w:ascii="Times New Roman" w:hAnsi="Times New Roman" w:eastAsia="Times New Roman"/>
        </w:rPr>
        <w:t xml:space="preserve">7.2. Ожидаемая стоимость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Стоимость без наблюдателя: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s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Стоимость с наблюдателем: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s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b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t>c</m:t>
                  </m:r>
                  <m:r>
                    <m:t>c</m:t>
                  </m:r>
                  <m:r>
                    <m:t>e</m:t>
                  </m:r>
                  <m:r>
                    <m:t>p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C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d</m:t>
                  </m:r>
                  <m:r>
                    <m:t>e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d</m:t>
                      </m:r>
                      <m:r>
                        <m:t>e</m:t>
                      </m:r>
                      <m:r>
                        <m:t>f</m:t>
                      </m:r>
                      <m:r>
                        <m:t>e</m:t>
                      </m:r>
                      <m:r>
                        <m:t>r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  <m:r>
                    <m:t>e</m:t>
                  </m:r>
                  <m:r>
                    <m:t>q</m:t>
                  </m:r>
                  <m:r>
                    <m:t>u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q</m:t>
                      </m:r>
                      <m:r>
                        <m:t>u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b</m:t>
                  </m:r>
                  <m:r>
                    <m:t>l</m:t>
                  </m:r>
                  <m:r>
                    <m:t>o</m:t>
                  </m:r>
                  <m:r>
                    <m:t>c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b</m:t>
                      </m:r>
                      <m:r>
                        <m:t>l</m:t>
                      </m:r>
                      <m:r>
                        <m:t>o</m:t>
                      </m:r>
                      <m:r>
                        <m:t>c</m:t>
                      </m:r>
                      <m:r>
                        <m:t>k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Снижение риска: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i</m:t>
          </m:r>
          <m:r>
            <m:t>s</m:t>
          </m:r>
          <m:r>
            <m:t>k</m:t>
          </m:r>
          <m:r>
            <m:t>R</m:t>
          </m:r>
          <m:r>
            <m:t>e</m:t>
          </m:r>
          <m:r>
            <m:t>d</m:t>
          </m:r>
          <m:r>
            <m:t>u</m:t>
          </m:r>
          <m:r>
            <m:t>c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o</m:t>
              </m:r>
              <m:r>
                <m:t>s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r>
                <m:t>o</m:t>
              </m:r>
              <m:r>
                <m:t>s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</m:num>
            <m:den>
              <m:r>
                <m:t>C</m:t>
              </m:r>
              <m:r>
                <m:t>o</m:t>
              </m:r>
              <m:r>
                <m:t>s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Положительное значение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RiskReduction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означает, что наблюдатель снижает ожидаемую стоимость решений при заданной политике.</w:t>
      </w:r>
    </w:p>
    <w:bookmarkEnd w:id="40"/>
    <w:bookmarkStart w:id="41" w:name="метрики-объяснимости-и-диагностики"/>
    <w:p>
      <w:pPr>
        <w:pStyle w:val="Heading2"/>
      </w:pPr>
      <w:r>
        <w:rPr>
          <w:rFonts w:ascii="Times New Roman" w:hAnsi="Times New Roman" w:eastAsia="Times New Roman"/>
        </w:rPr>
        <w:t xml:space="preserve">7.3. Метрики объяснимости и диагностики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Средний индекс интерпретируемости: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I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Средняя неопределённость: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u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u</m:t>
                  </m:r>
                </m:e>
                <m:sub>
                  <m:r>
                    <m:t>M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Средняя потеря редукции: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Δ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Δ</m:t>
                  </m:r>
                </m:e>
                <m:sub>
                  <m:r>
                    <m:t>M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Доля диагностических состояний: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t>a</m:t>
          </m:r>
          <m:r>
            <m:t>g</m:t>
          </m:r>
          <m:r>
            <m:t>n</m:t>
          </m:r>
          <m:r>
            <m:t>o</m:t>
          </m:r>
          <m:r>
            <m:t>s</m:t>
          </m:r>
          <m:r>
            <m:t>t</m:t>
          </m:r>
          <m:r>
            <m:t>i</m:t>
          </m:r>
          <m:r>
            <m:t>c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Доля обнаруженных искусственно внесённых конфликтов: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r>
            <m:t>f</m:t>
          </m:r>
          <m:r>
            <m:t>l</m:t>
          </m:r>
          <m:r>
            <m:t>i</m:t>
          </m:r>
          <m:r>
            <m:t>c</m:t>
          </m:r>
          <m:r>
            <m:t>t</m:t>
          </m:r>
          <m:r>
            <m:t>D</m:t>
          </m:r>
          <m:r>
            <m:t>e</m:t>
          </m:r>
          <m:r>
            <m:t>t</m:t>
          </m:r>
          <m:r>
            <m:t>e</m:t>
          </m:r>
          <m:r>
            <m:t>c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  <m:r>
                    <m:t> 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f</m:t>
                  </m:r>
                  <m:r>
                    <m:t>l</m:t>
                  </m:r>
                  <m:r>
                    <m:t>i</m:t>
                  </m:r>
                  <m:r>
                    <m:t>c</m:t>
                  </m:r>
                  <m:r>
                    <m:t>t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j</m:t>
                  </m:r>
                  <m:r>
                    <m:t>e</m:t>
                  </m:r>
                  <m:r>
                    <m:t>c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  <m:r>
                    <m:t> 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f</m:t>
                  </m:r>
                  <m:r>
                    <m:t>l</m:t>
                  </m:r>
                  <m:r>
                    <m:t>i</m:t>
                  </m:r>
                  <m:r>
                    <m:t>c</m:t>
                  </m:r>
                  <m:r>
                    <m:t>t</m:t>
                  </m:r>
                  <m:r>
                    <m:t>s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1"/>
    <w:bookmarkEnd w:id="42"/>
    <w:bookmarkStart w:id="50" w:name="требования-к-программной-реализации"/>
    <w:p>
      <w:pPr>
        <w:pStyle w:val="Heading1"/>
      </w:pPr>
      <w:r>
        <w:rPr>
          <w:rFonts w:ascii="Times New Roman" w:hAnsi="Times New Roman" w:eastAsia="Times New Roman"/>
        </w:rPr>
        <w:t xml:space="preserve">8. Требования к программной реализации</w:t>
      </w:r>
    </w:p>
    <w:bookmarkStart w:id="43" w:name="новый-пакет-fuzzyxai.risk"/>
    <w:p>
      <w:pPr>
        <w:pStyle w:val="Heading2"/>
      </w:pPr>
      <w:r>
        <w:rPr>
          <w:rFonts w:ascii="Times New Roman" w:hAnsi="Times New Roman" w:eastAsia="Times New Roman"/>
        </w:rPr>
        <w:t xml:space="preserve">8.1. Новый пакет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fuzzyxai.risk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В проект необходимо добавить пакет: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fuzzyxai/risk/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__init__.py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uncertainty.py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decision_policy.py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risk_rules.py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risk_aware_model.py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feedback.py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metrics.py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calibration.py</w:t>
      </w:r>
    </w:p>
    <w:bookmarkEnd w:id="43"/>
    <w:bookmarkStart w:id="44" w:name="модуль-uncertainty.py"/>
    <w:p>
      <w:pPr>
        <w:pStyle w:val="Heading2"/>
      </w:pPr>
      <w:r>
        <w:rPr>
          <w:rFonts w:ascii="Times New Roman" w:hAnsi="Times New Roman" w:eastAsia="Times New Roman"/>
        </w:rPr>
        <w:t xml:space="preserve">8.2. Модуль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uncertainty.py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Назначение: вычисление модельной неопределённости.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Функции:</w:t>
      </w:r>
    </w:p>
    <w:p>
      <w:pPr>
        <w:pStyle w:val="SourceCode"/>
      </w:pPr>
      <w:r>
        <w:rPr>
          <w:rStyle w:val="NormalTok"/>
          <w:rFonts w:ascii="Times New Roman" w:hAnsi="Times New Roman" w:eastAsia="Times New Roman"/>
        </w:rPr>
        <w:t xml:space="preserve">entropy_uncertainty(proba, eps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FloatTok"/>
          <w:rFonts w:ascii="Times New Roman" w:hAnsi="Times New Roman" w:eastAsia="Times New Roman"/>
        </w:rPr>
        <w:t xml:space="preserve">1e-12</w:t>
      </w:r>
      <w:r>
        <w:rPr>
          <w:rStyle w:val="NormalTok"/>
          <w:rFonts w:ascii="Times New Roman" w:hAnsi="Times New Roman" w:eastAsia="Times New Roman"/>
        </w:rPr>
        <w:t xml:space="preserve">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margin_uncertainty(proba)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confidence_from_uncertainty(u)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ensemble_variance(probas)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Требования: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- принимать массив вероятностей формы (n_samples, n_classes);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- возвращать значения в диапазоне [0, 1];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- устойчиво работать при нулевых вероятностях;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- иметь тесты для равномерного и почти вырожденного распределения.</w:t>
      </w:r>
    </w:p>
    <w:bookmarkEnd w:id="44"/>
    <w:bookmarkStart w:id="45" w:name="модуль-decision_policy.py"/>
    <w:p>
      <w:pPr>
        <w:pStyle w:val="Heading2"/>
      </w:pPr>
      <w:r>
        <w:rPr>
          <w:rFonts w:ascii="Times New Roman" w:hAnsi="Times New Roman" w:eastAsia="Times New Roman"/>
        </w:rPr>
        <w:t xml:space="preserve">8.3. Модуль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decision_policy.py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Назначение: выбор безопасного действия.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Классы:</w:t>
      </w:r>
    </w:p>
    <w:p>
      <w:pPr>
        <w:pStyle w:val="SourceCode"/>
      </w:pPr>
      <w:r>
        <w:rPr>
          <w:rStyle w:val="KeywordTok"/>
          <w:rFonts w:ascii="Times New Roman" w:hAnsi="Times New Roman" w:eastAsia="Times New Roman"/>
        </w:rPr>
        <w:t xml:space="preserve">class</w:t>
      </w:r>
      <w:r>
        <w:rPr>
          <w:rStyle w:val="NormalTok"/>
          <w:rFonts w:ascii="Times New Roman" w:hAnsi="Times New Roman" w:eastAsia="Times New Roman"/>
        </w:rPr>
        <w:t xml:space="preserve"> RiskAction(Enum):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ACCEPT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StringTok"/>
          <w:rFonts w:ascii="Times New Roman" w:hAnsi="Times New Roman" w:eastAsia="Times New Roman"/>
        </w:rPr>
        <w:t xml:space="preserve">"accept"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LOWER_CONFIDENCE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StringTok"/>
          <w:rFonts w:ascii="Times New Roman" w:hAnsi="Times New Roman" w:eastAsia="Times New Roman"/>
        </w:rPr>
        <w:t xml:space="preserve">"lower_confidence"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REQUEST_MORE_DATA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StringTok"/>
          <w:rFonts w:ascii="Times New Roman" w:hAnsi="Times New Roman" w:eastAsia="Times New Roman"/>
        </w:rPr>
        <w:t xml:space="preserve">"request_more_data"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DEFER_TO_HUMAN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StringTok"/>
          <w:rFonts w:ascii="Times New Roman" w:hAnsi="Times New Roman" w:eastAsia="Times New Roman"/>
        </w:rPr>
        <w:t xml:space="preserve">"defer_to_human"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BLOCK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StringTok"/>
          <w:rFonts w:ascii="Times New Roman" w:hAnsi="Times New Roman" w:eastAsia="Times New Roman"/>
        </w:rPr>
        <w:t xml:space="preserve">"block"</w:t>
      </w:r>
    </w:p>
    <w:p>
      <w:pPr>
        <w:pStyle w:val="SourceCode"/>
      </w:pPr>
      <w:r>
        <w:rPr>
          <w:rStyle w:val="AttributeTok"/>
          <w:rFonts w:ascii="Times New Roman" w:hAnsi="Times New Roman" w:eastAsia="Times New Roman"/>
        </w:rPr>
        <w:t xml:space="preserve">@dataclass</w:t>
      </w:r>
      <w:r>
        <w:rPr>
          <w:rFonts w:ascii="Times New Roman" w:hAnsi="Times New Roman" w:eastAsia="Times New Roman"/>
        </w:rPr>
        <w:br/>
      </w:r>
      <w:r>
        <w:rPr>
          <w:rStyle w:val="KeywordTok"/>
          <w:rFonts w:ascii="Times New Roman" w:hAnsi="Times New Roman" w:eastAsia="Times New Roman"/>
        </w:rPr>
        <w:t xml:space="preserve">class</w:t>
      </w:r>
      <w:r>
        <w:rPr>
          <w:rStyle w:val="NormalTok"/>
          <w:rFonts w:ascii="Times New Roman" w:hAnsi="Times New Roman" w:eastAsia="Times New Roman"/>
        </w:rPr>
        <w:t xml:space="preserve"> RiskDecision: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action: RiskAction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risk_score: </w:t>
      </w:r>
      <w:r>
        <w:rPr>
          <w:rStyle w:val="BuiltInTok"/>
          <w:rFonts w:ascii="Times New Roman" w:hAnsi="Times New Roman" w:eastAsia="Times New Roman"/>
        </w:rPr>
        <w:t xml:space="preserve">float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corrected_confidence: </w:t>
      </w:r>
      <w:r>
        <w:rPr>
          <w:rStyle w:val="BuiltInTok"/>
          <w:rFonts w:ascii="Times New Roman" w:hAnsi="Times New Roman" w:eastAsia="Times New Roman"/>
        </w:rPr>
        <w:t xml:space="preserve">float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reason: </w:t>
      </w:r>
      <w:r>
        <w:rPr>
          <w:rStyle w:val="BuiltInTok"/>
          <w:rFonts w:ascii="Times New Roman" w:hAnsi="Times New Roman" w:eastAsia="Times New Roman"/>
        </w:rPr>
        <w:t xml:space="preserve">str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diagnostics: </w:t>
      </w:r>
      <w:r>
        <w:rPr>
          <w:rStyle w:val="BuiltInTok"/>
          <w:rFonts w:ascii="Times New Roman" w:hAnsi="Times New Roman" w:eastAsia="Times New Roman"/>
        </w:rPr>
        <w:t xml:space="preserve">list</w:t>
      </w:r>
    </w:p>
    <w:p>
      <w:pPr>
        <w:pStyle w:val="SourceCode"/>
      </w:pPr>
      <w:r>
        <w:rPr>
          <w:rStyle w:val="AttributeTok"/>
          <w:rFonts w:ascii="Times New Roman" w:hAnsi="Times New Roman" w:eastAsia="Times New Roman"/>
        </w:rPr>
        <w:t xml:space="preserve">@dataclass</w:t>
      </w:r>
      <w:r>
        <w:rPr>
          <w:rFonts w:ascii="Times New Roman" w:hAnsi="Times New Roman" w:eastAsia="Times New Roman"/>
        </w:rPr>
        <w:br/>
      </w:r>
      <w:r>
        <w:rPr>
          <w:rStyle w:val="KeywordTok"/>
          <w:rFonts w:ascii="Times New Roman" w:hAnsi="Times New Roman" w:eastAsia="Times New Roman"/>
        </w:rPr>
        <w:t xml:space="preserve">class</w:t>
      </w:r>
      <w:r>
        <w:rPr>
          <w:rStyle w:val="NormalTok"/>
          <w:rFonts w:ascii="Times New Roman" w:hAnsi="Times New Roman" w:eastAsia="Times New Roman"/>
        </w:rPr>
        <w:t xml:space="preserve"> RiskPolicy: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theta_mid: </w:t>
      </w:r>
      <w:r>
        <w:rPr>
          <w:rStyle w:val="BuiltInTok"/>
          <w:rFonts w:ascii="Times New Roman" w:hAnsi="Times New Roman" w:eastAsia="Times New Roman"/>
        </w:rPr>
        <w:t xml:space="preserve">float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FloatTok"/>
          <w:rFonts w:ascii="Times New Roman" w:hAnsi="Times New Roman" w:eastAsia="Times New Roman"/>
        </w:rPr>
        <w:t xml:space="preserve">0.35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theta_high: </w:t>
      </w:r>
      <w:r>
        <w:rPr>
          <w:rStyle w:val="BuiltInTok"/>
          <w:rFonts w:ascii="Times New Roman" w:hAnsi="Times New Roman" w:eastAsia="Times New Roman"/>
        </w:rPr>
        <w:t xml:space="preserve">float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FloatTok"/>
          <w:rFonts w:ascii="Times New Roman" w:hAnsi="Times New Roman" w:eastAsia="Times New Roman"/>
        </w:rPr>
        <w:t xml:space="preserve">0.65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block_on_diagnostic: </w:t>
      </w:r>
      <w:r>
        <w:rPr>
          <w:rStyle w:val="BuiltInTok"/>
          <w:rFonts w:ascii="Times New Roman" w:hAnsi="Times New Roman" w:eastAsia="Times New Roman"/>
        </w:rPr>
        <w:t xml:space="preserve">bool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VariableTok"/>
          <w:rFonts w:ascii="Times New Roman" w:hAnsi="Times New Roman" w:eastAsia="Times New Roman"/>
        </w:rPr>
        <w:t xml:space="preserve">True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Метод:</w:t>
      </w:r>
    </w:p>
    <w:p>
      <w:pPr>
        <w:pStyle w:val="SourceCode"/>
      </w:pPr>
      <w:r>
        <w:rPr>
          <w:rStyle w:val="KeywordTok"/>
          <w:rFonts w:ascii="Times New Roman" w:hAnsi="Times New Roman" w:eastAsia="Times New Roman"/>
        </w:rPr>
        <w:t xml:space="preserve">def</w:t>
      </w:r>
      <w:r>
        <w:rPr>
          <w:rStyle w:val="NormalTok"/>
          <w:rFonts w:ascii="Times New Roman" w:hAnsi="Times New Roman" w:eastAsia="Times New Roman"/>
        </w:rPr>
        <w:t xml:space="preserve"> choose(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VariableTok"/>
          <w:rFonts w:ascii="Times New Roman" w:hAnsi="Times New Roman" w:eastAsia="Times New Roman"/>
        </w:rPr>
        <w:t xml:space="preserve">self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predicted_risk: </w:t>
      </w:r>
      <w:r>
        <w:rPr>
          <w:rStyle w:val="BuiltInTok"/>
          <w:rFonts w:ascii="Times New Roman" w:hAnsi="Times New Roman" w:eastAsia="Times New Roman"/>
        </w:rPr>
        <w:t xml:space="preserve">float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uncertainty: </w:t>
      </w:r>
      <w:r>
        <w:rPr>
          <w:rStyle w:val="BuiltInTok"/>
          <w:rFonts w:ascii="Times New Roman" w:hAnsi="Times New Roman" w:eastAsia="Times New Roman"/>
        </w:rPr>
        <w:t xml:space="preserve">float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interpretability: </w:t>
      </w:r>
      <w:r>
        <w:rPr>
          <w:rStyle w:val="BuiltInTok"/>
          <w:rFonts w:ascii="Times New Roman" w:hAnsi="Times New Roman" w:eastAsia="Times New Roman"/>
        </w:rPr>
        <w:t xml:space="preserve">float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reduction_loss: </w:t>
      </w:r>
      <w:r>
        <w:rPr>
          <w:rStyle w:val="BuiltInTok"/>
          <w:rFonts w:ascii="Times New Roman" w:hAnsi="Times New Roman" w:eastAsia="Times New Roman"/>
        </w:rPr>
        <w:t xml:space="preserve">float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diagnostics: </w:t>
      </w:r>
      <w:r>
        <w:rPr>
          <w:rStyle w:val="BuiltInTok"/>
          <w:rFonts w:ascii="Times New Roman" w:hAnsi="Times New Roman" w:eastAsia="Times New Roman"/>
        </w:rPr>
        <w:t xml:space="preserve">list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|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VariableTok"/>
          <w:rFonts w:ascii="Times New Roman" w:hAnsi="Times New Roman" w:eastAsia="Times New Roman"/>
        </w:rPr>
        <w:t xml:space="preserve">None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VariableTok"/>
          <w:rFonts w:ascii="Times New Roman" w:hAnsi="Times New Roman" w:eastAsia="Times New Roman"/>
        </w:rPr>
        <w:t xml:space="preserve">None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) </w:t>
      </w:r>
      <w:r>
        <w:rPr>
          <w:rStyle w:val="OperatorTok"/>
          <w:rFonts w:ascii="Times New Roman" w:hAnsi="Times New Roman" w:eastAsia="Times New Roman"/>
        </w:rPr>
        <w:t xml:space="preserve">-&gt;</w:t>
      </w:r>
      <w:r>
        <w:rPr>
          <w:rStyle w:val="NormalTok"/>
          <w:rFonts w:ascii="Times New Roman" w:hAnsi="Times New Roman" w:eastAsia="Times New Roman"/>
        </w:rPr>
        <w:t xml:space="preserve"> RiskDecision: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...</w:t>
      </w:r>
    </w:p>
    <w:bookmarkEnd w:id="45"/>
    <w:bookmarkStart w:id="46" w:name="модуль-risk_rules.py"/>
    <w:p>
      <w:pPr>
        <w:pStyle w:val="Heading2"/>
      </w:pPr>
      <w:r>
        <w:rPr>
          <w:rFonts w:ascii="Times New Roman" w:hAnsi="Times New Roman" w:eastAsia="Times New Roman"/>
        </w:rPr>
        <w:t xml:space="preserve">8.4. Модуль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risk_rules.py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Назначение: нечёткая интерпретация риска и правил коррекции.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Класс:</w:t>
      </w:r>
    </w:p>
    <w:p>
      <w:pPr>
        <w:pStyle w:val="SourceCode"/>
      </w:pPr>
      <w:r>
        <w:rPr>
          <w:rStyle w:val="KeywordTok"/>
          <w:rFonts w:ascii="Times New Roman" w:hAnsi="Times New Roman" w:eastAsia="Times New Roman"/>
        </w:rPr>
        <w:t xml:space="preserve">class</w:t>
      </w:r>
      <w:r>
        <w:rPr>
          <w:rStyle w:val="NormalTok"/>
          <w:rFonts w:ascii="Times New Roman" w:hAnsi="Times New Roman" w:eastAsia="Times New Roman"/>
        </w:rPr>
        <w:t xml:space="preserve"> FuzzyRiskCorrector: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KeywordTok"/>
          <w:rFonts w:ascii="Times New Roman" w:hAnsi="Times New Roman" w:eastAsia="Times New Roman"/>
        </w:rPr>
        <w:t xml:space="preserve">def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FunctionTok"/>
          <w:rFonts w:ascii="Times New Roman" w:hAnsi="Times New Roman" w:eastAsia="Times New Roman"/>
        </w:rPr>
        <w:t xml:space="preserve">__init__</w:t>
      </w:r>
      <w:r>
        <w:rPr>
          <w:rStyle w:val="NormalTok"/>
          <w:rFonts w:ascii="Times New Roman" w:hAnsi="Times New Roman" w:eastAsia="Times New Roman"/>
        </w:rPr>
        <w:t xml:space="preserve">(</w:t>
      </w:r>
      <w:r>
        <w:rPr>
          <w:rStyle w:val="VariableTok"/>
          <w:rFonts w:ascii="Times New Roman" w:hAnsi="Times New Roman" w:eastAsia="Times New Roman"/>
        </w:rPr>
        <w:t xml:space="preserve">self</w:t>
      </w:r>
      <w:r>
        <w:rPr>
          <w:rStyle w:val="NormalTok"/>
          <w:rFonts w:ascii="Times New Roman" w:hAnsi="Times New Roman" w:eastAsia="Times New Roman"/>
        </w:rPr>
        <w:t xml:space="preserve">, plan, policy):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...</w:t>
      </w:r>
      <w:r>
        <w:rPr>
          <w:rFonts w:ascii="Times New Roman" w:hAnsi="Times New Roman" w:eastAsia="Times New Roman"/>
        </w:rPr>
        <w:br/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KeywordTok"/>
          <w:rFonts w:ascii="Times New Roman" w:hAnsi="Times New Roman" w:eastAsia="Times New Roman"/>
        </w:rPr>
        <w:t xml:space="preserve">def</w:t>
      </w:r>
      <w:r>
        <w:rPr>
          <w:rStyle w:val="NormalTok"/>
          <w:rFonts w:ascii="Times New Roman" w:hAnsi="Times New Roman" w:eastAsia="Times New Roman"/>
        </w:rPr>
        <w:t xml:space="preserve"> evaluate(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</w:t>
      </w:r>
      <w:r>
        <w:rPr>
          <w:rStyle w:val="VariableTok"/>
          <w:rFonts w:ascii="Times New Roman" w:hAnsi="Times New Roman" w:eastAsia="Times New Roman"/>
        </w:rPr>
        <w:t xml:space="preserve">self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predicted_risk,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uncertainty,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interpretability,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reduction_loss,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diagnostics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VariableTok"/>
          <w:rFonts w:ascii="Times New Roman" w:hAnsi="Times New Roman" w:eastAsia="Times New Roman"/>
        </w:rPr>
        <w:t xml:space="preserve">None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):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...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Модуль должен переводить прогноз и неопределённость в лингвистические термы, активировать правила и возвращать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RiskDecision</w:t>
      </w:r>
      <w:r>
        <w:rPr>
          <w:rFonts w:ascii="Times New Roman" w:hAnsi="Times New Roman" w:eastAsia="Times New Roman"/>
        </w:rPr>
        <w:t xml:space="preserve">.</w:t>
      </w:r>
    </w:p>
    <w:bookmarkEnd w:id="46"/>
    <w:bookmarkStart w:id="47" w:name="модуль-risk_aware_model.py"/>
    <w:p>
      <w:pPr>
        <w:pStyle w:val="Heading2"/>
      </w:pPr>
      <w:r>
        <w:rPr>
          <w:rFonts w:ascii="Times New Roman" w:hAnsi="Times New Roman" w:eastAsia="Times New Roman"/>
        </w:rPr>
        <w:t xml:space="preserve">8.5. Модуль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risk_aware_model.py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Назначение: обёртка над любой моделью с интерфейсом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predict_proba</w:t>
      </w:r>
      <w:r>
        <w:rPr>
          <w:rFonts w:ascii="Times New Roman" w:hAnsi="Times New Roman" w:eastAsia="Times New Roman"/>
        </w:rPr>
        <w:t xml:space="preserve">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Класс:</w:t>
      </w:r>
    </w:p>
    <w:p>
      <w:pPr>
        <w:pStyle w:val="SourceCode"/>
      </w:pPr>
      <w:r>
        <w:rPr>
          <w:rStyle w:val="KeywordTok"/>
          <w:rFonts w:ascii="Times New Roman" w:hAnsi="Times New Roman" w:eastAsia="Times New Roman"/>
        </w:rPr>
        <w:t xml:space="preserve">class</w:t>
      </w:r>
      <w:r>
        <w:rPr>
          <w:rStyle w:val="NormalTok"/>
          <w:rFonts w:ascii="Times New Roman" w:hAnsi="Times New Roman" w:eastAsia="Times New Roman"/>
        </w:rPr>
        <w:t xml:space="preserve"> RiskAwareModel: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KeywordTok"/>
          <w:rFonts w:ascii="Times New Roman" w:hAnsi="Times New Roman" w:eastAsia="Times New Roman"/>
        </w:rPr>
        <w:t xml:space="preserve">def</w:t>
      </w:r>
      <w:r>
        <w:rPr>
          <w:rStyle w:val="NormalTok"/>
          <w:rFonts w:ascii="Times New Roman" w:hAnsi="Times New Roman" w:eastAsia="Times New Roman"/>
        </w:rPr>
        <w:t xml:space="preserve"> </w:t>
      </w:r>
      <w:r>
        <w:rPr>
          <w:rStyle w:val="FunctionTok"/>
          <w:rFonts w:ascii="Times New Roman" w:hAnsi="Times New Roman" w:eastAsia="Times New Roman"/>
        </w:rPr>
        <w:t xml:space="preserve">__init__</w:t>
      </w:r>
      <w:r>
        <w:rPr>
          <w:rStyle w:val="NormalTok"/>
          <w:rFonts w:ascii="Times New Roman" w:hAnsi="Times New Roman" w:eastAsia="Times New Roman"/>
        </w:rPr>
        <w:t xml:space="preserve">(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</w:t>
      </w:r>
      <w:r>
        <w:rPr>
          <w:rStyle w:val="VariableTok"/>
          <w:rFonts w:ascii="Times New Roman" w:hAnsi="Times New Roman" w:eastAsia="Times New Roman"/>
        </w:rPr>
        <w:t xml:space="preserve">self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base_model,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plan,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observer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VariableTok"/>
          <w:rFonts w:ascii="Times New Roman" w:hAnsi="Times New Roman" w:eastAsia="Times New Roman"/>
        </w:rPr>
        <w:t xml:space="preserve">None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policy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VariableTok"/>
          <w:rFonts w:ascii="Times New Roman" w:hAnsi="Times New Roman" w:eastAsia="Times New Roman"/>
        </w:rPr>
        <w:t xml:space="preserve">None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corrector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VariableTok"/>
          <w:rFonts w:ascii="Times New Roman" w:hAnsi="Times New Roman" w:eastAsia="Times New Roman"/>
        </w:rPr>
        <w:t xml:space="preserve">None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mode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StringTok"/>
          <w:rFonts w:ascii="Times New Roman" w:hAnsi="Times New Roman" w:eastAsia="Times New Roman"/>
        </w:rPr>
        <w:t xml:space="preserve">"decision_gate"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cost_matrix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VariableTok"/>
          <w:rFonts w:ascii="Times New Roman" w:hAnsi="Times New Roman" w:eastAsia="Times New Roman"/>
        </w:rPr>
        <w:t xml:space="preserve">None</w:t>
      </w:r>
      <w:r>
        <w:rPr>
          <w:rStyle w:val="NormalTok"/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):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...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Методы:</w:t>
      </w:r>
    </w:p>
    <w:p>
      <w:pPr>
        <w:pStyle w:val="SourceCode"/>
      </w:pPr>
      <w:r>
        <w:rPr>
          <w:rStyle w:val="NormalTok"/>
          <w:rFonts w:ascii="Times New Roman" w:hAnsi="Times New Roman" w:eastAsia="Times New Roman"/>
        </w:rPr>
        <w:t xml:space="preserve">fit(X, y)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predict(X)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predict_proba(X)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predict_with_risk(X, metadata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VariableTok"/>
          <w:rFonts w:ascii="Times New Roman" w:hAnsi="Times New Roman" w:eastAsia="Times New Roman"/>
        </w:rPr>
        <w:t xml:space="preserve">None</w:t>
      </w:r>
      <w:r>
        <w:rPr>
          <w:rStyle w:val="NormalTok"/>
          <w:rFonts w:ascii="Times New Roman" w:hAnsi="Times New Roman" w:eastAsia="Times New Roman"/>
        </w:rPr>
        <w:t xml:space="preserve">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evaluate(X, y)</w:t>
      </w:r>
    </w:p>
    <w:p>
      <w:pPr>
        <w:pStyle w:val="FirstParagraph"/>
      </w:pPr>
      <w:r>
        <w:rPr>
          <w:rStyle w:val="VerbatimChar"/>
          <w:rFonts w:ascii="Times New Roman" w:hAnsi="Times New Roman" w:eastAsia="Times New Roman"/>
        </w:rPr>
        <w:t xml:space="preserve">predict_with_risk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должен возвращать для каждого объекта: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raw_prediction,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raw_proba,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predicted_risk,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uncertainty,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confidence,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selected_representation,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reduction_loss,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interpretability_index,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risk_score,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action,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corrected_confidence,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diagnostics,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explanation_object,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risk_explanation_object,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global_explanation_object.</w:t>
      </w:r>
    </w:p>
    <w:bookmarkEnd w:id="47"/>
    <w:bookmarkStart w:id="48" w:name="модуль-feedback.py"/>
    <w:p>
      <w:pPr>
        <w:pStyle w:val="Heading2"/>
      </w:pPr>
      <w:r>
        <w:rPr>
          <w:rFonts w:ascii="Times New Roman" w:hAnsi="Times New Roman" w:eastAsia="Times New Roman"/>
        </w:rPr>
        <w:t xml:space="preserve">8.6. Модуль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feedback.py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Назначение: хранение случаев для последующей калибровки.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Класс:</w:t>
      </w:r>
    </w:p>
    <w:p>
      <w:pPr>
        <w:pStyle w:val="SourceCode"/>
      </w:pPr>
      <w:r>
        <w:rPr>
          <w:rStyle w:val="KeywordTok"/>
          <w:rFonts w:ascii="Times New Roman" w:hAnsi="Times New Roman" w:eastAsia="Times New Roman"/>
        </w:rPr>
        <w:t xml:space="preserve">class</w:t>
      </w:r>
      <w:r>
        <w:rPr>
          <w:rStyle w:val="NormalTok"/>
          <w:rFonts w:ascii="Times New Roman" w:hAnsi="Times New Roman" w:eastAsia="Times New Roman"/>
        </w:rPr>
        <w:t xml:space="preserve"> FeedbackBuffer: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KeywordTok"/>
          <w:rFonts w:ascii="Times New Roman" w:hAnsi="Times New Roman" w:eastAsia="Times New Roman"/>
        </w:rPr>
        <w:t xml:space="preserve">def</w:t>
      </w:r>
      <w:r>
        <w:rPr>
          <w:rStyle w:val="NormalTok"/>
          <w:rFonts w:ascii="Times New Roman" w:hAnsi="Times New Roman" w:eastAsia="Times New Roman"/>
        </w:rPr>
        <w:t xml:space="preserve"> add_case(</w:t>
      </w:r>
      <w:r>
        <w:rPr>
          <w:rStyle w:val="VariableTok"/>
          <w:rFonts w:ascii="Times New Roman" w:hAnsi="Times New Roman" w:eastAsia="Times New Roman"/>
        </w:rPr>
        <w:t xml:space="preserve">self</w:t>
      </w:r>
      <w:r>
        <w:rPr>
          <w:rStyle w:val="NormalTok"/>
          <w:rFonts w:ascii="Times New Roman" w:hAnsi="Times New Roman" w:eastAsia="Times New Roman"/>
        </w:rPr>
        <w:t xml:space="preserve">, x, raw_prediction, action, expert_label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VariableTok"/>
          <w:rFonts w:ascii="Times New Roman" w:hAnsi="Times New Roman" w:eastAsia="Times New Roman"/>
        </w:rPr>
        <w:t xml:space="preserve">None</w:t>
      </w:r>
      <w:r>
        <w:rPr>
          <w:rStyle w:val="NormalTok"/>
          <w:rFonts w:ascii="Times New Roman" w:hAnsi="Times New Roman" w:eastAsia="Times New Roman"/>
        </w:rPr>
        <w:t xml:space="preserve">, final_decision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VariableTok"/>
          <w:rFonts w:ascii="Times New Roman" w:hAnsi="Times New Roman" w:eastAsia="Times New Roman"/>
        </w:rPr>
        <w:t xml:space="preserve">None</w:t>
      </w:r>
      <w:r>
        <w:rPr>
          <w:rStyle w:val="NormalTok"/>
          <w:rFonts w:ascii="Times New Roman" w:hAnsi="Times New Roman" w:eastAsia="Times New Roman"/>
        </w:rPr>
        <w:t xml:space="preserve">, metadata</w:t>
      </w:r>
      <w:r>
        <w:rPr>
          <w:rStyle w:val="OperatorTok"/>
          <w:rFonts w:ascii="Times New Roman" w:hAnsi="Times New Roman" w:eastAsia="Times New Roman"/>
        </w:rPr>
        <w:t xml:space="preserve">=</w:t>
      </w:r>
      <w:r>
        <w:rPr>
          <w:rStyle w:val="VariableTok"/>
          <w:rFonts w:ascii="Times New Roman" w:hAnsi="Times New Roman" w:eastAsia="Times New Roman"/>
        </w:rPr>
        <w:t xml:space="preserve">None</w:t>
      </w:r>
      <w:r>
        <w:rPr>
          <w:rStyle w:val="NormalTok"/>
          <w:rFonts w:ascii="Times New Roman" w:hAnsi="Times New Roman" w:eastAsia="Times New Roman"/>
        </w:rPr>
        <w:t xml:space="preserve">):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...</w:t>
      </w:r>
      <w:r>
        <w:rPr>
          <w:rFonts w:ascii="Times New Roman" w:hAnsi="Times New Roman" w:eastAsia="Times New Roman"/>
        </w:rPr>
        <w:br/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KeywordTok"/>
          <w:rFonts w:ascii="Times New Roman" w:hAnsi="Times New Roman" w:eastAsia="Times New Roman"/>
        </w:rPr>
        <w:t xml:space="preserve">def</w:t>
      </w:r>
      <w:r>
        <w:rPr>
          <w:rStyle w:val="NormalTok"/>
          <w:rFonts w:ascii="Times New Roman" w:hAnsi="Times New Roman" w:eastAsia="Times New Roman"/>
        </w:rPr>
        <w:t xml:space="preserve"> to_dataframe(</w:t>
      </w:r>
      <w:r>
        <w:rPr>
          <w:rStyle w:val="VariableTok"/>
          <w:rFonts w:ascii="Times New Roman" w:hAnsi="Times New Roman" w:eastAsia="Times New Roman"/>
        </w:rPr>
        <w:t xml:space="preserve">self</w:t>
      </w:r>
      <w:r>
        <w:rPr>
          <w:rStyle w:val="NormalTok"/>
          <w:rFonts w:ascii="Times New Roman" w:hAnsi="Times New Roman" w:eastAsia="Times New Roman"/>
        </w:rPr>
        <w:t xml:space="preserve">):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...</w:t>
      </w:r>
      <w:r>
        <w:rPr>
          <w:rFonts w:ascii="Times New Roman" w:hAnsi="Times New Roman" w:eastAsia="Times New Roman"/>
        </w:rPr>
        <w:br/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KeywordTok"/>
          <w:rFonts w:ascii="Times New Roman" w:hAnsi="Times New Roman" w:eastAsia="Times New Roman"/>
        </w:rPr>
        <w:t xml:space="preserve">def</w:t>
      </w:r>
      <w:r>
        <w:rPr>
          <w:rStyle w:val="NormalTok"/>
          <w:rFonts w:ascii="Times New Roman" w:hAnsi="Times New Roman" w:eastAsia="Times New Roman"/>
        </w:rPr>
        <w:t xml:space="preserve"> export_json(</w:t>
      </w:r>
      <w:r>
        <w:rPr>
          <w:rStyle w:val="VariableTok"/>
          <w:rFonts w:ascii="Times New Roman" w:hAnsi="Times New Roman" w:eastAsia="Times New Roman"/>
        </w:rPr>
        <w:t xml:space="preserve">self</w:t>
      </w:r>
      <w:r>
        <w:rPr>
          <w:rStyle w:val="NormalTok"/>
          <w:rFonts w:ascii="Times New Roman" w:hAnsi="Times New Roman" w:eastAsia="Times New Roman"/>
        </w:rPr>
        <w:t xml:space="preserve">, path):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...</w:t>
      </w:r>
      <w:r>
        <w:rPr>
          <w:rFonts w:ascii="Times New Roman" w:hAnsi="Times New Roman" w:eastAsia="Times New Roman"/>
        </w:rPr>
        <w:br/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</w:t>
      </w:r>
      <w:r>
        <w:rPr>
          <w:rStyle w:val="KeywordTok"/>
          <w:rFonts w:ascii="Times New Roman" w:hAnsi="Times New Roman" w:eastAsia="Times New Roman"/>
        </w:rPr>
        <w:t xml:space="preserve">def</w:t>
      </w:r>
      <w:r>
        <w:rPr>
          <w:rStyle w:val="NormalTok"/>
          <w:rFonts w:ascii="Times New Roman" w:hAnsi="Times New Roman" w:eastAsia="Times New Roman"/>
        </w:rPr>
        <w:t xml:space="preserve"> export_csv(</w:t>
      </w:r>
      <w:r>
        <w:rPr>
          <w:rStyle w:val="VariableTok"/>
          <w:rFonts w:ascii="Times New Roman" w:hAnsi="Times New Roman" w:eastAsia="Times New Roman"/>
        </w:rPr>
        <w:t xml:space="preserve">self</w:t>
      </w:r>
      <w:r>
        <w:rPr>
          <w:rStyle w:val="NormalTok"/>
          <w:rFonts w:ascii="Times New Roman" w:hAnsi="Times New Roman" w:eastAsia="Times New Roman"/>
        </w:rPr>
        <w:t xml:space="preserve">, path):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        ...</w:t>
      </w:r>
    </w:p>
    <w:bookmarkEnd w:id="48"/>
    <w:bookmarkStart w:id="49" w:name="модуль-metrics.py"/>
    <w:p>
      <w:pPr>
        <w:pStyle w:val="Heading2"/>
      </w:pPr>
      <w:r>
        <w:rPr>
          <w:rFonts w:ascii="Times New Roman" w:hAnsi="Times New Roman" w:eastAsia="Times New Roman"/>
        </w:rPr>
        <w:t xml:space="preserve">8.7. Модуль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metrics.py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Функции:</w:t>
      </w:r>
    </w:p>
    <w:p>
      <w:pPr>
        <w:pStyle w:val="SourceCode"/>
      </w:pPr>
      <w:r>
        <w:rPr>
          <w:rStyle w:val="NormalTok"/>
          <w:rFonts w:ascii="Times New Roman" w:hAnsi="Times New Roman" w:eastAsia="Times New Roman"/>
        </w:rPr>
        <w:t xml:space="preserve">accuracy_before(y_true, y_pred)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accepted_accuracy(y_true, y_pred, actions)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coverage(actions)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defer_rate(actions)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block_rate(actions)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expected_cost_before(y_true, y_pred, cost_matrix)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expected_cost_after(y_true, y_pred, actions, cost_matrix, defer_cost, request_cost, block_cost)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risk_reduction(cost_before, cost_after)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diagnostic_rate(diagnostics)</w:t>
      </w:r>
      <w:r>
        <w:rPr>
          <w:rFonts w:ascii="Times New Roman" w:hAnsi="Times New Roman" w:eastAsia="Times New Roman"/>
        </w:rPr>
        <w:br/>
      </w:r>
      <w:r>
        <w:rPr>
          <w:rStyle w:val="NormalTok"/>
          <w:rFonts w:ascii="Times New Roman" w:hAnsi="Times New Roman" w:eastAsia="Times New Roman"/>
        </w:rPr>
        <w:t xml:space="preserve">mean_interpretability(indices)</w:t>
      </w:r>
    </w:p>
    <w:bookmarkEnd w:id="49"/>
    <w:bookmarkEnd w:id="50"/>
    <w:bookmarkStart w:id="51" w:name="benchmark"/>
    <w:p>
      <w:pPr>
        <w:pStyle w:val="Heading1"/>
      </w:pPr>
      <w:r>
        <w:rPr>
          <w:rFonts w:ascii="Times New Roman" w:hAnsi="Times New Roman" w:eastAsia="Times New Roman"/>
        </w:rPr>
        <w:t xml:space="preserve">9. Benchmark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Добавить файл: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benchmarks/risk_aware_observer_benchmark.py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Benchmark должен: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1. загрузить sklearn breast_cancer;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2. разделить данные на train/test;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3. обучить RandomForestClassifier;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4. получить predict_proba;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5. построить RiskAwareModel;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6. выполнить predict_with_risk;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7. посчитать accuracy_base, accepted_accuracy, coverage, defer_rate,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 expected_cost_before, expected_cost_after, risk_reduction, mean_I,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 diagnostic_rate;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8. сохранить reports/risk_aware_observer_benchmark.json;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9. сохранить reports/risk_aware_observer_benchmark.md.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Критерии успеха benchmark: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accepted_accuracy &gt;= accuracy_base;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risk_reduction &gt; 0;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defer_rate находится в разумном диапазоне;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искусственный конфликт приводит к BLOCK или DEFER_TO_HUMAN.</w:t>
      </w:r>
    </w:p>
    <w:bookmarkEnd w:id="51"/>
    <w:bookmarkStart w:id="52" w:name="gui"/>
    <w:p>
      <w:pPr>
        <w:pStyle w:val="Heading1"/>
      </w:pPr>
      <w:r>
        <w:rPr>
          <w:rFonts w:ascii="Times New Roman" w:hAnsi="Times New Roman" w:eastAsia="Times New Roman"/>
        </w:rPr>
        <w:t xml:space="preserve">10. GUI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В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apps/defense_demo.py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и при необходимости в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apps/nicegui_dashboard.py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добавить вкладку: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Risk-Aware Observer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Вкладка должна содержать четыре блока.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Первый блок — выбор данных и модели: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Use synthetic medical data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Use sklearn breast_cancer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Model: LogisticRegression / RandomForest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Train model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Noise level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Decision mode: passive / decision_gate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Второй блок — наблюдение одного случая: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raw prediction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raw probability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uncertainty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confidence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selected A_k^F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Delta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I(E_M)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Третий блок — риск-ориентированное действие: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risk_score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risk_level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recommended_action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corrected_confidence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reason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diagnostic_state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Четвёртый блок — эффект на выборке: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accuracy_base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accepted_accuracy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coverage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defer_rate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expected_cost_before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expected_cost_after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risk_reduction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mean_I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diagnostic_rate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Визуализации: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expected cost before/after;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coverage vs accepted accuracy;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uncertainty distribution for correct and incorrect predictions;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actions distribution.</w:t>
      </w:r>
    </w:p>
    <w:bookmarkEnd w:id="52"/>
    <w:bookmarkStart w:id="53" w:name="тесты"/>
    <w:p>
      <w:pPr>
        <w:pStyle w:val="Heading1"/>
      </w:pPr>
      <w:r>
        <w:rPr>
          <w:rFonts w:ascii="Times New Roman" w:hAnsi="Times New Roman" w:eastAsia="Times New Roman"/>
        </w:rPr>
        <w:t xml:space="preserve">11. Тесты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Добавить тесты: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tests/test_risk_uncertainty.py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tests/test_decision_policy.py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tests/test_risk_aware_model.py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tests/test_risk_metrics.py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tests/test_risk_aware_benchmark.py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Минимальные проверки: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entropy uncertainty максимальна около равномерного распределения;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confidence = 1 - uncertainty;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диагностическое состояние приводит к BLOCK;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high risk + high uncertainty приводит к DEFER_TO_HUMAN;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accepted_accuracy считается только по action=ACCEPT;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expected_cost_after учитывает defer/request/block;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benchmark создаёт JSON и Markdown отчёты.</w:t>
      </w:r>
    </w:p>
    <w:bookmarkEnd w:id="53"/>
    <w:bookmarkStart w:id="54" w:name="makefile-и-команды"/>
    <w:p>
      <w:pPr>
        <w:pStyle w:val="Heading1"/>
      </w:pPr>
      <w:r>
        <w:rPr>
          <w:rFonts w:ascii="Times New Roman" w:hAnsi="Times New Roman" w:eastAsia="Times New Roman"/>
        </w:rPr>
        <w:t xml:space="preserve">12. Makefile и команды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Добавить команды: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make risk-benchmark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make risk-test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make benchmark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Команда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make benchmark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должна запускать: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breast_cancer_benchmark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operator_comparison_benchmark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risk_aware_observer_benchmark</w:t>
      </w:r>
    </w:p>
    <w:bookmarkEnd w:id="54"/>
    <w:bookmarkStart w:id="55" w:name="документация"/>
    <w:p>
      <w:pPr>
        <w:pStyle w:val="Heading1"/>
      </w:pPr>
      <w:r>
        <w:rPr>
          <w:rFonts w:ascii="Times New Roman" w:hAnsi="Times New Roman" w:eastAsia="Times New Roman"/>
        </w:rPr>
        <w:t xml:space="preserve">13. Документация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Обновить файлы: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README.md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IMPLEMENTATION_SUMMARY.md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CHAPTER_MAPPING.md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PRESENTATION.md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ROADMAP_RU.md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В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README.md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добавить раздел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Risk-Aware Observer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с командами:</w:t>
      </w:r>
    </w:p>
    <w:p>
      <w:pPr>
        <w:pStyle w:val="SourceCode"/>
      </w:pPr>
      <w:r>
        <w:rPr>
          <w:rStyle w:val="FunctionTok"/>
          <w:rFonts w:ascii="Times New Roman" w:hAnsi="Times New Roman" w:eastAsia="Times New Roman"/>
        </w:rPr>
        <w:t xml:space="preserve">make</w:t>
      </w:r>
      <w:r>
        <w:rPr>
          <w:rStyle w:val="NormalTok"/>
          <w:rFonts w:ascii="Times New Roman" w:hAnsi="Times New Roman" w:eastAsia="Times New Roman"/>
        </w:rPr>
        <w:t xml:space="preserve"> risk-benchmark</w:t>
      </w:r>
      <w:r>
        <w:rPr>
          <w:rFonts w:ascii="Times New Roman" w:hAnsi="Times New Roman" w:eastAsia="Times New Roman"/>
        </w:rPr>
        <w:br/>
      </w:r>
      <w:r>
        <w:rPr>
          <w:rStyle w:val="ExtensionTok"/>
          <w:rFonts w:ascii="Times New Roman" w:hAnsi="Times New Roman" w:eastAsia="Times New Roman"/>
        </w:rPr>
        <w:t xml:space="preserve">python</w:t>
      </w:r>
      <w:r>
        <w:rPr>
          <w:rStyle w:val="NormalTok"/>
          <w:rFonts w:ascii="Times New Roman" w:hAnsi="Times New Roman" w:eastAsia="Times New Roman"/>
        </w:rPr>
        <w:t xml:space="preserve"> benchmarks/risk_aware_observer_benchmark.py</w:t>
      </w:r>
      <w:r>
        <w:rPr>
          <w:rFonts w:ascii="Times New Roman" w:hAnsi="Times New Roman" w:eastAsia="Times New Roman"/>
        </w:rPr>
        <w:br/>
      </w:r>
      <w:r>
        <w:rPr>
          <w:rStyle w:val="ExtensionTok"/>
          <w:rFonts w:ascii="Times New Roman" w:hAnsi="Times New Roman" w:eastAsia="Times New Roman"/>
        </w:rPr>
        <w:t xml:space="preserve">python</w:t>
      </w:r>
      <w:r>
        <w:rPr>
          <w:rStyle w:val="NormalTok"/>
          <w:rFonts w:ascii="Times New Roman" w:hAnsi="Times New Roman" w:eastAsia="Times New Roman"/>
        </w:rPr>
        <w:t xml:space="preserve"> apps/defense_demo.py </w:t>
      </w:r>
      <w:r>
        <w:rPr>
          <w:rStyle w:val="AttributeTok"/>
          <w:rFonts w:ascii="Times New Roman" w:hAnsi="Times New Roman" w:eastAsia="Times New Roman"/>
        </w:rPr>
        <w:t xml:space="preserve">--port</w:t>
      </w:r>
      <w:r>
        <w:rPr>
          <w:rStyle w:val="NormalTok"/>
          <w:rFonts w:ascii="Times New Roman" w:hAnsi="Times New Roman" w:eastAsia="Times New Roman"/>
        </w:rPr>
        <w:t xml:space="preserve"> 8085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В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CHAPTER_MAPPING.md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добавить соответствие: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Risk-Aware Observer: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uncertainty.py              -&gt; модельная неопределённость;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decision_policy.py          -&gt; политика безопасного действия;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risk_aware_model.py         -&gt; обёртка над моделью;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  risk_aware_observer_benchmark.py -&gt; экспериментальная проверка снижения риска.</w:t>
      </w:r>
    </w:p>
    <w:bookmarkEnd w:id="55"/>
    <w:bookmarkStart w:id="56" w:name="формулировка-для-диссертации"/>
    <w:p>
      <w:pPr>
        <w:pStyle w:val="Heading1"/>
      </w:pPr>
      <w:r>
        <w:rPr>
          <w:rFonts w:ascii="Times New Roman" w:hAnsi="Times New Roman" w:eastAsia="Times New Roman"/>
        </w:rPr>
        <w:t xml:space="preserve">14. Формулировка для диссертации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В диссертацию можно добавить следующий текст.</w:t>
      </w:r>
    </w:p>
    <w:p>
      <w:pPr>
        <w:pStyle w:val="BlockText"/>
      </w:pPr>
      <w:r>
        <w:rPr>
          <w:rFonts w:ascii="Times New Roman" w:hAnsi="Times New Roman" w:eastAsia="Times New Roman"/>
        </w:rPr>
        <w:t xml:space="preserve">На основе системного оператора нечёткой логики разработан риск-ориентированный наблюдатель модели. Он подключается к произвольной модели с прогнозным интерфейсом, строит расширенный объяснительный объект прогноза, оценивает неопределённость, потерю редукции, интерпретируемость и наличие диагностических состояний, после чего передаёт эти величины в политику безопасного применения результата. В отличие от локальных методов объяснения, такой наблюдатель не ограничивается описанием отдельного предсказания, а управляет допустимостью его автоматического использования в составе ИИ-системы.</w:t>
      </w:r>
    </w:p>
    <w:p>
      <w:pPr>
        <w:pStyle w:val="BlockText"/>
      </w:pPr>
      <w:r>
        <w:rPr>
          <w:rFonts w:ascii="Times New Roman" w:hAnsi="Times New Roman" w:eastAsia="Times New Roman"/>
        </w:rPr>
        <w:t xml:space="preserve">Коррекция в данной постановке относится прежде всего к уровню принятия решения, а не к изменению внутренних параметров исходной модели. Это позволяет использовать наблюдатель с широким классом моделей, включая модели, для которых невозможна прямая интерпретация внутренней структуры. При наличии обратной связи от эксперта накопленные случаи могут использоваться для последующей калибровки порогов, обновления правил риск-модуля и дообучения внешнего корректора.</w:t>
      </w:r>
    </w:p>
    <w:bookmarkEnd w:id="56"/>
    <w:bookmarkStart w:id="57" w:name="X0bef62474a8ede9d8d5d0e55381b74f8f27204d"/>
    <w:p>
      <w:pPr>
        <w:pStyle w:val="Heading1"/>
      </w:pPr>
      <w:r>
        <w:rPr>
          <w:rFonts w:ascii="Times New Roman" w:hAnsi="Times New Roman" w:eastAsia="Times New Roman"/>
        </w:rPr>
        <w:t xml:space="preserve">15. Критерии готовности версии Risk-Aware Observer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Версия считается готовой, если выполнены условия: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/>
        </w:rPr>
        <w:t xml:space="preserve">1. Добавлен пакет fuzzyxai/risk.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2. RiskAwareModel работает с RandomForestClassifier и LogisticRegression.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3. risk_aware_observer_benchmark.py создаёт JSON и Markdown отчёты.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4. accepted_accuracy &gt;= accuracy_base или expected_cost_after &lt; expected_cost_before.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5. Искусственный конфликт приводит к BLOCK или DEFER_TO_HUMAN.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6. Добавлена вкладка Risk-Aware Observer в GUI.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7. pytest проходит полностью.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8. make benchmark запускает все benchmark-скрипты.</w:t>
      </w:r>
      <w:r>
        <w:rPr>
          <w:rFonts w:ascii="Times New Roman" w:hAnsi="Times New Roman" w:eastAsia="Times New Roman"/>
        </w:rPr>
        <w:br/>
      </w:r>
      <w:r>
        <w:rPr>
          <w:rStyle w:val="VerbatimChar"/>
          <w:rFonts w:ascii="Times New Roman" w:hAnsi="Times New Roman" w:eastAsia="Times New Roman"/>
        </w:rPr>
        <w:t xml:space="preserve">9. README и CHAPTER_MAPPING обновлены.</w:t>
      </w:r>
    </w:p>
    <w:bookmarkEnd w:id="57"/>
    <w:bookmarkStart w:id="58" w:name="план-реализации"/>
    <w:p>
      <w:pPr>
        <w:pStyle w:val="Heading1"/>
      </w:pPr>
      <w:r>
        <w:rPr>
          <w:rFonts w:ascii="Times New Roman" w:hAnsi="Times New Roman" w:eastAsia="Times New Roman"/>
        </w:rPr>
        <w:t xml:space="preserve">16. План реализации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Работы делятся на три этапа.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Первый этап занимает один рабочий день и включает реализацию математического ядра наблюдателя: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uncertainty.py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decision_policy.py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risk_aware_model.py</w:t>
      </w:r>
      <w:r>
        <w:rPr>
          <w:rFonts w:ascii="Times New Roman" w:hAnsi="Times New Roman" w:eastAsia="Times New Roman"/>
        </w:rPr>
        <w:t xml:space="preserve">,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metrics.py</w:t>
      </w:r>
      <w:r>
        <w:rPr>
          <w:rFonts w:ascii="Times New Roman" w:hAnsi="Times New Roman" w:eastAsia="Times New Roman"/>
        </w:rPr>
        <w:t xml:space="preserve">. На этом этапе должны появиться базовые тесты и возможность запустить наблюдатель поверх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RandomForestClassifier</w:t>
      </w:r>
      <w:r>
        <w:rPr>
          <w:rFonts w:ascii="Times New Roman" w:hAnsi="Times New Roman" w:eastAsia="Times New Roman"/>
        </w:rPr>
        <w:t xml:space="preserve">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Второй этап занимает один рабочий день и включает benchmark: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risk_aware_observer_benchmark.py</w:t>
      </w:r>
      <w:r>
        <w:rPr>
          <w:rFonts w:ascii="Times New Roman" w:hAnsi="Times New Roman" w:eastAsia="Times New Roman"/>
        </w:rPr>
        <w:t xml:space="preserve">, отчёты в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reports</w:t>
      </w:r>
      <w:r>
        <w:rPr>
          <w:rFonts w:ascii="Times New Roman" w:hAnsi="Times New Roman" w:eastAsia="Times New Roman"/>
        </w:rPr>
        <w:t xml:space="preserve">, обновление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Makefile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и документации. Основной результат этапа — таблица, показывающая разницу между моделью без наблюдателя и моделью с риск-ориентированным шлюзом.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Третий этап занимает один рабочий день и включает GUI: добавление вкладки</w:t>
      </w:r>
      <w:r>
        <w:rPr>
          <w:rFonts w:ascii="Times New Roman" w:hAnsi="Times New Roman" w:eastAsia="Times New Roman"/>
        </w:rPr>
        <w:t xml:space="preserve"> </w:t>
      </w:r>
      <w:r>
        <w:rPr>
          <w:rStyle w:val="VerbatimChar"/>
          <w:rFonts w:ascii="Times New Roman" w:hAnsi="Times New Roman" w:eastAsia="Times New Roman"/>
        </w:rPr>
        <w:t xml:space="preserve">Risk-Aware Observer</w:t>
      </w:r>
      <w:r>
        <w:rPr>
          <w:rFonts w:ascii="Times New Roman" w:hAnsi="Times New Roman" w:eastAsia="Times New Roman"/>
        </w:rPr>
        <w:t xml:space="preserve">, визуализацию одного случая, метрик выборки, распределения действий и ожидаемой стоимости до и после наблюдателя.</w:t>
      </w:r>
    </w:p>
    <w:bookmarkEnd w:id="58"/>
    <w:bookmarkStart w:id="59" w:name="итог"/>
    <w:p>
      <w:pPr>
        <w:pStyle w:val="Heading1"/>
      </w:pPr>
      <w:r>
        <w:rPr>
          <w:rFonts w:ascii="Times New Roman" w:hAnsi="Times New Roman" w:eastAsia="Times New Roman"/>
        </w:rPr>
        <w:t xml:space="preserve">17. Итог</w:t>
      </w:r>
    </w:p>
    <w:p>
      <w:pPr>
        <w:pStyle w:val="FirstParagraph"/>
      </w:pPr>
      <w:r>
        <w:rPr>
          <w:rFonts w:ascii="Times New Roman" w:hAnsi="Times New Roman" w:eastAsia="Times New Roman"/>
        </w:rPr>
        <w:t xml:space="preserve">Разрабатываемый модуль должен завершить переход от пассивной объяснимости к риск-ориентированному управлению применением модели. Системный оператор главы 2 обеспечивает построение и композицию объяснительных объектов. Иерархия главы 3 обеспечивает выбор формы представления неопределённости. Новый риск-модуль использует эти величины для выбора безопасного действия.</w:t>
      </w:r>
    </w:p>
    <w:p>
      <w:pPr>
        <w:pStyle w:val="BodyText"/>
      </w:pPr>
      <w:r>
        <w:rPr>
          <w:rFonts w:ascii="Times New Roman" w:hAnsi="Times New Roman" w:eastAsia="Times New Roman"/>
        </w:rPr>
        <w:t xml:space="preserve">Итоговая научно-техническая формула разработки остаётся следующей: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→</m:t>
          </m:r>
          <m:sSubSup>
            <m:e>
              <m:r>
                <m:t>E</m:t>
              </m:r>
            </m:e>
            <m:sub>
              <m:r>
                <m:t>M</m:t>
              </m:r>
            </m:sub>
            <m:sup>
              <m:r>
                <m:t>e</m:t>
              </m:r>
              <m:r>
                <m:t>x</m:t>
              </m:r>
              <m:r>
                <m:t>t</m:t>
              </m:r>
            </m:sup>
          </m:sSubSup>
          <m:r>
            <m:rPr>
              <m:sty m:val="p"/>
            </m:rPr>
            <m:t>→</m:t>
          </m:r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→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→</m:t>
          </m:r>
          <m:sSub>
            <m:e>
              <m:r>
                <m:t>E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/>
        </w:rPr>
        <w:t xml:space="preserve">Эта формула показывает, что модель даёт прогноз, наблюдатель строит расширенное объяснение, риск-модуль оценивает опасность автоматического применения, политика выбирает безопасное действие, а композиция формирует итоговый диагностируемый след.</w:t>
      </w:r>
    </w:p>
    <w:bookmarkEnd w:id="59"/>
    <w:sectPr>
      <w:footerReference w:type="default" r:id="rId9"/>
      <w:pgMar w:top="1134" w:bottom="1134" w:left="1247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Стр.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120"/>
    </w:pPr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Times New Roman" w:hAnsi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активного риск-ориентированного наблюдателя модели</dc:title>
  <dc:creator/>
  <dc:language>ru-RU</dc:language>
  <cp:keywords/>
  <dcterms:created xsi:type="dcterms:W3CDTF">2026-05-22T10:46:30Z</dcterms:created>
  <dcterms:modified xsi:type="dcterms:W3CDTF">2026-05-22T10:46:30Z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Расширение FuzzyXAI Doctoral Core на основе системного оператора нечёткой логики и иерархии нечётких представлений</vt:lpwstr>
  </property>
</Properties>
</file>