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Глава 4. Программно-методическая экосистема FuzzyXAI как контейнер интеграции операторов композиционной объяснимости</w:t>
      </w:r>
    </w:p>
    <w:p>
      <w:pPr>
        <w:pStyle w:val="Heading2"/>
      </w:pPr>
      <w:r>
        <w:t>Введение к главе 4</w:t>
      </w:r>
    </w:p>
    <w:p>
      <w:pPr>
        <w:ind w:firstLine="709"/>
        <w:jc w:val="both"/>
      </w:pPr>
      <w:r>
        <w:t>Во второй главе был построен системный оператор нечёткой логики, который переводит состояние компонента в объяснительный объект Eₖ, проверяет совместимость объяснений соседних компонентов и возвращает диагностическое состояние при нарушении условий ExplainPlan. В третьей главе была уточнена внутренняя форма представления неопределённости: выбор класса F, редукция к более простой форме, потеря Δ и риск-ориентированное действие наблюдателя. Четвёртая глава не вводит новый математический аппарат. Её задача состоит в другом: задать программно-методическую дисциплину, в которой эти операторы становятся исполняемым и воспроизводимым маршрутом для внешних моделей, данных и прикладных артефактов.</w:t>
      </w:r>
    </w:p>
    <w:p>
      <w:pPr>
        <w:ind w:firstLine="709"/>
        <w:jc w:val="both"/>
      </w:pPr>
      <w:r>
        <w:t>Защищаемое положение главы состоит в том, что разработанная экосистема FuzzyXAI задаёт инвариантный контейнер интеграции внешних результатов. Предметная природа входа может различаться: изображение, сигнал, таблица признаков, временной ряд, геоинформационный слой или физическое измерение. Однако порядок обработки объяснительного артефакта остаётся одним и тем же: адаптер, объяснительный объект или диагностический отказ, согласование интерфейсов, выбор представления неопределённости, контроль потери редукции, риск-наблюдатель, действие и доказательный слой.</w:t>
      </w:r>
    </w:p>
    <w:p>
      <w:pPr>
        <w:ind w:firstLine="709"/>
        <w:jc w:val="both"/>
      </w:pPr>
      <w:r>
        <w:t>Новизна главы состоит не в графическом интерфейсе и не в перечне файлов. Научный результат заключается в контейнерной модели, которая не допускает внешний результат к действию по названию модели или визуальной убедительности, а требует прохождения через проверяемые операторные стадии. Поэтому FuzzyXAI рассматривается как системный контур обработки объяснительных артефактов, а не как демонстрационная оболочка.</w:t>
      </w:r>
    </w:p>
    <w:p>
      <w:pPr>
        <w:pStyle w:val="Heading2"/>
      </w:pPr>
      <w:r>
        <w:t>4.1. Место главы в логике диссертации</w:t>
      </w:r>
    </w:p>
    <w:p>
      <w:pPr>
        <w:ind w:firstLine="709"/>
        <w:jc w:val="both"/>
      </w:pPr>
      <w:r>
        <w:t>Логика диссертации движется от локальной объяснимости к системной. Первая глава фиксирует проблему разрозненных объяснений. Вторая глава вводит нормальную форму объяснительного объекта Eₖ и частичную композицию через Tᵢⱼ. Третья глава показывает, что одно число принадлежности не всегда достаточно для XAI-неопределённости, и вводит F0, Fint, NAS и FML как рабочее ядро представлений. Четвёртая глава связывает эти результаты с программно-методической архитектурой, в которой любой внешний результат должен быть включён в единый маршрут.</w:t>
      </w:r>
    </w:p>
    <w:p>
      <w:pPr>
        <w:ind w:firstLine="709"/>
        <w:jc w:val="both"/>
      </w:pPr>
      <w:r>
        <w:t>Для специальности 2.3.1 глава относится к системному анализу и обработке информации в сложных системах. Обрабатываются не только числовые признаки, но и объяснительные артефакты: термы, правила, активации, вклады признаков, качество сегментации, контрсвидетельства, геопространственный контекст и трассируемые источники. Их необходимо сохранить в форме, допускающей проверку, диагностический возврат и воспроизводимое действие.</w:t>
      </w:r>
    </w:p>
    <w:p>
      <w:pPr>
        <w:pStyle w:val="Heading2"/>
      </w:pPr>
      <w:r>
        <w:t>4.2. Маршрут обработки объяснительного артефакта</w:t>
      </w:r>
    </w:p>
    <w:p>
      <w:pPr>
        <w:ind w:firstLine="709"/>
        <w:jc w:val="both"/>
      </w:pPr>
      <w:r>
        <w:t>Контейнерность экосистемы означает, что маршрут обработки объяснительных артефактов не зависит от предметной природы данных. Изображение радужной оболочки, медицинский сигнал, таблица признаков, временной ряд, геоинформационный слой и физическое измерение проходят через одну и ту же последовательность операторов. Именно эта инвариантность маршрута составляет системный результат главы, а не набор отдельных адаптеров под каждую область.</w:t>
      </w:r>
    </w:p>
    <w:p>
      <w:pPr>
        <w:jc w:val="center"/>
      </w:pPr>
      <w:r>
        <w:drawing>
          <wp:inline xmlns:a="http://schemas.openxmlformats.org/drawingml/2006/main" xmlns:pic="http://schemas.openxmlformats.org/drawingml/2006/picture">
            <wp:extent cx="5852160" cy="1622577"/>
            <wp:docPr id="1" name="Picture 1"/>
            <wp:cNvGraphicFramePr>
              <a:graphicFrameLocks noChangeAspect="1"/>
            </wp:cNvGraphicFramePr>
            <a:graphic>
              <a:graphicData uri="http://schemas.openxmlformats.org/drawingml/2006/picture">
                <pic:pic>
                  <pic:nvPicPr>
                    <pic:cNvPr id="0" name="fig4_1_route_steps.png"/>
                    <pic:cNvPicPr/>
                  </pic:nvPicPr>
                  <pic:blipFill>
                    <a:blip r:embed="rId9"/>
                    <a:stretch>
                      <a:fillRect/>
                    </a:stretch>
                  </pic:blipFill>
                  <pic:spPr>
                    <a:xfrm>
                      <a:off x="0" y="0"/>
                      <a:ext cx="5852160" cy="1622577"/>
                    </a:xfrm>
                    <a:prstGeom prst="rect"/>
                  </pic:spPr>
                </pic:pic>
              </a:graphicData>
            </a:graphic>
          </wp:inline>
        </w:drawing>
      </w:r>
    </w:p>
    <w:p>
      <w:pPr>
        <w:pStyle w:val="Caption"/>
        <w:jc w:val="center"/>
      </w:pPr>
      <w:r>
        <w:t>Рисунок 4.1. Инвариантный маршрут обработки объяснительного артефакта.</w:t>
      </w:r>
    </w:p>
    <w:p>
      <w:pPr>
        <w:pStyle w:val="Caption"/>
        <w:jc w:val="center"/>
      </w:pPr>
      <w:r>
        <w:t>Таблица 4.1. Семь стадий маршрута обработки объяснительного артефакта.</w:t>
      </w:r>
    </w:p>
    <w:tbl>
      <w:tblPr>
        <w:tblStyle w:val="TableGrid"/>
        <w:tblW w:type="auto" w:w="0"/>
        <w:jc w:val="center"/>
        <w:tblLook w:firstColumn="1" w:firstRow="1" w:lastColumn="0" w:lastRow="0" w:noHBand="0" w:noVBand="1" w:val="04A0"/>
      </w:tblPr>
      <w:tblGrid>
        <w:gridCol w:w="2339"/>
        <w:gridCol w:w="2339"/>
        <w:gridCol w:w="2339"/>
        <w:gridCol w:w="2339"/>
      </w:tblGrid>
      <w:tr>
        <w:trPr>
          <w:tblHeader w:val="true"/>
          <w:cantSplit/>
        </w:trPr>
        <w:tc>
          <w:tcPr>
            <w:tcW w:type="dxa" w:w="567"/>
            <w:vAlign w:val="center"/>
            <w:shd w:fill="D9EAF7"/>
          </w:tcPr>
          <w:p>
            <w:r>
              <w:rPr>
                <w:rFonts w:ascii="Times New Roman" w:hAnsi="Times New Roman" w:eastAsia="Times New Roman"/>
                <w:b/>
                <w:sz w:val="16"/>
              </w:rPr>
              <w:t>Шаг</w:t>
            </w:r>
          </w:p>
        </w:tc>
        <w:tc>
          <w:tcPr>
            <w:tcW w:type="dxa" w:w="1757"/>
            <w:vAlign w:val="center"/>
            <w:shd w:fill="D9EAF7"/>
          </w:tcPr>
          <w:p>
            <w:r>
              <w:rPr>
                <w:rFonts w:ascii="Times New Roman" w:hAnsi="Times New Roman" w:eastAsia="Times New Roman"/>
                <w:b/>
                <w:sz w:val="16"/>
              </w:rPr>
              <w:t>Содержание</w:t>
            </w:r>
          </w:p>
        </w:tc>
        <w:tc>
          <w:tcPr>
            <w:tcW w:type="dxa" w:w="4139"/>
            <w:vAlign w:val="center"/>
            <w:shd w:fill="D9EAF7"/>
          </w:tcPr>
          <w:p>
            <w:r>
              <w:rPr>
                <w:rFonts w:ascii="Times New Roman" w:hAnsi="Times New Roman" w:eastAsia="Times New Roman"/>
                <w:b/>
                <w:sz w:val="16"/>
              </w:rPr>
              <w:t>Результат</w:t>
            </w:r>
          </w:p>
        </w:tc>
        <w:tc>
          <w:tcPr>
            <w:tcW w:type="dxa" w:w="2494"/>
            <w:vAlign w:val="center"/>
            <w:shd w:fill="D9EAF7"/>
          </w:tcPr>
          <w:p>
            <w:r>
              <w:rPr>
                <w:rFonts w:ascii="Times New Roman" w:hAnsi="Times New Roman" w:eastAsia="Times New Roman"/>
                <w:b/>
                <w:sz w:val="16"/>
              </w:rPr>
              <w:t>Связь с главами 2-3</w:t>
            </w:r>
          </w:p>
        </w:tc>
      </w:tr>
      <w:tr>
        <w:trPr>
          <w:cantSplit/>
        </w:trPr>
        <w:tc>
          <w:tcPr>
            <w:tcW w:type="dxa" w:w="567"/>
            <w:vAlign w:val="center"/>
          </w:tcPr>
          <w:p>
            <w:r>
              <w:rPr>
                <w:rFonts w:ascii="Times New Roman" w:hAnsi="Times New Roman" w:eastAsia="Times New Roman"/>
                <w:b w:val="0"/>
                <w:sz w:val="16"/>
              </w:rPr>
              <w:t>1</w:t>
            </w:r>
          </w:p>
        </w:tc>
        <w:tc>
          <w:tcPr>
            <w:tcW w:type="dxa" w:w="1757"/>
            <w:vAlign w:val="center"/>
          </w:tcPr>
          <w:p>
            <w:r>
              <w:rPr>
                <w:rFonts w:ascii="Times New Roman" w:hAnsi="Times New Roman" w:eastAsia="Times New Roman"/>
                <w:b w:val="0"/>
                <w:sz w:val="16"/>
              </w:rPr>
              <w:t>Входной артефакт</w:t>
            </w:r>
          </w:p>
        </w:tc>
        <w:tc>
          <w:tcPr>
            <w:tcW w:type="dxa" w:w="4139"/>
            <w:vAlign w:val="center"/>
          </w:tcPr>
          <w:p>
            <w:r>
              <w:rPr>
                <w:rFonts w:ascii="Times New Roman" w:hAnsi="Times New Roman" w:eastAsia="Times New Roman"/>
                <w:b w:val="0"/>
                <w:sz w:val="16"/>
              </w:rPr>
              <w:t>Внешний результат Xₖ поступает в экосистему вместе с источником, параметрами и ограничениями применения.</w:t>
            </w:r>
          </w:p>
        </w:tc>
        <w:tc>
          <w:tcPr>
            <w:tcW w:type="dxa" w:w="2494"/>
            <w:vAlign w:val="center"/>
          </w:tcPr>
          <w:p>
            <w:r>
              <w:rPr>
                <w:rFonts w:ascii="Times New Roman" w:hAnsi="Times New Roman" w:eastAsia="Times New Roman"/>
                <w:b w:val="0"/>
                <w:sz w:val="16"/>
              </w:rPr>
              <w:t>τₖ, раздел 2.5</w:t>
            </w:r>
          </w:p>
        </w:tc>
      </w:tr>
      <w:tr>
        <w:trPr>
          <w:cantSplit/>
        </w:trPr>
        <w:tc>
          <w:tcPr>
            <w:tcW w:type="dxa" w:w="567"/>
            <w:vAlign w:val="center"/>
          </w:tcPr>
          <w:p>
            <w:r>
              <w:rPr>
                <w:rFonts w:ascii="Times New Roman" w:hAnsi="Times New Roman" w:eastAsia="Times New Roman"/>
                <w:b w:val="0"/>
                <w:sz w:val="16"/>
              </w:rPr>
              <w:t>2</w:t>
            </w:r>
          </w:p>
        </w:tc>
        <w:tc>
          <w:tcPr>
            <w:tcW w:type="dxa" w:w="1757"/>
            <w:vAlign w:val="center"/>
          </w:tcPr>
          <w:p>
            <w:r>
              <w:rPr>
                <w:rFonts w:ascii="Times New Roman" w:hAnsi="Times New Roman" w:eastAsia="Times New Roman"/>
                <w:b w:val="0"/>
                <w:sz w:val="16"/>
              </w:rPr>
              <w:t>Адаптер Aₖ</w:t>
            </w:r>
          </w:p>
        </w:tc>
        <w:tc>
          <w:tcPr>
            <w:tcW w:type="dxa" w:w="4139"/>
            <w:vAlign w:val="center"/>
          </w:tcPr>
          <w:p>
            <w:r>
              <w:rPr>
                <w:rFonts w:ascii="Times New Roman" w:hAnsi="Times New Roman" w:eastAsia="Times New Roman"/>
                <w:b w:val="0"/>
                <w:sz w:val="16"/>
              </w:rPr>
              <w:t>Проверяется возможность перевода Xₖ в объяснительные каналы: термы, μ, правила, α, u, τ.</w:t>
            </w:r>
          </w:p>
        </w:tc>
        <w:tc>
          <w:tcPr>
            <w:tcW w:type="dxa" w:w="2494"/>
            <w:vAlign w:val="center"/>
          </w:tcPr>
          <w:p>
            <w:r>
              <w:rPr>
                <w:rFonts w:ascii="Times New Roman" w:hAnsi="Times New Roman" w:eastAsia="Times New Roman"/>
                <w:b w:val="0"/>
                <w:sz w:val="16"/>
              </w:rPr>
              <w:t>Eₖ, формула (2.7), раздел 2.5</w:t>
            </w:r>
          </w:p>
        </w:tc>
      </w:tr>
      <w:tr>
        <w:trPr>
          <w:cantSplit/>
        </w:trPr>
        <w:tc>
          <w:tcPr>
            <w:tcW w:type="dxa" w:w="567"/>
            <w:vAlign w:val="center"/>
          </w:tcPr>
          <w:p>
            <w:r>
              <w:rPr>
                <w:rFonts w:ascii="Times New Roman" w:hAnsi="Times New Roman" w:eastAsia="Times New Roman"/>
                <w:b w:val="0"/>
                <w:sz w:val="16"/>
              </w:rPr>
              <w:t>3</w:t>
            </w:r>
          </w:p>
        </w:tc>
        <w:tc>
          <w:tcPr>
            <w:tcW w:type="dxa" w:w="1757"/>
            <w:vAlign w:val="center"/>
          </w:tcPr>
          <w:p>
            <w:r>
              <w:rPr>
                <w:rFonts w:ascii="Times New Roman" w:hAnsi="Times New Roman" w:eastAsia="Times New Roman"/>
                <w:b w:val="0"/>
                <w:sz w:val="16"/>
              </w:rPr>
              <w:t>Eₖ или Dₖ</w:t>
            </w:r>
          </w:p>
        </w:tc>
        <w:tc>
          <w:tcPr>
            <w:tcW w:type="dxa" w:w="4139"/>
            <w:vAlign w:val="center"/>
          </w:tcPr>
          <w:p>
            <w:r>
              <w:rPr>
                <w:rFonts w:ascii="Times New Roman" w:hAnsi="Times New Roman" w:eastAsia="Times New Roman"/>
                <w:b w:val="0"/>
                <w:sz w:val="16"/>
              </w:rPr>
              <w:t>Если поля восстановлены корректно, строится валидный Eₖ; иначе возвращается диагностическое состояние Dₖ.</w:t>
            </w:r>
          </w:p>
        </w:tc>
        <w:tc>
          <w:tcPr>
            <w:tcW w:type="dxa" w:w="2494"/>
            <w:vAlign w:val="center"/>
          </w:tcPr>
          <w:p>
            <w:r>
              <w:rPr>
                <w:rFonts w:ascii="Times New Roman" w:hAnsi="Times New Roman" w:eastAsia="Times New Roman"/>
                <w:b w:val="0"/>
                <w:sz w:val="16"/>
              </w:rPr>
              <w:t>аксиомы V1-V6, раздел 2.5</w:t>
            </w:r>
          </w:p>
        </w:tc>
      </w:tr>
      <w:tr>
        <w:trPr>
          <w:cantSplit/>
        </w:trPr>
        <w:tc>
          <w:tcPr>
            <w:tcW w:type="dxa" w:w="567"/>
            <w:vAlign w:val="center"/>
          </w:tcPr>
          <w:p>
            <w:r>
              <w:rPr>
                <w:rFonts w:ascii="Times New Roman" w:hAnsi="Times New Roman" w:eastAsia="Times New Roman"/>
                <w:b w:val="0"/>
                <w:sz w:val="16"/>
              </w:rPr>
              <w:t>4</w:t>
            </w:r>
          </w:p>
        </w:tc>
        <w:tc>
          <w:tcPr>
            <w:tcW w:type="dxa" w:w="1757"/>
            <w:vAlign w:val="center"/>
          </w:tcPr>
          <w:p>
            <w:r>
              <w:rPr>
                <w:rFonts w:ascii="Times New Roman" w:hAnsi="Times New Roman" w:eastAsia="Times New Roman"/>
                <w:b w:val="0"/>
                <w:sz w:val="16"/>
              </w:rPr>
              <w:t>Согласование Tᵢⱼ</w:t>
            </w:r>
          </w:p>
        </w:tc>
        <w:tc>
          <w:tcPr>
            <w:tcW w:type="dxa" w:w="4139"/>
            <w:vAlign w:val="center"/>
          </w:tcPr>
          <w:p>
            <w:r>
              <w:rPr>
                <w:rFonts w:ascii="Times New Roman" w:hAnsi="Times New Roman" w:eastAsia="Times New Roman"/>
                <w:b w:val="0"/>
                <w:sz w:val="16"/>
              </w:rPr>
              <w:t>Для соседних компонентов проверяется совместимость интерфейсов и вычисляется рассогласование γᵢⱼ.</w:t>
            </w:r>
          </w:p>
        </w:tc>
        <w:tc>
          <w:tcPr>
            <w:tcW w:type="dxa" w:w="2494"/>
            <w:vAlign w:val="center"/>
          </w:tcPr>
          <w:p>
            <w:r>
              <w:rPr>
                <w:rFonts w:ascii="Times New Roman" w:hAnsi="Times New Roman" w:eastAsia="Times New Roman"/>
                <w:b w:val="0"/>
                <w:sz w:val="16"/>
              </w:rPr>
              <w:t>Tᵢⱼ, формула (2.21), dE, формула (2.30), раздел 2.7</w:t>
            </w:r>
          </w:p>
        </w:tc>
      </w:tr>
      <w:tr>
        <w:trPr>
          <w:cantSplit/>
        </w:trPr>
        <w:tc>
          <w:tcPr>
            <w:tcW w:type="dxa" w:w="567"/>
            <w:vAlign w:val="center"/>
          </w:tcPr>
          <w:p>
            <w:r>
              <w:rPr>
                <w:rFonts w:ascii="Times New Roman" w:hAnsi="Times New Roman" w:eastAsia="Times New Roman"/>
                <w:b w:val="0"/>
                <w:sz w:val="16"/>
              </w:rPr>
              <w:t>5</w:t>
            </w:r>
          </w:p>
        </w:tc>
        <w:tc>
          <w:tcPr>
            <w:tcW w:type="dxa" w:w="1757"/>
            <w:vAlign w:val="center"/>
          </w:tcPr>
          <w:p>
            <w:r>
              <w:rPr>
                <w:rFonts w:ascii="Times New Roman" w:hAnsi="Times New Roman" w:eastAsia="Times New Roman"/>
                <w:b w:val="0"/>
                <w:sz w:val="16"/>
              </w:rPr>
              <w:t>Выбор F и редукция</w:t>
            </w:r>
          </w:p>
        </w:tc>
        <w:tc>
          <w:tcPr>
            <w:tcW w:type="dxa" w:w="4139"/>
            <w:vAlign w:val="center"/>
          </w:tcPr>
          <w:p>
            <w:r>
              <w:rPr>
                <w:rFonts w:ascii="Times New Roman" w:hAnsi="Times New Roman" w:eastAsia="Times New Roman"/>
                <w:b w:val="0"/>
                <w:sz w:val="16"/>
              </w:rPr>
              <w:t>Строится профиль Pₛᵢₜ, выбирается F0/Fint/NAS/FML, при упрощении вычисляется потеря Δ.</w:t>
            </w:r>
          </w:p>
        </w:tc>
        <w:tc>
          <w:tcPr>
            <w:tcW w:type="dxa" w:w="2494"/>
            <w:vAlign w:val="center"/>
          </w:tcPr>
          <w:p>
            <w:r>
              <w:rPr>
                <w:rFonts w:ascii="Times New Roman" w:hAnsi="Times New Roman" w:eastAsia="Times New Roman"/>
                <w:b w:val="0"/>
                <w:sz w:val="16"/>
              </w:rPr>
              <w:t>разделы 3.7-3.8, формула (3.29)</w:t>
            </w:r>
          </w:p>
        </w:tc>
      </w:tr>
      <w:tr>
        <w:trPr>
          <w:cantSplit/>
        </w:trPr>
        <w:tc>
          <w:tcPr>
            <w:tcW w:type="dxa" w:w="567"/>
            <w:vAlign w:val="center"/>
          </w:tcPr>
          <w:p>
            <w:r>
              <w:rPr>
                <w:rFonts w:ascii="Times New Roman" w:hAnsi="Times New Roman" w:eastAsia="Times New Roman"/>
                <w:b w:val="0"/>
                <w:sz w:val="16"/>
              </w:rPr>
              <w:t>6</w:t>
            </w:r>
          </w:p>
        </w:tc>
        <w:tc>
          <w:tcPr>
            <w:tcW w:type="dxa" w:w="1757"/>
            <w:vAlign w:val="center"/>
          </w:tcPr>
          <w:p>
            <w:r>
              <w:rPr>
                <w:rFonts w:ascii="Times New Roman" w:hAnsi="Times New Roman" w:eastAsia="Times New Roman"/>
                <w:b w:val="0"/>
                <w:sz w:val="16"/>
              </w:rPr>
              <w:t>Риск-наблюдатель</w:t>
            </w:r>
          </w:p>
        </w:tc>
        <w:tc>
          <w:tcPr>
            <w:tcW w:type="dxa" w:w="4139"/>
            <w:vAlign w:val="center"/>
          </w:tcPr>
          <w:p>
            <w:r>
              <w:rPr>
                <w:rFonts w:ascii="Times New Roman" w:hAnsi="Times New Roman" w:eastAsia="Times New Roman"/>
                <w:b w:val="0"/>
                <w:sz w:val="16"/>
              </w:rPr>
              <w:t>Вычисляются ρ, χ_R, χR,crit, χ_Auto и выбирается действие.</w:t>
            </w:r>
          </w:p>
        </w:tc>
        <w:tc>
          <w:tcPr>
            <w:tcW w:type="dxa" w:w="2494"/>
            <w:vAlign w:val="center"/>
          </w:tcPr>
          <w:p>
            <w:r>
              <w:rPr>
                <w:rFonts w:ascii="Times New Roman" w:hAnsi="Times New Roman" w:eastAsia="Times New Roman"/>
                <w:b w:val="0"/>
                <w:sz w:val="16"/>
              </w:rPr>
              <w:t>формулы (3.42), (3.44), раздел 3.20</w:t>
            </w:r>
          </w:p>
        </w:tc>
      </w:tr>
      <w:tr>
        <w:trPr>
          <w:cantSplit/>
        </w:trPr>
        <w:tc>
          <w:tcPr>
            <w:tcW w:type="dxa" w:w="567"/>
            <w:vAlign w:val="center"/>
          </w:tcPr>
          <w:p>
            <w:r>
              <w:rPr>
                <w:rFonts w:ascii="Times New Roman" w:hAnsi="Times New Roman" w:eastAsia="Times New Roman"/>
                <w:b w:val="0"/>
                <w:sz w:val="16"/>
              </w:rPr>
              <w:t>7</w:t>
            </w:r>
          </w:p>
        </w:tc>
        <w:tc>
          <w:tcPr>
            <w:tcW w:type="dxa" w:w="1757"/>
            <w:vAlign w:val="center"/>
          </w:tcPr>
          <w:p>
            <w:r>
              <w:rPr>
                <w:rFonts w:ascii="Times New Roman" w:hAnsi="Times New Roman" w:eastAsia="Times New Roman"/>
                <w:b w:val="0"/>
                <w:sz w:val="16"/>
              </w:rPr>
              <w:t>Доказательный слой</w:t>
            </w:r>
          </w:p>
        </w:tc>
        <w:tc>
          <w:tcPr>
            <w:tcW w:type="dxa" w:w="4139"/>
            <w:vAlign w:val="center"/>
          </w:tcPr>
          <w:p>
            <w:r>
              <w:rPr>
                <w:rFonts w:ascii="Times New Roman" w:hAnsi="Times New Roman" w:eastAsia="Times New Roman"/>
                <w:b w:val="0"/>
                <w:sz w:val="16"/>
              </w:rPr>
              <w:t>Фиксируются вход, ExplainPlan, вычисленные поля, диагностические состояния, действие и контрольные суммы.</w:t>
            </w:r>
          </w:p>
        </w:tc>
        <w:tc>
          <w:tcPr>
            <w:tcW w:type="dxa" w:w="2494"/>
            <w:vAlign w:val="center"/>
          </w:tcPr>
          <w:p>
            <w:r>
              <w:rPr>
                <w:rFonts w:ascii="Times New Roman" w:hAnsi="Times New Roman" w:eastAsia="Times New Roman"/>
                <w:b w:val="0"/>
                <w:sz w:val="16"/>
              </w:rPr>
              <w:t>τₖ, раздел 2.5; воспроизводимый след</w:t>
            </w:r>
          </w:p>
        </w:tc>
      </w:tr>
    </w:tbl>
    <w:p/>
    <w:p>
      <w:pPr>
        <w:ind w:firstLine="709"/>
        <w:jc w:val="both"/>
      </w:pPr>
      <w:r>
        <w:t>Важное следствие состоит в том, что пользовательский слой не вычисляет действие. Он только представляет уже вычисленный маршрут. Действие формируется риск-наблюдателем после прохождения обязательных проверок; пользовательская инспекция нужна для понимания причины и воспроизводимой проверки, но не подменяет операторный расчёт.</w:t>
      </w:r>
    </w:p>
    <w:p>
      <w:pPr>
        <w:pStyle w:val="Heading2"/>
      </w:pPr>
      <w:r>
        <w:t>4.3. Слои экосистемы и размещение операторов</w:t>
      </w:r>
    </w:p>
    <w:p>
      <w:pPr>
        <w:ind w:firstLine="709"/>
        <w:jc w:val="both"/>
      </w:pPr>
      <w:r>
        <w:t>Экосистема состоит из слоёв, каждый из которых выполняет отдельную функцию. Предметные источники поставляют данные и внешние результаты. Адаптеры строят объяснительные каналы. Объяснительное ядро выполняет построение Eₖ, согласование Tᵢⱼ и диагностический возврат. Слой неопределённости выбирает класс F и контролирует редукцию. Слой действия содержит риск-наблюдатель. Доказательный и пользовательский слой обеспечивают проверку и инспекцию маршрута.</w:t>
      </w:r>
    </w:p>
    <w:p>
      <w:pPr>
        <w:jc w:val="center"/>
      </w:pPr>
      <w:r>
        <w:drawing>
          <wp:inline xmlns:a="http://schemas.openxmlformats.org/drawingml/2006/main" xmlns:pic="http://schemas.openxmlformats.org/drawingml/2006/picture">
            <wp:extent cx="4937760" cy="3275391"/>
            <wp:docPr id="2" name="Picture 2"/>
            <wp:cNvGraphicFramePr>
              <a:graphicFrameLocks noChangeAspect="1"/>
            </wp:cNvGraphicFramePr>
            <a:graphic>
              <a:graphicData uri="http://schemas.openxmlformats.org/drawingml/2006/picture">
                <pic:pic>
                  <pic:nvPicPr>
                    <pic:cNvPr id="0" name="fig4_2_layers.png"/>
                    <pic:cNvPicPr/>
                  </pic:nvPicPr>
                  <pic:blipFill>
                    <a:blip r:embed="rId10"/>
                    <a:stretch>
                      <a:fillRect/>
                    </a:stretch>
                  </pic:blipFill>
                  <pic:spPr>
                    <a:xfrm>
                      <a:off x="0" y="0"/>
                      <a:ext cx="4937760" cy="3275391"/>
                    </a:xfrm>
                    <a:prstGeom prst="rect"/>
                  </pic:spPr>
                </pic:pic>
              </a:graphicData>
            </a:graphic>
          </wp:inline>
        </w:drawing>
      </w:r>
    </w:p>
    <w:p>
      <w:pPr>
        <w:pStyle w:val="Caption"/>
        <w:jc w:val="center"/>
      </w:pPr>
      <w:r>
        <w:t>Рисунок 4.2. Слои экосистемы FuzzyXAI и размещение операторов.</w:t>
      </w:r>
    </w:p>
    <w:p>
      <w:pPr>
        <w:pStyle w:val="Caption"/>
        <w:jc w:val="center"/>
      </w:pPr>
      <w:r>
        <w:t>Таблица 4.2. Размещение операторов глав 2-3 в слоях экосистемы.</w:t>
      </w:r>
    </w:p>
    <w:tbl>
      <w:tblPr>
        <w:tblStyle w:val="TableGrid"/>
        <w:tblW w:type="auto" w:w="0"/>
        <w:jc w:val="center"/>
        <w:tblLook w:firstColumn="1" w:firstRow="1" w:lastColumn="0" w:lastRow="0" w:noHBand="0" w:noVBand="1" w:val="04A0"/>
      </w:tblPr>
      <w:tblGrid>
        <w:gridCol w:w="2339"/>
        <w:gridCol w:w="2339"/>
        <w:gridCol w:w="2339"/>
        <w:gridCol w:w="2339"/>
      </w:tblGrid>
      <w:tr>
        <w:trPr>
          <w:tblHeader w:val="true"/>
          <w:cantSplit/>
        </w:trPr>
        <w:tc>
          <w:tcPr>
            <w:tcW w:type="dxa" w:w="1984"/>
            <w:vAlign w:val="center"/>
            <w:shd w:fill="D9EAF7"/>
          </w:tcPr>
          <w:p>
            <w:r>
              <w:rPr>
                <w:rFonts w:ascii="Times New Roman" w:hAnsi="Times New Roman" w:eastAsia="Times New Roman"/>
                <w:b/>
                <w:sz w:val="16"/>
              </w:rPr>
              <w:t>Оператор</w:t>
            </w:r>
          </w:p>
        </w:tc>
        <w:tc>
          <w:tcPr>
            <w:tcW w:type="dxa" w:w="1757"/>
            <w:vAlign w:val="center"/>
            <w:shd w:fill="D9EAF7"/>
          </w:tcPr>
          <w:p>
            <w:r>
              <w:rPr>
                <w:rFonts w:ascii="Times New Roman" w:hAnsi="Times New Roman" w:eastAsia="Times New Roman"/>
                <w:b/>
                <w:sz w:val="16"/>
              </w:rPr>
              <w:t>Слой экосистемы</w:t>
            </w:r>
          </w:p>
        </w:tc>
        <w:tc>
          <w:tcPr>
            <w:tcW w:type="dxa" w:w="3515"/>
            <w:vAlign w:val="center"/>
            <w:shd w:fill="D9EAF7"/>
          </w:tcPr>
          <w:p>
            <w:r>
              <w:rPr>
                <w:rFonts w:ascii="Times New Roman" w:hAnsi="Times New Roman" w:eastAsia="Times New Roman"/>
                <w:b/>
                <w:sz w:val="16"/>
              </w:rPr>
              <w:t>Что проверяет</w:t>
            </w:r>
          </w:p>
        </w:tc>
        <w:tc>
          <w:tcPr>
            <w:tcW w:type="dxa" w:w="1928"/>
            <w:vAlign w:val="center"/>
            <w:shd w:fill="D9EAF7"/>
          </w:tcPr>
          <w:p>
            <w:r>
              <w:rPr>
                <w:rFonts w:ascii="Times New Roman" w:hAnsi="Times New Roman" w:eastAsia="Times New Roman"/>
                <w:b/>
                <w:sz w:val="16"/>
              </w:rPr>
              <w:t>Формула / раздел</w:t>
            </w:r>
          </w:p>
        </w:tc>
      </w:tr>
      <w:tr>
        <w:trPr>
          <w:cantSplit/>
        </w:trPr>
        <w:tc>
          <w:tcPr>
            <w:tcW w:type="dxa" w:w="1984"/>
            <w:vAlign w:val="center"/>
          </w:tcPr>
          <w:p>
            <w:r>
              <w:rPr>
                <w:rFonts w:ascii="Times New Roman" w:hAnsi="Times New Roman" w:eastAsia="Times New Roman"/>
                <w:b w:val="0"/>
                <w:sz w:val="16"/>
              </w:rPr>
              <w:t>Построение Eₖ</w:t>
            </w:r>
          </w:p>
        </w:tc>
        <w:tc>
          <w:tcPr>
            <w:tcW w:type="dxa" w:w="1757"/>
            <w:vAlign w:val="center"/>
          </w:tcPr>
          <w:p>
            <w:r>
              <w:rPr>
                <w:rFonts w:ascii="Times New Roman" w:hAnsi="Times New Roman" w:eastAsia="Times New Roman"/>
                <w:b w:val="0"/>
                <w:sz w:val="16"/>
              </w:rPr>
              <w:t>адаптер / ядро</w:t>
            </w:r>
          </w:p>
        </w:tc>
        <w:tc>
          <w:tcPr>
            <w:tcW w:type="dxa" w:w="3515"/>
            <w:vAlign w:val="center"/>
          </w:tcPr>
          <w:p>
            <w:r>
              <w:rPr>
                <w:rFonts w:ascii="Times New Roman" w:hAnsi="Times New Roman" w:eastAsia="Times New Roman"/>
                <w:b w:val="0"/>
                <w:sz w:val="16"/>
              </w:rPr>
              <w:t>наличие L, μ, R, α, u, τ; валидность интерфейса</w:t>
            </w:r>
          </w:p>
        </w:tc>
        <w:tc>
          <w:tcPr>
            <w:tcW w:type="dxa" w:w="1928"/>
            <w:vAlign w:val="center"/>
          </w:tcPr>
          <w:p>
            <w:r>
              <w:rPr>
                <w:rFonts w:ascii="Times New Roman" w:hAnsi="Times New Roman" w:eastAsia="Times New Roman"/>
                <w:b w:val="0"/>
                <w:sz w:val="16"/>
              </w:rPr>
              <w:t>(2.7), раздел 2.5</w:t>
            </w:r>
          </w:p>
        </w:tc>
      </w:tr>
      <w:tr>
        <w:trPr>
          <w:cantSplit/>
        </w:trPr>
        <w:tc>
          <w:tcPr>
            <w:tcW w:type="dxa" w:w="1984"/>
            <w:vAlign w:val="center"/>
          </w:tcPr>
          <w:p>
            <w:r>
              <w:rPr>
                <w:rFonts w:ascii="Times New Roman" w:hAnsi="Times New Roman" w:eastAsia="Times New Roman"/>
                <w:b w:val="0"/>
                <w:sz w:val="16"/>
              </w:rPr>
              <w:t>Системный оператор Ωₖ</w:t>
            </w:r>
          </w:p>
        </w:tc>
        <w:tc>
          <w:tcPr>
            <w:tcW w:type="dxa" w:w="1757"/>
            <w:vAlign w:val="center"/>
          </w:tcPr>
          <w:p>
            <w:r>
              <w:rPr>
                <w:rFonts w:ascii="Times New Roman" w:hAnsi="Times New Roman" w:eastAsia="Times New Roman"/>
                <w:b w:val="0"/>
                <w:sz w:val="16"/>
              </w:rPr>
              <w:t>адаптер / ядро</w:t>
            </w:r>
          </w:p>
        </w:tc>
        <w:tc>
          <w:tcPr>
            <w:tcW w:type="dxa" w:w="3515"/>
            <w:vAlign w:val="center"/>
          </w:tcPr>
          <w:p>
            <w:r>
              <w:rPr>
                <w:rFonts w:ascii="Times New Roman" w:hAnsi="Times New Roman" w:eastAsia="Times New Roman"/>
                <w:b w:val="0"/>
                <w:sz w:val="16"/>
              </w:rPr>
              <w:t>переход от состояния компонента к Eₖ или Dₖ</w:t>
            </w:r>
          </w:p>
        </w:tc>
        <w:tc>
          <w:tcPr>
            <w:tcW w:type="dxa" w:w="1928"/>
            <w:vAlign w:val="center"/>
          </w:tcPr>
          <w:p>
            <w:r>
              <w:rPr>
                <w:rFonts w:ascii="Times New Roman" w:hAnsi="Times New Roman" w:eastAsia="Times New Roman"/>
                <w:b w:val="0"/>
                <w:sz w:val="16"/>
              </w:rPr>
              <w:t>раздел 2.6</w:t>
            </w:r>
          </w:p>
        </w:tc>
      </w:tr>
      <w:tr>
        <w:trPr>
          <w:cantSplit/>
        </w:trPr>
        <w:tc>
          <w:tcPr>
            <w:tcW w:type="dxa" w:w="1984"/>
            <w:vAlign w:val="center"/>
          </w:tcPr>
          <w:p>
            <w:r>
              <w:rPr>
                <w:rFonts w:ascii="Times New Roman" w:hAnsi="Times New Roman" w:eastAsia="Times New Roman"/>
                <w:b w:val="0"/>
                <w:sz w:val="16"/>
              </w:rPr>
              <w:t>Согласование Tᵢⱼ</w:t>
            </w:r>
          </w:p>
        </w:tc>
        <w:tc>
          <w:tcPr>
            <w:tcW w:type="dxa" w:w="1757"/>
            <w:vAlign w:val="center"/>
          </w:tcPr>
          <w:p>
            <w:r>
              <w:rPr>
                <w:rFonts w:ascii="Times New Roman" w:hAnsi="Times New Roman" w:eastAsia="Times New Roman"/>
                <w:b w:val="0"/>
                <w:sz w:val="16"/>
              </w:rPr>
              <w:t>объяснительное ядро</w:t>
            </w:r>
          </w:p>
        </w:tc>
        <w:tc>
          <w:tcPr>
            <w:tcW w:type="dxa" w:w="3515"/>
            <w:vAlign w:val="center"/>
          </w:tcPr>
          <w:p>
            <w:r>
              <w:rPr>
                <w:rFonts w:ascii="Times New Roman" w:hAnsi="Times New Roman" w:eastAsia="Times New Roman"/>
                <w:b w:val="0"/>
                <w:sz w:val="16"/>
              </w:rPr>
              <w:t>перенос терминов, правил, следа и вычисление γᵢⱼ</w:t>
            </w:r>
          </w:p>
        </w:tc>
        <w:tc>
          <w:tcPr>
            <w:tcW w:type="dxa" w:w="1928"/>
            <w:vAlign w:val="center"/>
          </w:tcPr>
          <w:p>
            <w:r>
              <w:rPr>
                <w:rFonts w:ascii="Times New Roman" w:hAnsi="Times New Roman" w:eastAsia="Times New Roman"/>
                <w:b w:val="0"/>
                <w:sz w:val="16"/>
              </w:rPr>
              <w:t>(2.21), (2.30), раздел 2.7</w:t>
            </w:r>
          </w:p>
        </w:tc>
      </w:tr>
      <w:tr>
        <w:trPr>
          <w:cantSplit/>
        </w:trPr>
        <w:tc>
          <w:tcPr>
            <w:tcW w:type="dxa" w:w="1984"/>
            <w:vAlign w:val="center"/>
          </w:tcPr>
          <w:p>
            <w:r>
              <w:rPr>
                <w:rFonts w:ascii="Times New Roman" w:hAnsi="Times New Roman" w:eastAsia="Times New Roman"/>
                <w:b w:val="0"/>
                <w:sz w:val="16"/>
              </w:rPr>
              <w:t>Диагностический возврат Dᵢⱼ</w:t>
            </w:r>
          </w:p>
        </w:tc>
        <w:tc>
          <w:tcPr>
            <w:tcW w:type="dxa" w:w="1757"/>
            <w:vAlign w:val="center"/>
          </w:tcPr>
          <w:p>
            <w:r>
              <w:rPr>
                <w:rFonts w:ascii="Times New Roman" w:hAnsi="Times New Roman" w:eastAsia="Times New Roman"/>
                <w:b w:val="0"/>
                <w:sz w:val="16"/>
              </w:rPr>
              <w:t>объяснительное ядро</w:t>
            </w:r>
          </w:p>
        </w:tc>
        <w:tc>
          <w:tcPr>
            <w:tcW w:type="dxa" w:w="3515"/>
            <w:vAlign w:val="center"/>
          </w:tcPr>
          <w:p>
            <w:r>
              <w:rPr>
                <w:rFonts w:ascii="Times New Roman" w:hAnsi="Times New Roman" w:eastAsia="Times New Roman"/>
                <w:b w:val="0"/>
                <w:sz w:val="16"/>
              </w:rPr>
              <w:t>локализация разрыва между компонентами</w:t>
            </w:r>
          </w:p>
        </w:tc>
        <w:tc>
          <w:tcPr>
            <w:tcW w:type="dxa" w:w="1928"/>
            <w:vAlign w:val="center"/>
          </w:tcPr>
          <w:p>
            <w:r>
              <w:rPr>
                <w:rFonts w:ascii="Times New Roman" w:hAnsi="Times New Roman" w:eastAsia="Times New Roman"/>
                <w:b w:val="0"/>
                <w:sz w:val="16"/>
              </w:rPr>
              <w:t>раздел 2.7</w:t>
            </w:r>
          </w:p>
        </w:tc>
      </w:tr>
      <w:tr>
        <w:trPr>
          <w:cantSplit/>
        </w:trPr>
        <w:tc>
          <w:tcPr>
            <w:tcW w:type="dxa" w:w="1984"/>
            <w:vAlign w:val="center"/>
          </w:tcPr>
          <w:p>
            <w:r>
              <w:rPr>
                <w:rFonts w:ascii="Times New Roman" w:hAnsi="Times New Roman" w:eastAsia="Times New Roman"/>
                <w:b w:val="0"/>
                <w:sz w:val="16"/>
              </w:rPr>
              <w:t>Выбор класса F</w:t>
            </w:r>
          </w:p>
        </w:tc>
        <w:tc>
          <w:tcPr>
            <w:tcW w:type="dxa" w:w="1757"/>
            <w:vAlign w:val="center"/>
          </w:tcPr>
          <w:p>
            <w:r>
              <w:rPr>
                <w:rFonts w:ascii="Times New Roman" w:hAnsi="Times New Roman" w:eastAsia="Times New Roman"/>
                <w:b w:val="0"/>
                <w:sz w:val="16"/>
              </w:rPr>
              <w:t>слой неопределённости</w:t>
            </w:r>
          </w:p>
        </w:tc>
        <w:tc>
          <w:tcPr>
            <w:tcW w:type="dxa" w:w="3515"/>
            <w:vAlign w:val="center"/>
          </w:tcPr>
          <w:p>
            <w:r>
              <w:rPr>
                <w:rFonts w:ascii="Times New Roman" w:hAnsi="Times New Roman" w:eastAsia="Times New Roman"/>
                <w:b w:val="0"/>
                <w:sz w:val="16"/>
              </w:rPr>
              <w:t>покрытие профиля Pₛᵢₜ классами F0, Fint, NAS, FML</w:t>
            </w:r>
          </w:p>
        </w:tc>
        <w:tc>
          <w:tcPr>
            <w:tcW w:type="dxa" w:w="1928"/>
            <w:vAlign w:val="center"/>
          </w:tcPr>
          <w:p>
            <w:r>
              <w:rPr>
                <w:rFonts w:ascii="Times New Roman" w:hAnsi="Times New Roman" w:eastAsia="Times New Roman"/>
                <w:b w:val="0"/>
                <w:sz w:val="16"/>
              </w:rPr>
              <w:t>раздел 3.8</w:t>
            </w:r>
          </w:p>
        </w:tc>
      </w:tr>
      <w:tr>
        <w:trPr>
          <w:cantSplit/>
        </w:trPr>
        <w:tc>
          <w:tcPr>
            <w:tcW w:type="dxa" w:w="1984"/>
            <w:vAlign w:val="center"/>
          </w:tcPr>
          <w:p>
            <w:r>
              <w:rPr>
                <w:rFonts w:ascii="Times New Roman" w:hAnsi="Times New Roman" w:eastAsia="Times New Roman"/>
                <w:b w:val="0"/>
                <w:sz w:val="16"/>
              </w:rPr>
              <w:t>Редукция Δ</w:t>
            </w:r>
          </w:p>
        </w:tc>
        <w:tc>
          <w:tcPr>
            <w:tcW w:type="dxa" w:w="1757"/>
            <w:vAlign w:val="center"/>
          </w:tcPr>
          <w:p>
            <w:r>
              <w:rPr>
                <w:rFonts w:ascii="Times New Roman" w:hAnsi="Times New Roman" w:eastAsia="Times New Roman"/>
                <w:b w:val="0"/>
                <w:sz w:val="16"/>
              </w:rPr>
              <w:t>слой неопределённости / отчёт</w:t>
            </w:r>
          </w:p>
        </w:tc>
        <w:tc>
          <w:tcPr>
            <w:tcW w:type="dxa" w:w="3515"/>
            <w:vAlign w:val="center"/>
          </w:tcPr>
          <w:p>
            <w:r>
              <w:rPr>
                <w:rFonts w:ascii="Times New Roman" w:hAnsi="Times New Roman" w:eastAsia="Times New Roman"/>
                <w:b w:val="0"/>
                <w:sz w:val="16"/>
              </w:rPr>
              <w:t>контроль потери при упрощении представления</w:t>
            </w:r>
          </w:p>
        </w:tc>
        <w:tc>
          <w:tcPr>
            <w:tcW w:type="dxa" w:w="1928"/>
            <w:vAlign w:val="center"/>
          </w:tcPr>
          <w:p>
            <w:r>
              <w:rPr>
                <w:rFonts w:ascii="Times New Roman" w:hAnsi="Times New Roman" w:eastAsia="Times New Roman"/>
                <w:b w:val="0"/>
                <w:sz w:val="16"/>
              </w:rPr>
              <w:t>(3.29), раздел 3.7</w:t>
            </w:r>
          </w:p>
        </w:tc>
      </w:tr>
      <w:tr>
        <w:trPr>
          <w:cantSplit/>
        </w:trPr>
        <w:tc>
          <w:tcPr>
            <w:tcW w:type="dxa" w:w="1984"/>
            <w:vAlign w:val="center"/>
          </w:tcPr>
          <w:p>
            <w:r>
              <w:rPr>
                <w:rFonts w:ascii="Times New Roman" w:hAnsi="Times New Roman" w:eastAsia="Times New Roman"/>
                <w:b w:val="0"/>
                <w:sz w:val="16"/>
              </w:rPr>
              <w:t>Риск-наблюдатель</w:t>
            </w:r>
          </w:p>
        </w:tc>
        <w:tc>
          <w:tcPr>
            <w:tcW w:type="dxa" w:w="1757"/>
            <w:vAlign w:val="center"/>
          </w:tcPr>
          <w:p>
            <w:r>
              <w:rPr>
                <w:rFonts w:ascii="Times New Roman" w:hAnsi="Times New Roman" w:eastAsia="Times New Roman"/>
                <w:b w:val="0"/>
                <w:sz w:val="16"/>
              </w:rPr>
              <w:t>слой действия</w:t>
            </w:r>
          </w:p>
        </w:tc>
        <w:tc>
          <w:tcPr>
            <w:tcW w:type="dxa" w:w="3515"/>
            <w:vAlign w:val="center"/>
          </w:tcPr>
          <w:p>
            <w:r>
              <w:rPr>
                <w:rFonts w:ascii="Times New Roman" w:hAnsi="Times New Roman" w:eastAsia="Times New Roman"/>
                <w:b w:val="0"/>
                <w:sz w:val="16"/>
              </w:rPr>
              <w:t>ρ, χ_R, χR,crit, χ_Auto и итоговое действие</w:t>
            </w:r>
          </w:p>
        </w:tc>
        <w:tc>
          <w:tcPr>
            <w:tcW w:type="dxa" w:w="1928"/>
            <w:vAlign w:val="center"/>
          </w:tcPr>
          <w:p>
            <w:r>
              <w:rPr>
                <w:rFonts w:ascii="Times New Roman" w:hAnsi="Times New Roman" w:eastAsia="Times New Roman"/>
                <w:b w:val="0"/>
                <w:sz w:val="16"/>
              </w:rPr>
              <w:t>(3.42), (3.44), раздел 3.20</w:t>
            </w:r>
          </w:p>
        </w:tc>
      </w:tr>
    </w:tbl>
    <w:p/>
    <w:p>
      <w:pPr>
        <w:pStyle w:val="Heading2"/>
      </w:pPr>
      <w:r>
        <w:t>4.4. Адаптер как проверяющее отображение</w:t>
      </w:r>
    </w:p>
    <w:p>
      <w:pPr>
        <w:ind w:firstLine="709"/>
        <w:jc w:val="both"/>
      </w:pPr>
      <w:r>
        <w:t>Адаптер не является простым преобразователем формата. Он является проверяющим отображением, которое либо строит валидный объяснительный объект, либо возвращает диагностическое состояние. Формально для внешнего артефакта Xₖ и спецификации ExplainPlan Pₖ адаптер задаётся как частично определённое отображение:</w:t>
      </w:r>
    </w:p>
    <w:p>
      <w:pPr>
        <w:jc w:val="center"/>
      </w:pPr>
      <w:r>
        <w:rPr>
          <w:rFonts w:ascii="Cambria Math" w:hAnsi="Cambria Math" w:eastAsia="Cambria Math"/>
          <w:sz w:val="22"/>
        </w:rPr>
        <w:t>Aₖ : Xₖ × Pₖ → Eₖ ∪ Dₖ.</w:t>
      </w:r>
    </w:p>
    <w:p>
      <w:pPr>
        <w:ind w:firstLine="709"/>
        <w:jc w:val="both"/>
      </w:pPr>
      <w:r>
        <w:t>Здесь Xₖ обозначает внешний артефакт, Pₖ - зафиксированную спецификацию ExplainPlan, Eₖ - валидный объяснительный объект, а Dₖ - диагностический отказ. Адаптер считается допустимым только в том случае, если он не добавляет отсутствующие объяснительные поля произвольно. Он либо восстанавливает их по процедурам ExplainPlan, либо возвращает диагностическое состояние.</w:t>
      </w:r>
    </w:p>
    <w:p>
      <w:pPr>
        <w:jc w:val="center"/>
      </w:pPr>
      <w:r>
        <w:drawing>
          <wp:inline xmlns:a="http://schemas.openxmlformats.org/drawingml/2006/main" xmlns:pic="http://schemas.openxmlformats.org/drawingml/2006/picture">
            <wp:extent cx="5394960" cy="1778623"/>
            <wp:docPr id="3" name="Picture 3"/>
            <wp:cNvGraphicFramePr>
              <a:graphicFrameLocks noChangeAspect="1"/>
            </wp:cNvGraphicFramePr>
            <a:graphic>
              <a:graphicData uri="http://schemas.openxmlformats.org/drawingml/2006/picture">
                <pic:pic>
                  <pic:nvPicPr>
                    <pic:cNvPr id="0" name="fig4_4_adapter.png"/>
                    <pic:cNvPicPr/>
                  </pic:nvPicPr>
                  <pic:blipFill>
                    <a:blip r:embed="rId11"/>
                    <a:stretch>
                      <a:fillRect/>
                    </a:stretch>
                  </pic:blipFill>
                  <pic:spPr>
                    <a:xfrm>
                      <a:off x="0" y="0"/>
                      <a:ext cx="5394960" cy="1778623"/>
                    </a:xfrm>
                    <a:prstGeom prst="rect"/>
                  </pic:spPr>
                </pic:pic>
              </a:graphicData>
            </a:graphic>
          </wp:inline>
        </w:drawing>
      </w:r>
    </w:p>
    <w:p>
      <w:pPr>
        <w:pStyle w:val="Caption"/>
        <w:jc w:val="center"/>
      </w:pPr>
      <w:r>
        <w:t>Рисунок 4.3. Адаптер как проверяющее отображение внешнего артефакта.</w:t>
      </w:r>
    </w:p>
    <w:p>
      <w:pPr>
        <w:pStyle w:val="Heading3"/>
      </w:pPr>
      <w:r>
        <w:t>4.4.1. Процедура построения Eₖ адаптером</w:t>
      </w:r>
    </w:p>
    <w:p>
      <w:pPr>
        <w:ind w:firstLine="709"/>
        <w:jc w:val="both"/>
      </w:pPr>
      <w:r>
        <w:t>Процедура построения Eₖ зависит от типа внешнего результата, но её выходная форма остаётся единой. В модельном адаптере оценка класса или доверия нормируется и переводится в степени принадлежности μ по функциям ExplainPlan; неопределённость вычисляется по политике uₖ, а источник и параметры запуска сохраняются в τₖ. В правиловом адаптере исходные правила переводятся в Rₖ, степени их срабатывания - в αₖ, после чего проверяется запрещённый конфликт правил V6. В адаптере локального объяснителя вклады признаков переводятся в лингвистические термы влияния и получают источник происхождения. В адаптере изображений качество сегментации либо остаётся отчётным полем, либо повышается до обязательного канала, если влияет на действие. В геоинформационном адаптере источник слоя, масштаб, координатная привязка и пространственные признаки сохраняются в τₖ и правилах маршрута.</w:t>
      </w:r>
    </w:p>
    <w:p>
      <w:pPr>
        <w:pStyle w:val="Caption"/>
        <w:jc w:val="center"/>
      </w:pPr>
      <w:r>
        <w:t>Таблица 4.3. Построение объяснительного объекта разными типами адаптеров.</w:t>
      </w:r>
    </w:p>
    <w:tbl>
      <w:tblPr>
        <w:tblStyle w:val="TableGrid"/>
        <w:tblW w:type="auto" w:w="0"/>
        <w:jc w:val="center"/>
        <w:tblLook w:firstColumn="1" w:firstRow="1" w:lastColumn="0" w:lastRow="0" w:noHBand="0" w:noVBand="1" w:val="04A0"/>
      </w:tblPr>
      <w:tblGrid>
        <w:gridCol w:w="2339"/>
        <w:gridCol w:w="2339"/>
        <w:gridCol w:w="2339"/>
        <w:gridCol w:w="2339"/>
      </w:tblGrid>
      <w:tr>
        <w:trPr>
          <w:tblHeader w:val="true"/>
          <w:cantSplit/>
        </w:trPr>
        <w:tc>
          <w:tcPr>
            <w:tcW w:type="dxa" w:w="1701"/>
            <w:vAlign w:val="center"/>
            <w:shd w:fill="D9EAF7"/>
          </w:tcPr>
          <w:p>
            <w:r>
              <w:rPr>
                <w:rFonts w:ascii="Times New Roman" w:hAnsi="Times New Roman" w:eastAsia="Times New Roman"/>
                <w:b/>
                <w:sz w:val="16"/>
              </w:rPr>
              <w:t>Тип адаптера</w:t>
            </w:r>
          </w:p>
        </w:tc>
        <w:tc>
          <w:tcPr>
            <w:tcW w:type="dxa" w:w="2041"/>
            <w:vAlign w:val="center"/>
            <w:shd w:fill="D9EAF7"/>
          </w:tcPr>
          <w:p>
            <w:r>
              <w:rPr>
                <w:rFonts w:ascii="Times New Roman" w:hAnsi="Times New Roman" w:eastAsia="Times New Roman"/>
                <w:b/>
                <w:sz w:val="16"/>
              </w:rPr>
              <w:t>Вход</w:t>
            </w:r>
          </w:p>
        </w:tc>
        <w:tc>
          <w:tcPr>
            <w:tcW w:type="dxa" w:w="2381"/>
            <w:vAlign w:val="center"/>
            <w:shd w:fill="D9EAF7"/>
          </w:tcPr>
          <w:p>
            <w:r>
              <w:rPr>
                <w:rFonts w:ascii="Times New Roman" w:hAnsi="Times New Roman" w:eastAsia="Times New Roman"/>
                <w:b/>
                <w:sz w:val="16"/>
              </w:rPr>
              <w:t>Поля Eₖ</w:t>
            </w:r>
          </w:p>
        </w:tc>
        <w:tc>
          <w:tcPr>
            <w:tcW w:type="dxa" w:w="2948"/>
            <w:vAlign w:val="center"/>
            <w:shd w:fill="D9EAF7"/>
          </w:tcPr>
          <w:p>
            <w:r>
              <w:rPr>
                <w:rFonts w:ascii="Times New Roman" w:hAnsi="Times New Roman" w:eastAsia="Times New Roman"/>
                <w:b/>
                <w:sz w:val="16"/>
              </w:rPr>
              <w:t>Диагностический отказ</w:t>
            </w:r>
          </w:p>
        </w:tc>
      </w:tr>
      <w:tr>
        <w:trPr>
          <w:cantSplit/>
        </w:trPr>
        <w:tc>
          <w:tcPr>
            <w:tcW w:type="dxa" w:w="1701"/>
            <w:vAlign w:val="center"/>
          </w:tcPr>
          <w:p>
            <w:r>
              <w:rPr>
                <w:rFonts w:ascii="Times New Roman" w:hAnsi="Times New Roman" w:eastAsia="Times New Roman"/>
                <w:b w:val="0"/>
                <w:sz w:val="16"/>
              </w:rPr>
              <w:t>модельный</w:t>
            </w:r>
          </w:p>
        </w:tc>
        <w:tc>
          <w:tcPr>
            <w:tcW w:type="dxa" w:w="2041"/>
            <w:vAlign w:val="center"/>
          </w:tcPr>
          <w:p>
            <w:r>
              <w:rPr>
                <w:rFonts w:ascii="Times New Roman" w:hAnsi="Times New Roman" w:eastAsia="Times New Roman"/>
                <w:b w:val="0"/>
                <w:sz w:val="16"/>
              </w:rPr>
              <w:t>вероятность, оценка доверия, выход модели</w:t>
            </w:r>
          </w:p>
        </w:tc>
        <w:tc>
          <w:tcPr>
            <w:tcW w:type="dxa" w:w="2381"/>
            <w:vAlign w:val="center"/>
          </w:tcPr>
          <w:p>
            <w:r>
              <w:rPr>
                <w:rFonts w:ascii="Times New Roman" w:hAnsi="Times New Roman" w:eastAsia="Times New Roman"/>
                <w:b w:val="0"/>
                <w:sz w:val="16"/>
              </w:rPr>
              <w:t>L, μ, u, τ</w:t>
            </w:r>
          </w:p>
        </w:tc>
        <w:tc>
          <w:tcPr>
            <w:tcW w:type="dxa" w:w="2948"/>
            <w:vAlign w:val="center"/>
          </w:tcPr>
          <w:p>
            <w:r>
              <w:rPr>
                <w:rFonts w:ascii="Times New Roman" w:hAnsi="Times New Roman" w:eastAsia="Times New Roman"/>
                <w:b w:val="0"/>
                <w:sz w:val="16"/>
              </w:rPr>
              <w:t>Dₖ^norm или Dₖ^trace при невозможности нормировки или отсутствующем источнике</w:t>
            </w:r>
          </w:p>
        </w:tc>
      </w:tr>
      <w:tr>
        <w:trPr>
          <w:cantSplit/>
        </w:trPr>
        <w:tc>
          <w:tcPr>
            <w:tcW w:type="dxa" w:w="1701"/>
            <w:vAlign w:val="center"/>
          </w:tcPr>
          <w:p>
            <w:r>
              <w:rPr>
                <w:rFonts w:ascii="Times New Roman" w:hAnsi="Times New Roman" w:eastAsia="Times New Roman"/>
                <w:b w:val="0"/>
                <w:sz w:val="16"/>
              </w:rPr>
              <w:t>правиловой</w:t>
            </w:r>
          </w:p>
        </w:tc>
        <w:tc>
          <w:tcPr>
            <w:tcW w:type="dxa" w:w="2041"/>
            <w:vAlign w:val="center"/>
          </w:tcPr>
          <w:p>
            <w:r>
              <w:rPr>
                <w:rFonts w:ascii="Times New Roman" w:hAnsi="Times New Roman" w:eastAsia="Times New Roman"/>
                <w:b w:val="0"/>
                <w:sz w:val="16"/>
              </w:rPr>
              <w:t>условия, заключения, активации</w:t>
            </w:r>
          </w:p>
        </w:tc>
        <w:tc>
          <w:tcPr>
            <w:tcW w:type="dxa" w:w="2381"/>
            <w:vAlign w:val="center"/>
          </w:tcPr>
          <w:p>
            <w:r>
              <w:rPr>
                <w:rFonts w:ascii="Times New Roman" w:hAnsi="Times New Roman" w:eastAsia="Times New Roman"/>
                <w:b w:val="0"/>
                <w:sz w:val="16"/>
              </w:rPr>
              <w:t>R, α, μ, τ</w:t>
            </w:r>
          </w:p>
        </w:tc>
        <w:tc>
          <w:tcPr>
            <w:tcW w:type="dxa" w:w="2948"/>
            <w:vAlign w:val="center"/>
          </w:tcPr>
          <w:p>
            <w:r>
              <w:rPr>
                <w:rFonts w:ascii="Times New Roman" w:hAnsi="Times New Roman" w:eastAsia="Times New Roman"/>
                <w:b w:val="0"/>
                <w:sz w:val="16"/>
              </w:rPr>
              <w:t>Dₖ^rule при запрещённом конфликте правил</w:t>
            </w:r>
          </w:p>
        </w:tc>
      </w:tr>
      <w:tr>
        <w:trPr>
          <w:cantSplit/>
        </w:trPr>
        <w:tc>
          <w:tcPr>
            <w:tcW w:type="dxa" w:w="1701"/>
            <w:vAlign w:val="center"/>
          </w:tcPr>
          <w:p>
            <w:r>
              <w:rPr>
                <w:rFonts w:ascii="Times New Roman" w:hAnsi="Times New Roman" w:eastAsia="Times New Roman"/>
                <w:b w:val="0"/>
                <w:sz w:val="16"/>
              </w:rPr>
              <w:t>локального объяснителя</w:t>
            </w:r>
          </w:p>
        </w:tc>
        <w:tc>
          <w:tcPr>
            <w:tcW w:type="dxa" w:w="2041"/>
            <w:vAlign w:val="center"/>
          </w:tcPr>
          <w:p>
            <w:r>
              <w:rPr>
                <w:rFonts w:ascii="Times New Roman" w:hAnsi="Times New Roman" w:eastAsia="Times New Roman"/>
                <w:b w:val="0"/>
                <w:sz w:val="16"/>
              </w:rPr>
              <w:t>вклады признаков, локальные суррогаты</w:t>
            </w:r>
          </w:p>
        </w:tc>
        <w:tc>
          <w:tcPr>
            <w:tcW w:type="dxa" w:w="2381"/>
            <w:vAlign w:val="center"/>
          </w:tcPr>
          <w:p>
            <w:r>
              <w:rPr>
                <w:rFonts w:ascii="Times New Roman" w:hAnsi="Times New Roman" w:eastAsia="Times New Roman"/>
                <w:b w:val="0"/>
                <w:sz w:val="16"/>
              </w:rPr>
              <w:t>термы влияния, источник, α</w:t>
            </w:r>
          </w:p>
        </w:tc>
        <w:tc>
          <w:tcPr>
            <w:tcW w:type="dxa" w:w="2948"/>
            <w:vAlign w:val="center"/>
          </w:tcPr>
          <w:p>
            <w:r>
              <w:rPr>
                <w:rFonts w:ascii="Times New Roman" w:hAnsi="Times New Roman" w:eastAsia="Times New Roman"/>
                <w:b w:val="0"/>
                <w:sz w:val="16"/>
              </w:rPr>
              <w:t>Dₖ^incomplete при отсутствии связи с исходным признаком</w:t>
            </w:r>
          </w:p>
        </w:tc>
      </w:tr>
      <w:tr>
        <w:trPr>
          <w:cantSplit/>
        </w:trPr>
        <w:tc>
          <w:tcPr>
            <w:tcW w:type="dxa" w:w="1701"/>
            <w:vAlign w:val="center"/>
          </w:tcPr>
          <w:p>
            <w:r>
              <w:rPr>
                <w:rFonts w:ascii="Times New Roman" w:hAnsi="Times New Roman" w:eastAsia="Times New Roman"/>
                <w:b w:val="0"/>
                <w:sz w:val="16"/>
              </w:rPr>
              <w:t>изображений</w:t>
            </w:r>
          </w:p>
        </w:tc>
        <w:tc>
          <w:tcPr>
            <w:tcW w:type="dxa" w:w="2041"/>
            <w:vAlign w:val="center"/>
          </w:tcPr>
          <w:p>
            <w:r>
              <w:rPr>
                <w:rFonts w:ascii="Times New Roman" w:hAnsi="Times New Roman" w:eastAsia="Times New Roman"/>
                <w:b w:val="0"/>
                <w:sz w:val="16"/>
              </w:rPr>
              <w:t>маска, качество, локальная область</w:t>
            </w:r>
          </w:p>
        </w:tc>
        <w:tc>
          <w:tcPr>
            <w:tcW w:type="dxa" w:w="2381"/>
            <w:vAlign w:val="center"/>
          </w:tcPr>
          <w:p>
            <w:r>
              <w:rPr>
                <w:rFonts w:ascii="Times New Roman" w:hAnsi="Times New Roman" w:eastAsia="Times New Roman"/>
                <w:b w:val="0"/>
                <w:sz w:val="16"/>
              </w:rPr>
              <w:t>доменный канал или правило качества</w:t>
            </w:r>
          </w:p>
        </w:tc>
        <w:tc>
          <w:tcPr>
            <w:tcW w:type="dxa" w:w="2948"/>
            <w:vAlign w:val="center"/>
          </w:tcPr>
          <w:p>
            <w:r>
              <w:rPr>
                <w:rFonts w:ascii="Times New Roman" w:hAnsi="Times New Roman" w:eastAsia="Times New Roman"/>
                <w:b w:val="0"/>
                <w:sz w:val="16"/>
              </w:rPr>
              <w:t>Dₖ^quality при критическом качестве источника признаков</w:t>
            </w:r>
          </w:p>
        </w:tc>
      </w:tr>
      <w:tr>
        <w:trPr>
          <w:cantSplit/>
        </w:trPr>
        <w:tc>
          <w:tcPr>
            <w:tcW w:type="dxa" w:w="1701"/>
            <w:vAlign w:val="center"/>
          </w:tcPr>
          <w:p>
            <w:r>
              <w:rPr>
                <w:rFonts w:ascii="Times New Roman" w:hAnsi="Times New Roman" w:eastAsia="Times New Roman"/>
                <w:b w:val="0"/>
                <w:sz w:val="16"/>
              </w:rPr>
              <w:t>геоинформационный</w:t>
            </w:r>
          </w:p>
        </w:tc>
        <w:tc>
          <w:tcPr>
            <w:tcW w:type="dxa" w:w="2041"/>
            <w:vAlign w:val="center"/>
          </w:tcPr>
          <w:p>
            <w:r>
              <w:rPr>
                <w:rFonts w:ascii="Times New Roman" w:hAnsi="Times New Roman" w:eastAsia="Times New Roman"/>
                <w:b w:val="0"/>
                <w:sz w:val="16"/>
              </w:rPr>
              <w:t>слой, координаты, масштаб, признаки</w:t>
            </w:r>
          </w:p>
        </w:tc>
        <w:tc>
          <w:tcPr>
            <w:tcW w:type="dxa" w:w="2381"/>
            <w:vAlign w:val="center"/>
          </w:tcPr>
          <w:p>
            <w:r>
              <w:rPr>
                <w:rFonts w:ascii="Times New Roman" w:hAnsi="Times New Roman" w:eastAsia="Times New Roman"/>
                <w:b w:val="0"/>
                <w:sz w:val="16"/>
              </w:rPr>
              <w:t>пространственные признаки, правила, τ</w:t>
            </w:r>
          </w:p>
        </w:tc>
        <w:tc>
          <w:tcPr>
            <w:tcW w:type="dxa" w:w="2948"/>
            <w:vAlign w:val="center"/>
          </w:tcPr>
          <w:p>
            <w:r>
              <w:rPr>
                <w:rFonts w:ascii="Times New Roman" w:hAnsi="Times New Roman" w:eastAsia="Times New Roman"/>
                <w:b w:val="0"/>
                <w:sz w:val="16"/>
              </w:rPr>
              <w:t>Dₖ^trace при незафиксированном источнике слоя</w:t>
            </w:r>
          </w:p>
        </w:tc>
      </w:tr>
    </w:tbl>
    <w:p/>
    <w:p>
      <w:pPr>
        <w:pStyle w:val="Caption"/>
        <w:jc w:val="center"/>
      </w:pPr>
      <w:r>
        <w:t>Таблица 4.4. Типовые диагностические состояния в экосистеме.</w:t>
      </w:r>
    </w:p>
    <w:tbl>
      <w:tblPr>
        <w:tblStyle w:val="TableGrid"/>
        <w:tblW w:type="auto" w:w="0"/>
        <w:jc w:val="center"/>
        <w:tblLook w:firstColumn="1" w:firstRow="1" w:lastColumn="0" w:lastRow="0" w:noHBand="0" w:noVBand="1" w:val="04A0"/>
      </w:tblPr>
      <w:tblGrid>
        <w:gridCol w:w="3118"/>
        <w:gridCol w:w="3118"/>
        <w:gridCol w:w="3118"/>
      </w:tblGrid>
      <w:tr>
        <w:trPr>
          <w:tblHeader w:val="true"/>
          <w:cantSplit/>
        </w:trPr>
        <w:tc>
          <w:tcPr>
            <w:tcW w:type="dxa" w:w="1871"/>
            <w:vAlign w:val="center"/>
            <w:shd w:fill="D9EAF7"/>
          </w:tcPr>
          <w:p>
            <w:r>
              <w:rPr>
                <w:rFonts w:ascii="Times New Roman" w:hAnsi="Times New Roman" w:eastAsia="Times New Roman"/>
                <w:b/>
                <w:sz w:val="16"/>
              </w:rPr>
              <w:t>Диагностическое состояние</w:t>
            </w:r>
          </w:p>
        </w:tc>
        <w:tc>
          <w:tcPr>
            <w:tcW w:type="dxa" w:w="3628"/>
            <w:vAlign w:val="center"/>
            <w:shd w:fill="D9EAF7"/>
          </w:tcPr>
          <w:p>
            <w:r>
              <w:rPr>
                <w:rFonts w:ascii="Times New Roman" w:hAnsi="Times New Roman" w:eastAsia="Times New Roman"/>
                <w:b/>
                <w:sz w:val="16"/>
              </w:rPr>
              <w:t>Причина</w:t>
            </w:r>
          </w:p>
        </w:tc>
        <w:tc>
          <w:tcPr>
            <w:tcW w:type="dxa" w:w="3402"/>
            <w:vAlign w:val="center"/>
            <w:shd w:fill="D9EAF7"/>
          </w:tcPr>
          <w:p>
            <w:r>
              <w:rPr>
                <w:rFonts w:ascii="Times New Roman" w:hAnsi="Times New Roman" w:eastAsia="Times New Roman"/>
                <w:b/>
                <w:sz w:val="16"/>
              </w:rPr>
              <w:t>Дальнейшее действие</w:t>
            </w:r>
          </w:p>
        </w:tc>
      </w:tr>
      <w:tr>
        <w:trPr>
          <w:cantSplit/>
        </w:trPr>
        <w:tc>
          <w:tcPr>
            <w:tcW w:type="dxa" w:w="1871"/>
            <w:vAlign w:val="center"/>
          </w:tcPr>
          <w:p>
            <w:r>
              <w:rPr>
                <w:rFonts w:ascii="Times New Roman" w:hAnsi="Times New Roman" w:eastAsia="Times New Roman"/>
                <w:b w:val="0"/>
                <w:sz w:val="16"/>
              </w:rPr>
              <w:t>Dₖ^incomplete</w:t>
            </w:r>
          </w:p>
        </w:tc>
        <w:tc>
          <w:tcPr>
            <w:tcW w:type="dxa" w:w="3628"/>
            <w:vAlign w:val="center"/>
          </w:tcPr>
          <w:p>
            <w:r>
              <w:rPr>
                <w:rFonts w:ascii="Times New Roman" w:hAnsi="Times New Roman" w:eastAsia="Times New Roman"/>
                <w:b w:val="0"/>
                <w:sz w:val="16"/>
              </w:rPr>
              <w:t>не хватает обязательных полей объяснительного интерфейса</w:t>
            </w:r>
          </w:p>
        </w:tc>
        <w:tc>
          <w:tcPr>
            <w:tcW w:type="dxa" w:w="3402"/>
            <w:vAlign w:val="center"/>
          </w:tcPr>
          <w:p>
            <w:r>
              <w:rPr>
                <w:rFonts w:ascii="Times New Roman" w:hAnsi="Times New Roman" w:eastAsia="Times New Roman"/>
                <w:b w:val="0"/>
                <w:sz w:val="16"/>
              </w:rPr>
              <w:t>не допускать к ядру; запросить доопределение</w:t>
            </w:r>
          </w:p>
        </w:tc>
      </w:tr>
      <w:tr>
        <w:trPr>
          <w:cantSplit/>
        </w:trPr>
        <w:tc>
          <w:tcPr>
            <w:tcW w:type="dxa" w:w="1871"/>
            <w:vAlign w:val="center"/>
          </w:tcPr>
          <w:p>
            <w:r>
              <w:rPr>
                <w:rFonts w:ascii="Times New Roman" w:hAnsi="Times New Roman" w:eastAsia="Times New Roman"/>
                <w:b w:val="0"/>
                <w:sz w:val="16"/>
              </w:rPr>
              <w:t>Dₖ^trace</w:t>
            </w:r>
          </w:p>
        </w:tc>
        <w:tc>
          <w:tcPr>
            <w:tcW w:type="dxa" w:w="3628"/>
            <w:vAlign w:val="center"/>
          </w:tcPr>
          <w:p>
            <w:r>
              <w:rPr>
                <w:rFonts w:ascii="Times New Roman" w:hAnsi="Times New Roman" w:eastAsia="Times New Roman"/>
                <w:b w:val="0"/>
                <w:sz w:val="16"/>
              </w:rPr>
              <w:t>отсутствует источник, версия, параметры или контрольная сумма</w:t>
            </w:r>
          </w:p>
        </w:tc>
        <w:tc>
          <w:tcPr>
            <w:tcW w:type="dxa" w:w="3402"/>
            <w:vAlign w:val="center"/>
          </w:tcPr>
          <w:p>
            <w:r>
              <w:rPr>
                <w:rFonts w:ascii="Times New Roman" w:hAnsi="Times New Roman" w:eastAsia="Times New Roman"/>
                <w:b w:val="0"/>
                <w:sz w:val="16"/>
              </w:rPr>
              <w:t>перевести в отчётный режим или запросить след</w:t>
            </w:r>
          </w:p>
        </w:tc>
      </w:tr>
      <w:tr>
        <w:trPr>
          <w:cantSplit/>
        </w:trPr>
        <w:tc>
          <w:tcPr>
            <w:tcW w:type="dxa" w:w="1871"/>
            <w:vAlign w:val="center"/>
          </w:tcPr>
          <w:p>
            <w:r>
              <w:rPr>
                <w:rFonts w:ascii="Times New Roman" w:hAnsi="Times New Roman" w:eastAsia="Times New Roman"/>
                <w:b w:val="0"/>
                <w:sz w:val="16"/>
              </w:rPr>
              <w:t>Dₖ^norm</w:t>
            </w:r>
          </w:p>
        </w:tc>
        <w:tc>
          <w:tcPr>
            <w:tcW w:type="dxa" w:w="3628"/>
            <w:vAlign w:val="center"/>
          </w:tcPr>
          <w:p>
            <w:r>
              <w:rPr>
                <w:rFonts w:ascii="Times New Roman" w:hAnsi="Times New Roman" w:eastAsia="Times New Roman"/>
                <w:b w:val="0"/>
                <w:sz w:val="16"/>
              </w:rPr>
              <w:t>вход не нормируется в носитель ExplainPlan</w:t>
            </w:r>
          </w:p>
        </w:tc>
        <w:tc>
          <w:tcPr>
            <w:tcW w:type="dxa" w:w="3402"/>
            <w:vAlign w:val="center"/>
          </w:tcPr>
          <w:p>
            <w:r>
              <w:rPr>
                <w:rFonts w:ascii="Times New Roman" w:hAnsi="Times New Roman" w:eastAsia="Times New Roman"/>
                <w:b w:val="0"/>
                <w:sz w:val="16"/>
              </w:rPr>
              <w:t>запросить данные или изменить допустимый носитель</w:t>
            </w:r>
          </w:p>
        </w:tc>
      </w:tr>
      <w:tr>
        <w:trPr>
          <w:cantSplit/>
        </w:trPr>
        <w:tc>
          <w:tcPr>
            <w:tcW w:type="dxa" w:w="1871"/>
            <w:vAlign w:val="center"/>
          </w:tcPr>
          <w:p>
            <w:r>
              <w:rPr>
                <w:rFonts w:ascii="Times New Roman" w:hAnsi="Times New Roman" w:eastAsia="Times New Roman"/>
                <w:b w:val="0"/>
                <w:sz w:val="16"/>
              </w:rPr>
              <w:t>Dₖ^rule</w:t>
            </w:r>
          </w:p>
        </w:tc>
        <w:tc>
          <w:tcPr>
            <w:tcW w:type="dxa" w:w="3628"/>
            <w:vAlign w:val="center"/>
          </w:tcPr>
          <w:p>
            <w:r>
              <w:rPr>
                <w:rFonts w:ascii="Times New Roman" w:hAnsi="Times New Roman" w:eastAsia="Times New Roman"/>
                <w:b w:val="0"/>
                <w:sz w:val="16"/>
              </w:rPr>
              <w:t>обнаружен запрещённый конфликт правил</w:t>
            </w:r>
          </w:p>
        </w:tc>
        <w:tc>
          <w:tcPr>
            <w:tcW w:type="dxa" w:w="3402"/>
            <w:vAlign w:val="center"/>
          </w:tcPr>
          <w:p>
            <w:r>
              <w:rPr>
                <w:rFonts w:ascii="Times New Roman" w:hAnsi="Times New Roman" w:eastAsia="Times New Roman"/>
                <w:b w:val="0"/>
                <w:sz w:val="16"/>
              </w:rPr>
              <w:t>аудит или блокировка</w:t>
            </w:r>
          </w:p>
        </w:tc>
      </w:tr>
      <w:tr>
        <w:trPr>
          <w:cantSplit/>
        </w:trPr>
        <w:tc>
          <w:tcPr>
            <w:tcW w:type="dxa" w:w="1871"/>
            <w:vAlign w:val="center"/>
          </w:tcPr>
          <w:p>
            <w:r>
              <w:rPr>
                <w:rFonts w:ascii="Times New Roman" w:hAnsi="Times New Roman" w:eastAsia="Times New Roman"/>
                <w:b w:val="0"/>
                <w:sz w:val="16"/>
              </w:rPr>
              <w:t>Dᵢⱼ</w:t>
            </w:r>
          </w:p>
        </w:tc>
        <w:tc>
          <w:tcPr>
            <w:tcW w:type="dxa" w:w="3628"/>
            <w:vAlign w:val="center"/>
          </w:tcPr>
          <w:p>
            <w:r>
              <w:rPr>
                <w:rFonts w:ascii="Times New Roman" w:hAnsi="Times New Roman" w:eastAsia="Times New Roman"/>
                <w:b w:val="0"/>
                <w:sz w:val="16"/>
              </w:rPr>
              <w:t>соседние интерфейсы не согласованы или превышен γmax</w:t>
            </w:r>
          </w:p>
        </w:tc>
        <w:tc>
          <w:tcPr>
            <w:tcW w:type="dxa" w:w="3402"/>
            <w:vAlign w:val="center"/>
          </w:tcPr>
          <w:p>
            <w:r>
              <w:rPr>
                <w:rFonts w:ascii="Times New Roman" w:hAnsi="Times New Roman" w:eastAsia="Times New Roman"/>
                <w:b w:val="0"/>
                <w:sz w:val="16"/>
              </w:rPr>
              <w:t>локализованный разрыв маршрута</w:t>
            </w:r>
          </w:p>
        </w:tc>
      </w:tr>
      <w:tr>
        <w:trPr>
          <w:cantSplit/>
        </w:trPr>
        <w:tc>
          <w:tcPr>
            <w:tcW w:type="dxa" w:w="1871"/>
            <w:vAlign w:val="center"/>
          </w:tcPr>
          <w:p>
            <w:r>
              <w:rPr>
                <w:rFonts w:ascii="Times New Roman" w:hAnsi="Times New Roman" w:eastAsia="Times New Roman"/>
                <w:b w:val="0"/>
                <w:sz w:val="16"/>
              </w:rPr>
              <w:t>D_choice</w:t>
            </w:r>
          </w:p>
        </w:tc>
        <w:tc>
          <w:tcPr>
            <w:tcW w:type="dxa" w:w="3628"/>
            <w:vAlign w:val="center"/>
          </w:tcPr>
          <w:p>
            <w:r>
              <w:rPr>
                <w:rFonts w:ascii="Times New Roman" w:hAnsi="Times New Roman" w:eastAsia="Times New Roman"/>
                <w:b w:val="0"/>
                <w:sz w:val="16"/>
              </w:rPr>
              <w:t>профиль неопределённости не покрыт доступными F</w:t>
            </w:r>
          </w:p>
        </w:tc>
        <w:tc>
          <w:tcPr>
            <w:tcW w:type="dxa" w:w="3402"/>
            <w:vAlign w:val="center"/>
          </w:tcPr>
          <w:p>
            <w:r>
              <w:rPr>
                <w:rFonts w:ascii="Times New Roman" w:hAnsi="Times New Roman" w:eastAsia="Times New Roman"/>
                <w:b w:val="0"/>
                <w:sz w:val="16"/>
              </w:rPr>
              <w:t>сохранить более полное представление или передать на аудит</w:t>
            </w:r>
          </w:p>
        </w:tc>
      </w:tr>
    </w:tbl>
    <w:p/>
    <w:p>
      <w:pPr>
        <w:pStyle w:val="Heading2"/>
      </w:pPr>
      <w:r>
        <w:t>4.5. Сущностная модель экосистемы</w:t>
      </w:r>
    </w:p>
    <w:p>
      <w:pPr>
        <w:ind w:firstLine="709"/>
        <w:jc w:val="both"/>
      </w:pPr>
      <w:r>
        <w:t>Чтобы внешние результаты не превращались в несвязанный перечень работ, в экосистеме вводится сущностная модель. Она связывает публикацию, модель, адаптер, оператор, сценарий и прогон. Публикация фиксирует источник и ограничения. Модель задаёт вход и выход. Адаптер переводит результат в объяснительные каналы. Оператор выполняет проверку. Сценарий задаёт маршрут. Прогон фиксирует значения, диагностические состояния и действие.</w:t>
      </w:r>
    </w:p>
    <w:p>
      <w:pPr>
        <w:jc w:val="center"/>
      </w:pPr>
      <w:r>
        <w:drawing>
          <wp:inline xmlns:a="http://schemas.openxmlformats.org/drawingml/2006/main" xmlns:pic="http://schemas.openxmlformats.org/drawingml/2006/picture">
            <wp:extent cx="5577840" cy="1627933"/>
            <wp:docPr id="4" name="Picture 4"/>
            <wp:cNvGraphicFramePr>
              <a:graphicFrameLocks noChangeAspect="1"/>
            </wp:cNvGraphicFramePr>
            <a:graphic>
              <a:graphicData uri="http://schemas.openxmlformats.org/drawingml/2006/picture">
                <pic:pic>
                  <pic:nvPicPr>
                    <pic:cNvPr id="0" name="fig4_3_entities.png"/>
                    <pic:cNvPicPr/>
                  </pic:nvPicPr>
                  <pic:blipFill>
                    <a:blip r:embed="rId12"/>
                    <a:stretch>
                      <a:fillRect/>
                    </a:stretch>
                  </pic:blipFill>
                  <pic:spPr>
                    <a:xfrm>
                      <a:off x="0" y="0"/>
                      <a:ext cx="5577840" cy="1627933"/>
                    </a:xfrm>
                    <a:prstGeom prst="rect"/>
                  </pic:spPr>
                </pic:pic>
              </a:graphicData>
            </a:graphic>
          </wp:inline>
        </w:drawing>
      </w:r>
    </w:p>
    <w:p>
      <w:pPr>
        <w:pStyle w:val="Caption"/>
        <w:jc w:val="center"/>
      </w:pPr>
      <w:r>
        <w:t>Рисунок 4.4. Сущностная модель экосистемы FuzzyXAI.</w:t>
      </w:r>
    </w:p>
    <w:p>
      <w:pPr>
        <w:pStyle w:val="Caption"/>
        <w:jc w:val="center"/>
      </w:pPr>
      <w:r>
        <w:t>Таблица 4.5. Сущности экосистемы и их связи.</w:t>
      </w:r>
    </w:p>
    <w:tbl>
      <w:tblPr>
        <w:tblStyle w:val="TableGrid"/>
        <w:tblW w:type="auto" w:w="0"/>
        <w:jc w:val="center"/>
        <w:tblLook w:firstColumn="1" w:firstRow="1" w:lastColumn="0" w:lastRow="0" w:noHBand="0" w:noVBand="1" w:val="04A0"/>
      </w:tblPr>
      <w:tblGrid>
        <w:gridCol w:w="3118"/>
        <w:gridCol w:w="3118"/>
        <w:gridCol w:w="3118"/>
      </w:tblGrid>
      <w:tr>
        <w:trPr>
          <w:tblHeader w:val="true"/>
          <w:cantSplit/>
        </w:trPr>
        <w:tc>
          <w:tcPr>
            <w:tcW w:type="dxa" w:w="1531"/>
            <w:vAlign w:val="center"/>
            <w:shd w:fill="D9EAF7"/>
          </w:tcPr>
          <w:p>
            <w:r>
              <w:rPr>
                <w:rFonts w:ascii="Times New Roman" w:hAnsi="Times New Roman" w:eastAsia="Times New Roman"/>
                <w:b/>
                <w:sz w:val="16"/>
              </w:rPr>
              <w:t>Сущность</w:t>
            </w:r>
          </w:p>
        </w:tc>
        <w:tc>
          <w:tcPr>
            <w:tcW w:type="dxa" w:w="3969"/>
            <w:vAlign w:val="center"/>
            <w:shd w:fill="D9EAF7"/>
          </w:tcPr>
          <w:p>
            <w:r>
              <w:rPr>
                <w:rFonts w:ascii="Times New Roman" w:hAnsi="Times New Roman" w:eastAsia="Times New Roman"/>
                <w:b/>
                <w:sz w:val="16"/>
              </w:rPr>
              <w:t>Обязательные поля</w:t>
            </w:r>
          </w:p>
        </w:tc>
        <w:tc>
          <w:tcPr>
            <w:tcW w:type="dxa" w:w="3231"/>
            <w:vAlign w:val="center"/>
            <w:shd w:fill="D9EAF7"/>
          </w:tcPr>
          <w:p>
            <w:r>
              <w:rPr>
                <w:rFonts w:ascii="Times New Roman" w:hAnsi="Times New Roman" w:eastAsia="Times New Roman"/>
                <w:b/>
                <w:sz w:val="16"/>
              </w:rPr>
              <w:t>Связи</w:t>
            </w:r>
          </w:p>
        </w:tc>
      </w:tr>
      <w:tr>
        <w:trPr>
          <w:cantSplit/>
        </w:trPr>
        <w:tc>
          <w:tcPr>
            <w:tcW w:type="dxa" w:w="1531"/>
            <w:vAlign w:val="center"/>
          </w:tcPr>
          <w:p>
            <w:r>
              <w:rPr>
                <w:rFonts w:ascii="Times New Roman" w:hAnsi="Times New Roman" w:eastAsia="Times New Roman"/>
                <w:b w:val="0"/>
                <w:sz w:val="16"/>
              </w:rPr>
              <w:t>Публикация</w:t>
            </w:r>
          </w:p>
        </w:tc>
        <w:tc>
          <w:tcPr>
            <w:tcW w:type="dxa" w:w="3969"/>
            <w:vAlign w:val="center"/>
          </w:tcPr>
          <w:p>
            <w:r>
              <w:rPr>
                <w:rFonts w:ascii="Times New Roman" w:hAnsi="Times New Roman" w:eastAsia="Times New Roman"/>
                <w:b w:val="0"/>
                <w:sz w:val="16"/>
              </w:rPr>
              <w:t>источник, результат, ограничения, предметная область</w:t>
            </w:r>
          </w:p>
        </w:tc>
        <w:tc>
          <w:tcPr>
            <w:tcW w:type="dxa" w:w="3231"/>
            <w:vAlign w:val="center"/>
          </w:tcPr>
          <w:p>
            <w:r>
              <w:rPr>
                <w:rFonts w:ascii="Times New Roman" w:hAnsi="Times New Roman" w:eastAsia="Times New Roman"/>
                <w:b w:val="0"/>
                <w:sz w:val="16"/>
              </w:rPr>
              <w:t>модель, сценарий, доказательный статус</w:t>
            </w:r>
          </w:p>
        </w:tc>
      </w:tr>
      <w:tr>
        <w:trPr>
          <w:cantSplit/>
        </w:trPr>
        <w:tc>
          <w:tcPr>
            <w:tcW w:type="dxa" w:w="1531"/>
            <w:vAlign w:val="center"/>
          </w:tcPr>
          <w:p>
            <w:r>
              <w:rPr>
                <w:rFonts w:ascii="Times New Roman" w:hAnsi="Times New Roman" w:eastAsia="Times New Roman"/>
                <w:b w:val="0"/>
                <w:sz w:val="16"/>
              </w:rPr>
              <w:t>Модель</w:t>
            </w:r>
          </w:p>
        </w:tc>
        <w:tc>
          <w:tcPr>
            <w:tcW w:type="dxa" w:w="3969"/>
            <w:vAlign w:val="center"/>
          </w:tcPr>
          <w:p>
            <w:r>
              <w:rPr>
                <w:rFonts w:ascii="Times New Roman" w:hAnsi="Times New Roman" w:eastAsia="Times New Roman"/>
                <w:b w:val="0"/>
                <w:sz w:val="16"/>
              </w:rPr>
              <w:t>тип входа, тип выхода, версия, параметры, ограничения</w:t>
            </w:r>
          </w:p>
        </w:tc>
        <w:tc>
          <w:tcPr>
            <w:tcW w:type="dxa" w:w="3231"/>
            <w:vAlign w:val="center"/>
          </w:tcPr>
          <w:p>
            <w:r>
              <w:rPr>
                <w:rFonts w:ascii="Times New Roman" w:hAnsi="Times New Roman" w:eastAsia="Times New Roman"/>
                <w:b w:val="0"/>
                <w:sz w:val="16"/>
              </w:rPr>
              <w:t>адаптер, оператор, сценарий</w:t>
            </w:r>
          </w:p>
        </w:tc>
      </w:tr>
      <w:tr>
        <w:trPr>
          <w:cantSplit/>
        </w:trPr>
        <w:tc>
          <w:tcPr>
            <w:tcW w:type="dxa" w:w="1531"/>
            <w:vAlign w:val="center"/>
          </w:tcPr>
          <w:p>
            <w:r>
              <w:rPr>
                <w:rFonts w:ascii="Times New Roman" w:hAnsi="Times New Roman" w:eastAsia="Times New Roman"/>
                <w:b w:val="0"/>
                <w:sz w:val="16"/>
              </w:rPr>
              <w:t>Адаптер</w:t>
            </w:r>
          </w:p>
        </w:tc>
        <w:tc>
          <w:tcPr>
            <w:tcW w:type="dxa" w:w="3969"/>
            <w:vAlign w:val="center"/>
          </w:tcPr>
          <w:p>
            <w:r>
              <w:rPr>
                <w:rFonts w:ascii="Times New Roman" w:hAnsi="Times New Roman" w:eastAsia="Times New Roman"/>
                <w:b w:val="0"/>
                <w:sz w:val="16"/>
              </w:rPr>
              <w:t>входные поля, правила перевода, условия отказа</w:t>
            </w:r>
          </w:p>
        </w:tc>
        <w:tc>
          <w:tcPr>
            <w:tcW w:type="dxa" w:w="3231"/>
            <w:vAlign w:val="center"/>
          </w:tcPr>
          <w:p>
            <w:r>
              <w:rPr>
                <w:rFonts w:ascii="Times New Roman" w:hAnsi="Times New Roman" w:eastAsia="Times New Roman"/>
                <w:b w:val="0"/>
                <w:sz w:val="16"/>
              </w:rPr>
              <w:t>модель, Eₖ, Dₖ</w:t>
            </w:r>
          </w:p>
        </w:tc>
      </w:tr>
      <w:tr>
        <w:trPr>
          <w:cantSplit/>
        </w:trPr>
        <w:tc>
          <w:tcPr>
            <w:tcW w:type="dxa" w:w="1531"/>
            <w:vAlign w:val="center"/>
          </w:tcPr>
          <w:p>
            <w:r>
              <w:rPr>
                <w:rFonts w:ascii="Times New Roman" w:hAnsi="Times New Roman" w:eastAsia="Times New Roman"/>
                <w:b w:val="0"/>
                <w:sz w:val="16"/>
              </w:rPr>
              <w:t>Оператор</w:t>
            </w:r>
          </w:p>
        </w:tc>
        <w:tc>
          <w:tcPr>
            <w:tcW w:type="dxa" w:w="3969"/>
            <w:vAlign w:val="center"/>
          </w:tcPr>
          <w:p>
            <w:r>
              <w:rPr>
                <w:rFonts w:ascii="Times New Roman" w:hAnsi="Times New Roman" w:eastAsia="Times New Roman"/>
                <w:b w:val="0"/>
                <w:sz w:val="16"/>
              </w:rPr>
              <w:t>формула, входы, выходы, диагностические исходы</w:t>
            </w:r>
          </w:p>
        </w:tc>
        <w:tc>
          <w:tcPr>
            <w:tcW w:type="dxa" w:w="3231"/>
            <w:vAlign w:val="center"/>
          </w:tcPr>
          <w:p>
            <w:r>
              <w:rPr>
                <w:rFonts w:ascii="Times New Roman" w:hAnsi="Times New Roman" w:eastAsia="Times New Roman"/>
                <w:b w:val="0"/>
                <w:sz w:val="16"/>
              </w:rPr>
              <w:t>сценарии, прогоны</w:t>
            </w:r>
          </w:p>
        </w:tc>
      </w:tr>
      <w:tr>
        <w:trPr>
          <w:cantSplit/>
        </w:trPr>
        <w:tc>
          <w:tcPr>
            <w:tcW w:type="dxa" w:w="1531"/>
            <w:vAlign w:val="center"/>
          </w:tcPr>
          <w:p>
            <w:r>
              <w:rPr>
                <w:rFonts w:ascii="Times New Roman" w:hAnsi="Times New Roman" w:eastAsia="Times New Roman"/>
                <w:b w:val="0"/>
                <w:sz w:val="16"/>
              </w:rPr>
              <w:t>Сценарий</w:t>
            </w:r>
          </w:p>
        </w:tc>
        <w:tc>
          <w:tcPr>
            <w:tcW w:type="dxa" w:w="3969"/>
            <w:vAlign w:val="center"/>
          </w:tcPr>
          <w:p>
            <w:r>
              <w:rPr>
                <w:rFonts w:ascii="Times New Roman" w:hAnsi="Times New Roman" w:eastAsia="Times New Roman"/>
                <w:b w:val="0"/>
                <w:sz w:val="16"/>
              </w:rPr>
              <w:t>тип данных, ExplainPlan, маршрут, пороги</w:t>
            </w:r>
          </w:p>
        </w:tc>
        <w:tc>
          <w:tcPr>
            <w:tcW w:type="dxa" w:w="3231"/>
            <w:vAlign w:val="center"/>
          </w:tcPr>
          <w:p>
            <w:r>
              <w:rPr>
                <w:rFonts w:ascii="Times New Roman" w:hAnsi="Times New Roman" w:eastAsia="Times New Roman"/>
                <w:b w:val="0"/>
                <w:sz w:val="16"/>
              </w:rPr>
              <w:t>модели, операторы, прогоны</w:t>
            </w:r>
          </w:p>
        </w:tc>
      </w:tr>
      <w:tr>
        <w:trPr>
          <w:cantSplit/>
        </w:trPr>
        <w:tc>
          <w:tcPr>
            <w:tcW w:type="dxa" w:w="1531"/>
            <w:vAlign w:val="center"/>
          </w:tcPr>
          <w:p>
            <w:r>
              <w:rPr>
                <w:rFonts w:ascii="Times New Roman" w:hAnsi="Times New Roman" w:eastAsia="Times New Roman"/>
                <w:b w:val="0"/>
                <w:sz w:val="16"/>
              </w:rPr>
              <w:t>Прогон</w:t>
            </w:r>
          </w:p>
        </w:tc>
        <w:tc>
          <w:tcPr>
            <w:tcW w:type="dxa" w:w="3969"/>
            <w:vAlign w:val="center"/>
          </w:tcPr>
          <w:p>
            <w:r>
              <w:rPr>
                <w:rFonts w:ascii="Times New Roman" w:hAnsi="Times New Roman" w:eastAsia="Times New Roman"/>
                <w:b w:val="0"/>
                <w:sz w:val="16"/>
              </w:rPr>
              <w:t>вход, вычисленные значения, действие, след</w:t>
            </w:r>
          </w:p>
        </w:tc>
        <w:tc>
          <w:tcPr>
            <w:tcW w:type="dxa" w:w="3231"/>
            <w:vAlign w:val="center"/>
          </w:tcPr>
          <w:p>
            <w:r>
              <w:rPr>
                <w:rFonts w:ascii="Times New Roman" w:hAnsi="Times New Roman" w:eastAsia="Times New Roman"/>
                <w:b w:val="0"/>
                <w:sz w:val="16"/>
              </w:rPr>
              <w:t>сценарий, доказательный пакет</w:t>
            </w:r>
          </w:p>
        </w:tc>
      </w:tr>
    </w:tbl>
    <w:p/>
    <w:p>
      <w:pPr>
        <w:pStyle w:val="Heading2"/>
      </w:pPr>
      <w:r>
        <w:t>4.6. Вычислительная сложность маршрута</w:t>
      </w:r>
    </w:p>
    <w:p>
      <w:pPr>
        <w:ind w:firstLine="709"/>
        <w:jc w:val="both"/>
      </w:pPr>
      <w:r>
        <w:t>Оценка сложности нужна не для утверждения об оптимальности программной реализации, а для фиксации масштаба операторного маршрута. Пусть m - число термов, q - размер сетки носителя, |R| - число правил, s - число обязательных полей следа, |Fcore| - число классов ядра представлений, |UXAI| - число типов неопределённости, n - длина линейного пути, |D| - число диагностических событий, h - размер канонизированного следа.</w:t>
      </w:r>
    </w:p>
    <w:p>
      <w:pPr>
        <w:pStyle w:val="Caption"/>
        <w:jc w:val="center"/>
      </w:pPr>
      <w:r>
        <w:t>Таблица 4.6. Вычислительная сложность основных операций маршрута.</w:t>
      </w:r>
    </w:p>
    <w:tbl>
      <w:tblPr>
        <w:tblStyle w:val="TableGrid"/>
        <w:tblW w:type="auto" w:w="0"/>
        <w:jc w:val="center"/>
        <w:tblLook w:firstColumn="1" w:firstRow="1" w:lastColumn="0" w:lastRow="0" w:noHBand="0" w:noVBand="1" w:val="04A0"/>
      </w:tblPr>
      <w:tblGrid>
        <w:gridCol w:w="3118"/>
        <w:gridCol w:w="3118"/>
        <w:gridCol w:w="3118"/>
      </w:tblGrid>
      <w:tr>
        <w:trPr>
          <w:tblHeader w:val="true"/>
          <w:cantSplit/>
        </w:trPr>
        <w:tc>
          <w:tcPr>
            <w:tcW w:type="dxa" w:w="2381"/>
            <w:vAlign w:val="center"/>
            <w:shd w:fill="D9EAF7"/>
          </w:tcPr>
          <w:p>
            <w:r>
              <w:rPr>
                <w:rFonts w:ascii="Times New Roman" w:hAnsi="Times New Roman" w:eastAsia="Times New Roman"/>
                <w:b/>
                <w:sz w:val="16"/>
              </w:rPr>
              <w:t>Операция</w:t>
            </w:r>
          </w:p>
        </w:tc>
        <w:tc>
          <w:tcPr>
            <w:tcW w:type="dxa" w:w="2438"/>
            <w:vAlign w:val="center"/>
            <w:shd w:fill="D9EAF7"/>
          </w:tcPr>
          <w:p>
            <w:r>
              <w:rPr>
                <w:rFonts w:ascii="Times New Roman" w:hAnsi="Times New Roman" w:eastAsia="Times New Roman"/>
                <w:b/>
                <w:sz w:val="16"/>
              </w:rPr>
              <w:t>Оценка сложности</w:t>
            </w:r>
          </w:p>
        </w:tc>
        <w:tc>
          <w:tcPr>
            <w:tcW w:type="dxa" w:w="3969"/>
            <w:vAlign w:val="center"/>
            <w:shd w:fill="D9EAF7"/>
          </w:tcPr>
          <w:p>
            <w:r>
              <w:rPr>
                <w:rFonts w:ascii="Times New Roman" w:hAnsi="Times New Roman" w:eastAsia="Times New Roman"/>
                <w:b/>
                <w:sz w:val="16"/>
              </w:rPr>
              <w:t>Пояснение</w:t>
            </w:r>
          </w:p>
        </w:tc>
      </w:tr>
      <w:tr>
        <w:trPr>
          <w:cantSplit/>
        </w:trPr>
        <w:tc>
          <w:tcPr>
            <w:tcW w:type="dxa" w:w="2381"/>
            <w:vAlign w:val="center"/>
          </w:tcPr>
          <w:p>
            <w:r>
              <w:rPr>
                <w:rFonts w:ascii="Times New Roman" w:hAnsi="Times New Roman" w:eastAsia="Times New Roman"/>
                <w:b w:val="0"/>
                <w:sz w:val="16"/>
              </w:rPr>
              <w:t>Построение Eₖ для F0/Fint</w:t>
            </w:r>
          </w:p>
        </w:tc>
        <w:tc>
          <w:tcPr>
            <w:tcW w:type="dxa" w:w="2438"/>
            <w:vAlign w:val="center"/>
          </w:tcPr>
          <w:p>
            <w:r>
              <w:rPr>
                <w:rFonts w:ascii="Times New Roman" w:hAnsi="Times New Roman" w:eastAsia="Times New Roman"/>
                <w:b w:val="0"/>
                <w:sz w:val="16"/>
              </w:rPr>
              <w:t>O(m·q + |R| + s)</w:t>
            </w:r>
          </w:p>
        </w:tc>
        <w:tc>
          <w:tcPr>
            <w:tcW w:type="dxa" w:w="3969"/>
            <w:vAlign w:val="center"/>
          </w:tcPr>
          <w:p>
            <w:r>
              <w:rPr>
                <w:rFonts w:ascii="Times New Roman" w:hAnsi="Times New Roman" w:eastAsia="Times New Roman"/>
                <w:b w:val="0"/>
                <w:sz w:val="16"/>
              </w:rPr>
              <w:t>фаззификация, правила, след</w:t>
            </w:r>
          </w:p>
        </w:tc>
      </w:tr>
      <w:tr>
        <w:trPr>
          <w:cantSplit/>
        </w:trPr>
        <w:tc>
          <w:tcPr>
            <w:tcW w:type="dxa" w:w="2381"/>
            <w:vAlign w:val="center"/>
          </w:tcPr>
          <w:p>
            <w:r>
              <w:rPr>
                <w:rFonts w:ascii="Times New Roman" w:hAnsi="Times New Roman" w:eastAsia="Times New Roman"/>
                <w:b w:val="0"/>
                <w:sz w:val="16"/>
              </w:rPr>
              <w:t>NAS</w:t>
            </w:r>
          </w:p>
        </w:tc>
        <w:tc>
          <w:tcPr>
            <w:tcW w:type="dxa" w:w="2438"/>
            <w:vAlign w:val="center"/>
          </w:tcPr>
          <w:p>
            <w:r>
              <w:rPr>
                <w:rFonts w:ascii="Times New Roman" w:hAnsi="Times New Roman" w:eastAsia="Times New Roman"/>
                <w:b w:val="0"/>
                <w:sz w:val="16"/>
              </w:rPr>
              <w:t>O(m·q + s_src)</w:t>
            </w:r>
          </w:p>
        </w:tc>
        <w:tc>
          <w:tcPr>
            <w:tcW w:type="dxa" w:w="3969"/>
            <w:vAlign w:val="center"/>
          </w:tcPr>
          <w:p>
            <w:r>
              <w:rPr>
                <w:rFonts w:ascii="Times New Roman" w:hAnsi="Times New Roman" w:eastAsia="Times New Roman"/>
                <w:b w:val="0"/>
                <w:sz w:val="16"/>
              </w:rPr>
              <w:t>разделение поддержки, неопределённости, отвержения и источников</w:t>
            </w:r>
          </w:p>
        </w:tc>
      </w:tr>
      <w:tr>
        <w:trPr>
          <w:cantSplit/>
        </w:trPr>
        <w:tc>
          <w:tcPr>
            <w:tcW w:type="dxa" w:w="2381"/>
            <w:vAlign w:val="center"/>
          </w:tcPr>
          <w:p>
            <w:r>
              <w:rPr>
                <w:rFonts w:ascii="Times New Roman" w:hAnsi="Times New Roman" w:eastAsia="Times New Roman"/>
                <w:b w:val="0"/>
                <w:sz w:val="16"/>
              </w:rPr>
              <w:t>FML</w:t>
            </w:r>
          </w:p>
        </w:tc>
        <w:tc>
          <w:tcPr>
            <w:tcW w:type="dxa" w:w="2438"/>
            <w:vAlign w:val="center"/>
          </w:tcPr>
          <w:p>
            <w:r>
              <w:rPr>
                <w:rFonts w:ascii="Times New Roman" w:hAnsi="Times New Roman" w:eastAsia="Times New Roman"/>
                <w:b w:val="0"/>
                <w:sz w:val="16"/>
              </w:rPr>
              <w:t>O(Σ C_comp(F_i)+C_Γ)</w:t>
            </w:r>
          </w:p>
        </w:tc>
        <w:tc>
          <w:tcPr>
            <w:tcW w:type="dxa" w:w="3969"/>
            <w:vAlign w:val="center"/>
          </w:tcPr>
          <w:p>
            <w:r>
              <w:rPr>
                <w:rFonts w:ascii="Times New Roman" w:hAnsi="Times New Roman" w:eastAsia="Times New Roman"/>
                <w:b w:val="0"/>
                <w:sz w:val="16"/>
              </w:rPr>
              <w:t>сумма по уровням и отношениям между ними</w:t>
            </w:r>
          </w:p>
        </w:tc>
      </w:tr>
      <w:tr>
        <w:trPr>
          <w:cantSplit/>
        </w:trPr>
        <w:tc>
          <w:tcPr>
            <w:tcW w:type="dxa" w:w="2381"/>
            <w:vAlign w:val="center"/>
          </w:tcPr>
          <w:p>
            <w:r>
              <w:rPr>
                <w:rFonts w:ascii="Times New Roman" w:hAnsi="Times New Roman" w:eastAsia="Times New Roman"/>
                <w:b w:val="0"/>
                <w:sz w:val="16"/>
              </w:rPr>
              <w:t>Согласование Tᵢⱼ</w:t>
            </w:r>
          </w:p>
        </w:tc>
        <w:tc>
          <w:tcPr>
            <w:tcW w:type="dxa" w:w="2438"/>
            <w:vAlign w:val="center"/>
          </w:tcPr>
          <w:p>
            <w:r>
              <w:rPr>
                <w:rFonts w:ascii="Times New Roman" w:hAnsi="Times New Roman" w:eastAsia="Times New Roman"/>
                <w:b w:val="0"/>
                <w:sz w:val="16"/>
              </w:rPr>
              <w:t>O(m·q + |R| + s)</w:t>
            </w:r>
          </w:p>
        </w:tc>
        <w:tc>
          <w:tcPr>
            <w:tcW w:type="dxa" w:w="3969"/>
            <w:vAlign w:val="center"/>
          </w:tcPr>
          <w:p>
            <w:r>
              <w:rPr>
                <w:rFonts w:ascii="Times New Roman" w:hAnsi="Times New Roman" w:eastAsia="Times New Roman"/>
                <w:b w:val="0"/>
                <w:sz w:val="16"/>
              </w:rPr>
              <w:t>термы, функции, правила и след</w:t>
            </w:r>
          </w:p>
        </w:tc>
      </w:tr>
      <w:tr>
        <w:trPr>
          <w:cantSplit/>
        </w:trPr>
        <w:tc>
          <w:tcPr>
            <w:tcW w:type="dxa" w:w="2381"/>
            <w:vAlign w:val="center"/>
          </w:tcPr>
          <w:p>
            <w:r>
              <w:rPr>
                <w:rFonts w:ascii="Times New Roman" w:hAnsi="Times New Roman" w:eastAsia="Times New Roman"/>
                <w:b w:val="0"/>
                <w:sz w:val="16"/>
              </w:rPr>
              <w:t>Выбор F</w:t>
            </w:r>
          </w:p>
        </w:tc>
        <w:tc>
          <w:tcPr>
            <w:tcW w:type="dxa" w:w="2438"/>
            <w:vAlign w:val="center"/>
          </w:tcPr>
          <w:p>
            <w:r>
              <w:rPr>
                <w:rFonts w:ascii="Times New Roman" w:hAnsi="Times New Roman" w:eastAsia="Times New Roman"/>
                <w:b w:val="0"/>
                <w:sz w:val="16"/>
              </w:rPr>
              <w:t>O(|Fcore|·|UXAI|)</w:t>
            </w:r>
          </w:p>
        </w:tc>
        <w:tc>
          <w:tcPr>
            <w:tcW w:type="dxa" w:w="3969"/>
            <w:vAlign w:val="center"/>
          </w:tcPr>
          <w:p>
            <w:r>
              <w:rPr>
                <w:rFonts w:ascii="Times New Roman" w:hAnsi="Times New Roman" w:eastAsia="Times New Roman"/>
                <w:b w:val="0"/>
                <w:sz w:val="16"/>
              </w:rPr>
              <w:t>проверка покрытия профиля и сравнение кандидатов</w:t>
            </w:r>
          </w:p>
        </w:tc>
      </w:tr>
      <w:tr>
        <w:trPr>
          <w:cantSplit/>
        </w:trPr>
        <w:tc>
          <w:tcPr>
            <w:tcW w:type="dxa" w:w="2381"/>
            <w:vAlign w:val="center"/>
          </w:tcPr>
          <w:p>
            <w:r>
              <w:rPr>
                <w:rFonts w:ascii="Times New Roman" w:hAnsi="Times New Roman" w:eastAsia="Times New Roman"/>
                <w:b w:val="0"/>
                <w:sz w:val="16"/>
              </w:rPr>
              <w:t>Редукция Δ</w:t>
            </w:r>
          </w:p>
        </w:tc>
        <w:tc>
          <w:tcPr>
            <w:tcW w:type="dxa" w:w="2438"/>
            <w:vAlign w:val="center"/>
          </w:tcPr>
          <w:p>
            <w:r>
              <w:rPr>
                <w:rFonts w:ascii="Times New Roman" w:hAnsi="Times New Roman" w:eastAsia="Times New Roman"/>
                <w:b w:val="0"/>
                <w:sz w:val="16"/>
              </w:rPr>
              <w:t>O(1) для точки или O(q) для сетки</w:t>
            </w:r>
          </w:p>
        </w:tc>
        <w:tc>
          <w:tcPr>
            <w:tcW w:type="dxa" w:w="3969"/>
            <w:vAlign w:val="center"/>
          </w:tcPr>
          <w:p>
            <w:r>
              <w:rPr>
                <w:rFonts w:ascii="Times New Roman" w:hAnsi="Times New Roman" w:eastAsia="Times New Roman"/>
                <w:b w:val="0"/>
                <w:sz w:val="16"/>
              </w:rPr>
              <w:t>потеря упрощения представления</w:t>
            </w:r>
          </w:p>
        </w:tc>
      </w:tr>
      <w:tr>
        <w:trPr>
          <w:cantSplit/>
        </w:trPr>
        <w:tc>
          <w:tcPr>
            <w:tcW w:type="dxa" w:w="2381"/>
            <w:vAlign w:val="center"/>
          </w:tcPr>
          <w:p>
            <w:r>
              <w:rPr>
                <w:rFonts w:ascii="Times New Roman" w:hAnsi="Times New Roman" w:eastAsia="Times New Roman"/>
                <w:b w:val="0"/>
                <w:sz w:val="16"/>
              </w:rPr>
              <w:t>Проверка диагностических состояний</w:t>
            </w:r>
          </w:p>
        </w:tc>
        <w:tc>
          <w:tcPr>
            <w:tcW w:type="dxa" w:w="2438"/>
            <w:vAlign w:val="center"/>
          </w:tcPr>
          <w:p>
            <w:r>
              <w:rPr>
                <w:rFonts w:ascii="Times New Roman" w:hAnsi="Times New Roman" w:eastAsia="Times New Roman"/>
                <w:b w:val="0"/>
                <w:sz w:val="16"/>
              </w:rPr>
              <w:t>O(|D|)</w:t>
            </w:r>
          </w:p>
        </w:tc>
        <w:tc>
          <w:tcPr>
            <w:tcW w:type="dxa" w:w="3969"/>
            <w:vAlign w:val="center"/>
          </w:tcPr>
          <w:p>
            <w:r>
              <w:rPr>
                <w:rFonts w:ascii="Times New Roman" w:hAnsi="Times New Roman" w:eastAsia="Times New Roman"/>
                <w:b w:val="0"/>
                <w:sz w:val="16"/>
              </w:rPr>
              <w:t>группировка и типизация отказов</w:t>
            </w:r>
          </w:p>
        </w:tc>
      </w:tr>
      <w:tr>
        <w:trPr>
          <w:cantSplit/>
        </w:trPr>
        <w:tc>
          <w:tcPr>
            <w:tcW w:type="dxa" w:w="2381"/>
            <w:vAlign w:val="center"/>
          </w:tcPr>
          <w:p>
            <w:r>
              <w:rPr>
                <w:rFonts w:ascii="Times New Roman" w:hAnsi="Times New Roman" w:eastAsia="Times New Roman"/>
                <w:b w:val="0"/>
                <w:sz w:val="16"/>
              </w:rPr>
              <w:t>Проверка доказательного пакета</w:t>
            </w:r>
          </w:p>
        </w:tc>
        <w:tc>
          <w:tcPr>
            <w:tcW w:type="dxa" w:w="2438"/>
            <w:vAlign w:val="center"/>
          </w:tcPr>
          <w:p>
            <w:r>
              <w:rPr>
                <w:rFonts w:ascii="Times New Roman" w:hAnsi="Times New Roman" w:eastAsia="Times New Roman"/>
                <w:b w:val="0"/>
                <w:sz w:val="16"/>
              </w:rPr>
              <w:t>O(s+h)</w:t>
            </w:r>
          </w:p>
        </w:tc>
        <w:tc>
          <w:tcPr>
            <w:tcW w:type="dxa" w:w="3969"/>
            <w:vAlign w:val="center"/>
          </w:tcPr>
          <w:p>
            <w:r>
              <w:rPr>
                <w:rFonts w:ascii="Times New Roman" w:hAnsi="Times New Roman" w:eastAsia="Times New Roman"/>
                <w:b w:val="0"/>
                <w:sz w:val="16"/>
              </w:rPr>
              <w:t>поля следа и контрольные суммы</w:t>
            </w:r>
          </w:p>
        </w:tc>
      </w:tr>
      <w:tr>
        <w:trPr>
          <w:cantSplit/>
        </w:trPr>
        <w:tc>
          <w:tcPr>
            <w:tcW w:type="dxa" w:w="2381"/>
            <w:vAlign w:val="center"/>
          </w:tcPr>
          <w:p>
            <w:r>
              <w:rPr>
                <w:rFonts w:ascii="Times New Roman" w:hAnsi="Times New Roman" w:eastAsia="Times New Roman"/>
                <w:b w:val="0"/>
                <w:sz w:val="16"/>
              </w:rPr>
              <w:t>Линейный маршрут длины n</w:t>
            </w:r>
          </w:p>
        </w:tc>
        <w:tc>
          <w:tcPr>
            <w:tcW w:type="dxa" w:w="2438"/>
            <w:vAlign w:val="center"/>
          </w:tcPr>
          <w:p>
            <w:r>
              <w:rPr>
                <w:rFonts w:ascii="Times New Roman" w:hAnsi="Times New Roman" w:eastAsia="Times New Roman"/>
                <w:b w:val="0"/>
                <w:sz w:val="16"/>
              </w:rPr>
              <w:t>O(n·(m·q+|R|+s+|Fcore|·|UXAI|))</w:t>
            </w:r>
          </w:p>
        </w:tc>
        <w:tc>
          <w:tcPr>
            <w:tcW w:type="dxa" w:w="3969"/>
            <w:vAlign w:val="center"/>
          </w:tcPr>
          <w:p>
            <w:r>
              <w:rPr>
                <w:rFonts w:ascii="Times New Roman" w:hAnsi="Times New Roman" w:eastAsia="Times New Roman"/>
                <w:b w:val="0"/>
                <w:sz w:val="16"/>
              </w:rPr>
              <w:t>суммарная оценка по последовательности переходов</w:t>
            </w:r>
          </w:p>
        </w:tc>
      </w:tr>
      <w:tr>
        <w:trPr>
          <w:cantSplit/>
        </w:trPr>
        <w:tc>
          <w:tcPr>
            <w:tcW w:type="dxa" w:w="2381"/>
            <w:vAlign w:val="center"/>
          </w:tcPr>
          <w:p>
            <w:r>
              <w:rPr>
                <w:rFonts w:ascii="Times New Roman" w:hAnsi="Times New Roman" w:eastAsia="Times New Roman"/>
                <w:b w:val="0"/>
                <w:sz w:val="16"/>
              </w:rPr>
              <w:t>Ветвящийся маршрут</w:t>
            </w:r>
          </w:p>
        </w:tc>
        <w:tc>
          <w:tcPr>
            <w:tcW w:type="dxa" w:w="2438"/>
            <w:vAlign w:val="center"/>
          </w:tcPr>
          <w:p>
            <w:r>
              <w:rPr>
                <w:rFonts w:ascii="Times New Roman" w:hAnsi="Times New Roman" w:eastAsia="Times New Roman"/>
                <w:b w:val="0"/>
                <w:sz w:val="16"/>
              </w:rPr>
              <w:t>сумма по рёбрам графа</w:t>
            </w:r>
          </w:p>
        </w:tc>
        <w:tc>
          <w:tcPr>
            <w:tcW w:type="dxa" w:w="3969"/>
            <w:vAlign w:val="center"/>
          </w:tcPr>
          <w:p>
            <w:r>
              <w:rPr>
                <w:rFonts w:ascii="Times New Roman" w:hAnsi="Times New Roman" w:eastAsia="Times New Roman"/>
                <w:b w:val="0"/>
                <w:sz w:val="16"/>
              </w:rPr>
              <w:t>каждый сертифицированный переход проверяется отдельно</w:t>
            </w:r>
          </w:p>
        </w:tc>
      </w:tr>
      <w:tr>
        <w:trPr>
          <w:cantSplit/>
        </w:trPr>
        <w:tc>
          <w:tcPr>
            <w:tcW w:type="dxa" w:w="2381"/>
            <w:vAlign w:val="center"/>
          </w:tcPr>
          <w:p>
            <w:r>
              <w:rPr>
                <w:rFonts w:ascii="Times New Roman" w:hAnsi="Times New Roman" w:eastAsia="Times New Roman"/>
                <w:b w:val="0"/>
                <w:sz w:val="16"/>
              </w:rPr>
              <w:t>Пользовательская инспекция</w:t>
            </w:r>
          </w:p>
        </w:tc>
        <w:tc>
          <w:tcPr>
            <w:tcW w:type="dxa" w:w="2438"/>
            <w:vAlign w:val="center"/>
          </w:tcPr>
          <w:p>
            <w:r>
              <w:rPr>
                <w:rFonts w:ascii="Times New Roman" w:hAnsi="Times New Roman" w:eastAsia="Times New Roman"/>
                <w:b w:val="0"/>
                <w:sz w:val="16"/>
              </w:rPr>
              <w:t>не входит в вычисление действия</w:t>
            </w:r>
          </w:p>
        </w:tc>
        <w:tc>
          <w:tcPr>
            <w:tcW w:type="dxa" w:w="3969"/>
            <w:vAlign w:val="center"/>
          </w:tcPr>
          <w:p>
            <w:r>
              <w:rPr>
                <w:rFonts w:ascii="Times New Roman" w:hAnsi="Times New Roman" w:eastAsia="Times New Roman"/>
                <w:b w:val="0"/>
                <w:sz w:val="16"/>
              </w:rPr>
              <w:t>интерфейс отображает готовые значения</w:t>
            </w:r>
          </w:p>
        </w:tc>
      </w:tr>
    </w:tbl>
    <w:p/>
    <w:p>
      <w:pPr>
        <w:pStyle w:val="Heading2"/>
      </w:pPr>
      <w:r>
        <w:t>4.7. Доказательный пакет и воспроизводимость</w:t>
      </w:r>
    </w:p>
    <w:p>
      <w:pPr>
        <w:ind w:firstLine="709"/>
        <w:jc w:val="both"/>
      </w:pPr>
      <w:r>
        <w:t>Доказательный пакет нужен для того, чтобы таблицы и действия в диссертации были результатом проверяемого маршрута, а не ручной сборкой. Пакет фиксирует вход, источник, ExplainPlan, вычисленные значения μ, α, u, τ, рассогласование γ, выбранное представление F, потерю Δ, риск ρ, диагностические состояния и итоговое действие. Он не является пользовательским экраном; это независимый набор данных для проверки маршрута.</w:t>
      </w:r>
    </w:p>
    <w:p>
      <w:pPr>
        <w:jc w:val="center"/>
      </w:pPr>
      <w:r>
        <w:drawing>
          <wp:inline xmlns:a="http://schemas.openxmlformats.org/drawingml/2006/main" xmlns:pic="http://schemas.openxmlformats.org/drawingml/2006/picture">
            <wp:extent cx="5394960" cy="1619026"/>
            <wp:docPr id="5" name="Picture 5"/>
            <wp:cNvGraphicFramePr>
              <a:graphicFrameLocks noChangeAspect="1"/>
            </wp:cNvGraphicFramePr>
            <a:graphic>
              <a:graphicData uri="http://schemas.openxmlformats.org/drawingml/2006/picture">
                <pic:pic>
                  <pic:nvPicPr>
                    <pic:cNvPr id="0" name="fig4_5_proof_package.png"/>
                    <pic:cNvPicPr/>
                  </pic:nvPicPr>
                  <pic:blipFill>
                    <a:blip r:embed="rId13"/>
                    <a:stretch>
                      <a:fillRect/>
                    </a:stretch>
                  </pic:blipFill>
                  <pic:spPr>
                    <a:xfrm>
                      <a:off x="0" y="0"/>
                      <a:ext cx="5394960" cy="1619026"/>
                    </a:xfrm>
                    <a:prstGeom prst="rect"/>
                  </pic:spPr>
                </pic:pic>
              </a:graphicData>
            </a:graphic>
          </wp:inline>
        </w:drawing>
      </w:r>
    </w:p>
    <w:p>
      <w:pPr>
        <w:pStyle w:val="Caption"/>
        <w:jc w:val="center"/>
      </w:pPr>
      <w:r>
        <w:t>Рисунок 4.5. Состав доказательного пакета.</w:t>
      </w:r>
    </w:p>
    <w:p>
      <w:pPr>
        <w:pStyle w:val="Heading3"/>
      </w:pPr>
      <w:r>
        <w:t>4.7.1. Структура доказательного пакета и контроль воспроизводимости</w:t>
      </w:r>
    </w:p>
    <w:p>
      <w:pPr>
        <w:ind w:firstLine="709"/>
        <w:jc w:val="both"/>
      </w:pPr>
      <w:r>
        <w:t>Контрольная сумма ExplainPlan вычисляется не по произвольному тексту файла, а по канонизированному представлению: отсортированные ключи, нормированные числовые форматы, фиксированная версия словаря термов, функций принадлежности, политик редукции и порогов действия. Поэтому изменение порядка строк в техническом файле не должно менять hash_P, тогда как изменение порога, функции принадлежности или политики редукции обязано менять контрольную сумму.</w:t>
      </w:r>
    </w:p>
    <w:p>
      <w:pPr>
        <w:ind w:firstLine="709"/>
        <w:jc w:val="both"/>
      </w:pPr>
      <w:r>
        <w:t>Воспроизводимый прогон означает следующее: одинаковый входной артефакт, одинаковая версия модели, одинаковый ExplainPlan, одинаковые параметры адаптера, одинаковый seed для недетерминированных процедур и одинаковая численная толерантность дают одно и то же действие и одинаковые ключевые диагностические состояния. Если меняется вход, версия данных, модель, порог или политика редукции, это отражается в τₖ и в доказательном пакете.</w:t>
      </w:r>
    </w:p>
    <w:p>
      <w:pPr>
        <w:pStyle w:val="Caption"/>
        <w:jc w:val="center"/>
      </w:pPr>
      <w:r>
        <w:t>Таблица 4.7. Связь пользовательского представления и доказательного пакета.</w:t>
      </w:r>
    </w:p>
    <w:tbl>
      <w:tblPr>
        <w:tblStyle w:val="TableGrid"/>
        <w:tblW w:type="auto" w:w="0"/>
        <w:jc w:val="center"/>
        <w:tblLook w:firstColumn="1" w:firstRow="1" w:lastColumn="0" w:lastRow="0" w:noHBand="0" w:noVBand="1" w:val="04A0"/>
      </w:tblPr>
      <w:tblGrid>
        <w:gridCol w:w="3118"/>
        <w:gridCol w:w="3118"/>
        <w:gridCol w:w="3118"/>
      </w:tblGrid>
      <w:tr>
        <w:trPr>
          <w:tblHeader w:val="true"/>
          <w:cantSplit/>
        </w:trPr>
        <w:tc>
          <w:tcPr>
            <w:tcW w:type="dxa" w:w="1701"/>
            <w:vAlign w:val="center"/>
            <w:shd w:fill="D9EAF7"/>
          </w:tcPr>
          <w:p>
            <w:r>
              <w:rPr>
                <w:rFonts w:ascii="Times New Roman" w:hAnsi="Times New Roman" w:eastAsia="Times New Roman"/>
                <w:b/>
                <w:sz w:val="16"/>
              </w:rPr>
              <w:t>Элемент</w:t>
            </w:r>
          </w:p>
        </w:tc>
        <w:tc>
          <w:tcPr>
            <w:tcW w:type="dxa" w:w="3515"/>
            <w:vAlign w:val="center"/>
            <w:shd w:fill="D9EAF7"/>
          </w:tcPr>
          <w:p>
            <w:r>
              <w:rPr>
                <w:rFonts w:ascii="Times New Roman" w:hAnsi="Times New Roman" w:eastAsia="Times New Roman"/>
                <w:b/>
                <w:sz w:val="16"/>
              </w:rPr>
              <w:t>Что видит пользователь</w:t>
            </w:r>
          </w:p>
        </w:tc>
        <w:tc>
          <w:tcPr>
            <w:tcW w:type="dxa" w:w="3515"/>
            <w:vAlign w:val="center"/>
            <w:shd w:fill="D9EAF7"/>
          </w:tcPr>
          <w:p>
            <w:r>
              <w:rPr>
                <w:rFonts w:ascii="Times New Roman" w:hAnsi="Times New Roman" w:eastAsia="Times New Roman"/>
                <w:b/>
                <w:sz w:val="16"/>
              </w:rPr>
              <w:t>Что хранит доказательный пакет</w:t>
            </w:r>
          </w:p>
        </w:tc>
      </w:tr>
      <w:tr>
        <w:trPr>
          <w:cantSplit/>
        </w:trPr>
        <w:tc>
          <w:tcPr>
            <w:tcW w:type="dxa" w:w="1701"/>
            <w:vAlign w:val="center"/>
          </w:tcPr>
          <w:p>
            <w:r>
              <w:rPr>
                <w:rFonts w:ascii="Times New Roman" w:hAnsi="Times New Roman" w:eastAsia="Times New Roman"/>
                <w:b w:val="0"/>
                <w:sz w:val="16"/>
              </w:rPr>
              <w:t>Вход</w:t>
            </w:r>
          </w:p>
        </w:tc>
        <w:tc>
          <w:tcPr>
            <w:tcW w:type="dxa" w:w="3515"/>
            <w:vAlign w:val="center"/>
          </w:tcPr>
          <w:p>
            <w:r>
              <w:rPr>
                <w:rFonts w:ascii="Times New Roman" w:hAnsi="Times New Roman" w:eastAsia="Times New Roman"/>
                <w:b w:val="0"/>
                <w:sz w:val="16"/>
              </w:rPr>
              <w:t>тип артефакта и качество</w:t>
            </w:r>
          </w:p>
        </w:tc>
        <w:tc>
          <w:tcPr>
            <w:tcW w:type="dxa" w:w="3515"/>
            <w:vAlign w:val="center"/>
          </w:tcPr>
          <w:p>
            <w:r>
              <w:rPr>
                <w:rFonts w:ascii="Times New Roman" w:hAnsi="Times New Roman" w:eastAsia="Times New Roman"/>
                <w:b w:val="0"/>
                <w:sz w:val="16"/>
              </w:rPr>
              <w:t>идентификатор, источник, контрольная сумма</w:t>
            </w:r>
          </w:p>
        </w:tc>
      </w:tr>
      <w:tr>
        <w:trPr>
          <w:cantSplit/>
        </w:trPr>
        <w:tc>
          <w:tcPr>
            <w:tcW w:type="dxa" w:w="1701"/>
            <w:vAlign w:val="center"/>
          </w:tcPr>
          <w:p>
            <w:r>
              <w:rPr>
                <w:rFonts w:ascii="Times New Roman" w:hAnsi="Times New Roman" w:eastAsia="Times New Roman"/>
                <w:b w:val="0"/>
                <w:sz w:val="16"/>
              </w:rPr>
              <w:t>Адаптер</w:t>
            </w:r>
          </w:p>
        </w:tc>
        <w:tc>
          <w:tcPr>
            <w:tcW w:type="dxa" w:w="3515"/>
            <w:vAlign w:val="center"/>
          </w:tcPr>
          <w:p>
            <w:r>
              <w:rPr>
                <w:rFonts w:ascii="Times New Roman" w:hAnsi="Times New Roman" w:eastAsia="Times New Roman"/>
                <w:b w:val="0"/>
                <w:sz w:val="16"/>
              </w:rPr>
              <w:t>построен Eₖ или получен отказ</w:t>
            </w:r>
          </w:p>
        </w:tc>
        <w:tc>
          <w:tcPr>
            <w:tcW w:type="dxa" w:w="3515"/>
            <w:vAlign w:val="center"/>
          </w:tcPr>
          <w:p>
            <w:r>
              <w:rPr>
                <w:rFonts w:ascii="Times New Roman" w:hAnsi="Times New Roman" w:eastAsia="Times New Roman"/>
                <w:b w:val="0"/>
                <w:sz w:val="16"/>
              </w:rPr>
              <w:t>значения μ, α, u, τ и причина Dₖ</w:t>
            </w:r>
          </w:p>
        </w:tc>
      </w:tr>
      <w:tr>
        <w:trPr>
          <w:cantSplit/>
        </w:trPr>
        <w:tc>
          <w:tcPr>
            <w:tcW w:type="dxa" w:w="1701"/>
            <w:vAlign w:val="center"/>
          </w:tcPr>
          <w:p>
            <w:r>
              <w:rPr>
                <w:rFonts w:ascii="Times New Roman" w:hAnsi="Times New Roman" w:eastAsia="Times New Roman"/>
                <w:b w:val="0"/>
                <w:sz w:val="16"/>
              </w:rPr>
              <w:t>Согласование</w:t>
            </w:r>
          </w:p>
        </w:tc>
        <w:tc>
          <w:tcPr>
            <w:tcW w:type="dxa" w:w="3515"/>
            <w:vAlign w:val="center"/>
          </w:tcPr>
          <w:p>
            <w:r>
              <w:rPr>
                <w:rFonts w:ascii="Times New Roman" w:hAnsi="Times New Roman" w:eastAsia="Times New Roman"/>
                <w:b w:val="0"/>
                <w:sz w:val="16"/>
              </w:rPr>
              <w:t>совместимо или есть разрыв</w:t>
            </w:r>
          </w:p>
        </w:tc>
        <w:tc>
          <w:tcPr>
            <w:tcW w:type="dxa" w:w="3515"/>
            <w:vAlign w:val="center"/>
          </w:tcPr>
          <w:p>
            <w:r>
              <w:rPr>
                <w:rFonts w:ascii="Times New Roman" w:hAnsi="Times New Roman" w:eastAsia="Times New Roman"/>
                <w:b w:val="0"/>
                <w:sz w:val="16"/>
              </w:rPr>
              <w:t>γ, пороги, Tᵢⱼ, Dᵢⱼ</w:t>
            </w:r>
          </w:p>
        </w:tc>
      </w:tr>
      <w:tr>
        <w:trPr>
          <w:cantSplit/>
        </w:trPr>
        <w:tc>
          <w:tcPr>
            <w:tcW w:type="dxa" w:w="1701"/>
            <w:vAlign w:val="center"/>
          </w:tcPr>
          <w:p>
            <w:r>
              <w:rPr>
                <w:rFonts w:ascii="Times New Roman" w:hAnsi="Times New Roman" w:eastAsia="Times New Roman"/>
                <w:b w:val="0"/>
                <w:sz w:val="16"/>
              </w:rPr>
              <w:t>Неопределённость</w:t>
            </w:r>
          </w:p>
        </w:tc>
        <w:tc>
          <w:tcPr>
            <w:tcW w:type="dxa" w:w="3515"/>
            <w:vAlign w:val="center"/>
          </w:tcPr>
          <w:p>
            <w:r>
              <w:rPr>
                <w:rFonts w:ascii="Times New Roman" w:hAnsi="Times New Roman" w:eastAsia="Times New Roman"/>
                <w:b w:val="0"/>
                <w:sz w:val="16"/>
              </w:rPr>
              <w:t>выбран класс F</w:t>
            </w:r>
          </w:p>
        </w:tc>
        <w:tc>
          <w:tcPr>
            <w:tcW w:type="dxa" w:w="3515"/>
            <w:vAlign w:val="center"/>
          </w:tcPr>
          <w:p>
            <w:r>
              <w:rPr>
                <w:rFonts w:ascii="Times New Roman" w:hAnsi="Times New Roman" w:eastAsia="Times New Roman"/>
                <w:b w:val="0"/>
                <w:sz w:val="16"/>
              </w:rPr>
              <w:t>Pₛᵢₜ, F, Δ, политика редукции</w:t>
            </w:r>
          </w:p>
        </w:tc>
      </w:tr>
      <w:tr>
        <w:trPr>
          <w:cantSplit/>
        </w:trPr>
        <w:tc>
          <w:tcPr>
            <w:tcW w:type="dxa" w:w="1701"/>
            <w:vAlign w:val="center"/>
          </w:tcPr>
          <w:p>
            <w:r>
              <w:rPr>
                <w:rFonts w:ascii="Times New Roman" w:hAnsi="Times New Roman" w:eastAsia="Times New Roman"/>
                <w:b w:val="0"/>
                <w:sz w:val="16"/>
              </w:rPr>
              <w:t>Риск</w:t>
            </w:r>
          </w:p>
        </w:tc>
        <w:tc>
          <w:tcPr>
            <w:tcW w:type="dxa" w:w="3515"/>
            <w:vAlign w:val="center"/>
          </w:tcPr>
          <w:p>
            <w:r>
              <w:rPr>
                <w:rFonts w:ascii="Times New Roman" w:hAnsi="Times New Roman" w:eastAsia="Times New Roman"/>
                <w:b w:val="0"/>
                <w:sz w:val="16"/>
              </w:rPr>
              <w:t>действие и причина</w:t>
            </w:r>
          </w:p>
        </w:tc>
        <w:tc>
          <w:tcPr>
            <w:tcW w:type="dxa" w:w="3515"/>
            <w:vAlign w:val="center"/>
          </w:tcPr>
          <w:p>
            <w:r>
              <w:rPr>
                <w:rFonts w:ascii="Times New Roman" w:hAnsi="Times New Roman" w:eastAsia="Times New Roman"/>
                <w:b w:val="0"/>
                <w:sz w:val="16"/>
              </w:rPr>
              <w:t>ρ, χ_R, χR,crit, χ_Auto</w:t>
            </w:r>
          </w:p>
        </w:tc>
      </w:tr>
      <w:tr>
        <w:trPr>
          <w:cantSplit/>
        </w:trPr>
        <w:tc>
          <w:tcPr>
            <w:tcW w:type="dxa" w:w="1701"/>
            <w:vAlign w:val="center"/>
          </w:tcPr>
          <w:p>
            <w:r>
              <w:rPr>
                <w:rFonts w:ascii="Times New Roman" w:hAnsi="Times New Roman" w:eastAsia="Times New Roman"/>
                <w:b w:val="0"/>
                <w:sz w:val="16"/>
              </w:rPr>
              <w:t>Отчёт</w:t>
            </w:r>
          </w:p>
        </w:tc>
        <w:tc>
          <w:tcPr>
            <w:tcW w:type="dxa" w:w="3515"/>
            <w:vAlign w:val="center"/>
          </w:tcPr>
          <w:p>
            <w:r>
              <w:rPr>
                <w:rFonts w:ascii="Times New Roman" w:hAnsi="Times New Roman" w:eastAsia="Times New Roman"/>
                <w:b w:val="0"/>
                <w:sz w:val="16"/>
              </w:rPr>
              <w:t>объяснение для специалиста</w:t>
            </w:r>
          </w:p>
        </w:tc>
        <w:tc>
          <w:tcPr>
            <w:tcW w:type="dxa" w:w="3515"/>
            <w:vAlign w:val="center"/>
          </w:tcPr>
          <w:p>
            <w:r>
              <w:rPr>
                <w:rFonts w:ascii="Times New Roman" w:hAnsi="Times New Roman" w:eastAsia="Times New Roman"/>
                <w:b w:val="0"/>
                <w:sz w:val="16"/>
              </w:rPr>
              <w:t>полный сериализованный след и hash_P</w:t>
            </w:r>
          </w:p>
        </w:tc>
      </w:tr>
    </w:tbl>
    <w:p/>
    <w:p>
      <w:pPr>
        <w:pStyle w:val="Heading2"/>
      </w:pPr>
      <w:r>
        <w:t>4.8. Технические представления диагностического состояния</w:t>
      </w:r>
    </w:p>
    <w:p>
      <w:pPr>
        <w:ind w:firstLine="709"/>
        <w:jc w:val="both"/>
      </w:pPr>
      <w:r>
        <w:t>Реализованы три технических представления одного диагностического состояния: пользовательское, инженерное и аудиторское. Интерфейс не вычисляет диагностические состояния, стоимость разреза или результат повторной сертификации, а отображает значения проверенного серверного пакета.</w:t>
      </w:r>
    </w:p>
    <w:p>
      <w:pPr>
        <w:jc w:val="center"/>
      </w:pPr>
      <w:r>
        <w:drawing>
          <wp:inline xmlns:a="http://schemas.openxmlformats.org/drawingml/2006/main" xmlns:pic="http://schemas.openxmlformats.org/drawingml/2006/picture">
            <wp:extent cx="5303520" cy="4589313"/>
            <wp:docPr id="6" name="Picture 6"/>
            <wp:cNvGraphicFramePr>
              <a:graphicFrameLocks noChangeAspect="1"/>
            </wp:cNvGraphicFramePr>
            <a:graphic>
              <a:graphicData uri="http://schemas.openxmlformats.org/drawingml/2006/picture">
                <pic:pic>
                  <pic:nvPicPr>
                    <pic:cNvPr id="0" name="fig4_6_user_layer.png"/>
                    <pic:cNvPicPr/>
                  </pic:nvPicPr>
                  <pic:blipFill>
                    <a:blip r:embed="rId14"/>
                    <a:stretch>
                      <a:fillRect/>
                    </a:stretch>
                  </pic:blipFill>
                  <pic:spPr>
                    <a:xfrm>
                      <a:off x="0" y="0"/>
                      <a:ext cx="5303520" cy="4589313"/>
                    </a:xfrm>
                    <a:prstGeom prst="rect"/>
                  </pic:spPr>
                </pic:pic>
              </a:graphicData>
            </a:graphic>
          </wp:inline>
        </w:drawing>
      </w:r>
    </w:p>
    <w:p>
      <w:pPr>
        <w:pStyle w:val="Caption"/>
        <w:jc w:val="center"/>
      </w:pPr>
      <w:r>
        <w:t>Рисунок 4.6. Пользовательский слой FuzzyXAI: инспекция маршрута HYBRID-XIRIS.</w:t>
      </w:r>
    </w:p>
    <w:p>
      <w:pPr>
        <w:ind w:firstLine="709"/>
        <w:jc w:val="both"/>
      </w:pPr>
      <w:r>
        <w:t>Понятность представлений, влияние интерфейса на скорость локализации и соответствие рабочим практикам специалистов в настоящей работе не оценивались. Технические сведения о панелях и автоматических проверках вынесены в supplementary-материалы.</w:t>
      </w:r>
    </w:p>
    <w:p>
      <w:pPr>
        <w:pStyle w:val="Heading2"/>
      </w:pPr>
      <w:r>
        <w:t>4.9. H10-C3 R4: вычислительная проверка на заранее сгенерированных контролируемых структурных мутациях</w:t>
      </w:r>
    </w:p>
    <w:p>
      <w:pPr/>
      <w:r>
        <w:t>Подтверждающий цикл H10-C3 R4 был выполнен на зашифрованной закрытой совокупности из 240 независимых заранее сгенерированных контролируемых структурных мутаций шести семейств конвейеров. Предрасчётное состояние было опубликовано как неизменяемый релиз; закрытая часть открыта один раз после подписанного разрешения владельца протокола. Счётчик открытия был атомарно переведён из 0 в 1 до расшифрования.</w:t>
      </w:r>
    </w:p>
    <w:p>
      <w:pPr/>
      <w:r>
        <w:t>Для H10-C3a преимущество по принадлежности найденного разреза множеству оптимальных решений относительно заранее зафиксированного базового метода typed_without_optimization составило 0,527426 (95%-й иерархический ДИ [0,459916; 0,596639], p Холма = 0,000300). Эффект по снижению нормализованного отклонения стоимости составил 0,244175 (95%-й ДИ [0,210077; 0,278761], p Холма = 0,000300). Положительное направление получено для 6 из 6 семейств конвейеров; H10-C3a получила статус CONFIRMATORY_PASS.</w:t>
      </w:r>
    </w:p>
    <w:p>
      <w:pPr/>
      <w:r>
        <w:t>Для H10-C3b преимущество по доле полной повторной сертификации маршрута относительно заранее зафиксированного weighted_greedy составило 0,333333 (95%-й иерархический ДИ [0,255230; 0,419492], p Холма = 0,000300). Положительное направление также получено для 6 из 6 семейств конвейеров; H10-C3b получила статус CONFIRMATORY_PASS.</w:t>
      </w:r>
    </w:p>
    <w:p>
      <w:pPr/>
      <w:r>
        <w:t>Защитные ограничения выполнены: доля ложной сертификации равна 0,0; доля новых критических нарушений равна 0,0; 95-й процентиль времени расчёта равен 1,047844 мс при зарегистрированной границе 50 мс. Автоматический классификатор присвоил циклу статус SCIENTIFIC_PASS. После раскрытия секрета независимое воспроизведение подтвердило обязательства seed, ciphertext и plaintext, восстановило 240 шаблонов и 1920 строк результатов без расхождений по научным полям, а также воспроизвело статистику и итоговую классификацию.</w:t>
      </w:r>
    </w:p>
    <w:p>
      <w:pPr/>
      <w:r>
        <w:t>Полученный вывод подтверждён только в пределах заранее сгенерированных контролируемых структурных мутаций и относится к алгоритмической диагностике объяснительного маршрута, поиску оптимального диагностического разреза и полной повторной сертификации. Реальные программные инциденты, понятность, экспертная полезность, промышленная или клиническая безопасность и организационная эффективность не оценивались.</w:t>
      </w:r>
    </w:p>
    <w:p>
      <w:r>
        <w:rPr>
          <w:b w:val="0"/>
        </w:rPr>
      </w:r>
      <w:r>
        <w:br w:type="page"/>
      </w:r>
    </w:p>
    <w:p>
      <w:r>
        <w:rPr>
          <w:b/>
        </w:rPr>
        <w:t>4.10. Операционная стоимость восстановления на контролируемых мутациях</w:t>
      </w:r>
    </w:p>
    <w:p>
      <w:r>
        <w:rPr>
          <w:b w:val="0"/>
        </w:rPr>
        <w:t>H10-C4 оформлен как отдельный перспективный протокол и не изменяет закрытый результат H10-C3. На 120 новых отложенных контролируемых структурных мутациях шести семейств сравнивались repair-all (B_ALL), первый валидный план (B_FIRST), локально-жадная стратегия (B_GREEDY) и глобальный минимальный разрез (O_GLOBAL). Все стратегии начинали с одного снимка состояния, использовали одинаковые контракты, разрешённые операции, проверяющий модуль и полную повторную сертификацию.</w:t>
      </w:r>
    </w:p>
    <w:tbl>
      <w:tblPr>
        <w:tblStyle w:val="TableGrid"/>
        <w:tblW w:type="auto" w:w="0"/>
        <w:tblLook w:firstColumn="1" w:firstRow="1" w:lastColumn="0" w:lastRow="0" w:noHBand="0" w:noVBand="1" w:val="04A0"/>
      </w:tblPr>
      <w:tblGrid>
        <w:gridCol w:w="4677"/>
        <w:gridCol w:w="4677"/>
      </w:tblGrid>
      <w:tr>
        <w:tc>
          <w:tcPr>
            <w:tcW w:type="dxa" w:w="4677"/>
          </w:tcPr>
          <w:p>
            <w:r>
              <w:t>Стратегия</w:t>
            </w:r>
          </w:p>
        </w:tc>
        <w:tc>
          <w:tcPr>
            <w:tcW w:type="dxa" w:w="4677"/>
          </w:tcPr>
          <w:p>
            <w:r>
              <w:t>Правило выбора</w:t>
            </w:r>
          </w:p>
        </w:tc>
      </w:tr>
      <w:tr>
        <w:tc>
          <w:tcPr>
            <w:tcW w:type="dxa" w:w="4677"/>
          </w:tcPr>
          <w:p>
            <w:r>
              <w:t>B_ALL</w:t>
            </w:r>
          </w:p>
        </w:tc>
        <w:tc>
          <w:tcPr>
            <w:tcW w:type="dxa" w:w="4677"/>
          </w:tcPr>
          <w:p>
            <w:r>
              <w:t>Исправить все объекты зарегистрированных нарушений</w:t>
            </w:r>
          </w:p>
        </w:tc>
      </w:tr>
      <w:tr>
        <w:tc>
          <w:tcPr>
            <w:tcW w:type="dxa" w:w="4677"/>
          </w:tcPr>
          <w:p>
            <w:r>
              <w:t>B_FIRST</w:t>
            </w:r>
          </w:p>
        </w:tc>
        <w:tc>
          <w:tcPr>
            <w:tcW w:type="dxa" w:w="4677"/>
          </w:tcPr>
          <w:p>
            <w:r>
              <w:t>Первый найденный валидный план</w:t>
            </w:r>
          </w:p>
        </w:tc>
      </w:tr>
      <w:tr>
        <w:tc>
          <w:tcPr>
            <w:tcW w:type="dxa" w:w="4677"/>
          </w:tcPr>
          <w:p>
            <w:r>
              <w:t>B_GREEDY</w:t>
            </w:r>
          </w:p>
        </w:tc>
        <w:tc>
          <w:tcPr>
            <w:tcW w:type="dxa" w:w="4677"/>
          </w:tcPr>
          <w:p>
            <w:r>
              <w:t>Локально минимальная стоимость на шаге</w:t>
            </w:r>
          </w:p>
        </w:tc>
      </w:tr>
      <w:tr>
        <w:tc>
          <w:tcPr>
            <w:tcW w:type="dxa" w:w="4677"/>
          </w:tcPr>
          <w:p>
            <w:r>
              <w:t>O_GLOBAL</w:t>
            </w:r>
          </w:p>
        </w:tc>
        <w:tc>
          <w:tcPr>
            <w:tcW w:type="dxa" w:w="4677"/>
          </w:tcPr>
          <w:p>
            <w:r>
              <w:t>Глобальный минимальный диагностический разрез</w:t>
            </w:r>
          </w:p>
        </w:tc>
      </w:tr>
    </w:tbl>
    <w:p>
      <w:r>
        <w:rPr>
          <w:b w:val="0"/>
        </w:rPr>
        <w:t>Таблица 4.8. Стратегии восстановления H10-C4.</w:t>
      </w:r>
    </w:p>
    <w:p>
      <w:r>
        <w:rPr>
          <w:b w:val="0"/>
        </w:rPr>
        <w:t>Глобальный разрез обеспечил полную повторную сертификацию в 120 из 120 сценариев и не создал новых критических нарушений. Средняя нормализованная исполняемая стоимость O_GLOBAL составила 0,516 при 1,000 для B_ALL и B_FIRST и 0,594 для B_GREEDY. Среднее число действий уменьшилось с 3,10 для B_ALL до 1,00, число затронутых компонентов — с 3,10 до 1,00, число повторных проверок — с 14,30 до 8,00. Это алгоритмическая экономия операций; время инженера не измерялось.</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t>Сравнение</w:t>
            </w:r>
          </w:p>
        </w:tc>
        <w:tc>
          <w:tcPr>
            <w:tcW w:type="dxa" w:w="2339"/>
          </w:tcPr>
          <w:p>
            <w:r>
              <w:t>Δ стоимости</w:t>
            </w:r>
          </w:p>
        </w:tc>
        <w:tc>
          <w:tcPr>
            <w:tcW w:type="dxa" w:w="2339"/>
          </w:tcPr>
          <w:p>
            <w:r>
              <w:t>95%-й ДИ</w:t>
            </w:r>
          </w:p>
        </w:tc>
        <w:tc>
          <w:tcPr>
            <w:tcW w:type="dxa" w:w="2339"/>
          </w:tcPr>
          <w:p>
            <w:r>
              <w:t>p Холма</w:t>
            </w:r>
          </w:p>
        </w:tc>
      </w:tr>
      <w:tr>
        <w:tc>
          <w:tcPr>
            <w:tcW w:type="dxa" w:w="2339"/>
          </w:tcPr>
          <w:p>
            <w:r>
              <w:t>O_GLOBAL − B_ALL</w:t>
            </w:r>
          </w:p>
        </w:tc>
        <w:tc>
          <w:tcPr>
            <w:tcW w:type="dxa" w:w="2339"/>
          </w:tcPr>
          <w:p>
            <w:r>
              <w:t>-0.483151</w:t>
            </w:r>
          </w:p>
        </w:tc>
        <w:tc>
          <w:tcPr>
            <w:tcW w:type="dxa" w:w="2339"/>
          </w:tcPr>
          <w:p>
            <w:r>
              <w:t>[-0.519287; -0.445417]</w:t>
            </w:r>
          </w:p>
        </w:tc>
        <w:tc>
          <w:tcPr>
            <w:tcW w:type="dxa" w:w="2339"/>
          </w:tcPr>
          <w:p>
            <w:r>
              <w:t>0.000600</w:t>
            </w:r>
          </w:p>
        </w:tc>
      </w:tr>
      <w:tr>
        <w:tc>
          <w:tcPr>
            <w:tcW w:type="dxa" w:w="2339"/>
          </w:tcPr>
          <w:p>
            <w:r>
              <w:t>O_GLOBAL − B_FIRST</w:t>
            </w:r>
          </w:p>
        </w:tc>
        <w:tc>
          <w:tcPr>
            <w:tcW w:type="dxa" w:w="2339"/>
          </w:tcPr>
          <w:p>
            <w:r>
              <w:t>-0.483151</w:t>
            </w:r>
          </w:p>
        </w:tc>
        <w:tc>
          <w:tcPr>
            <w:tcW w:type="dxa" w:w="2339"/>
          </w:tcPr>
          <w:p>
            <w:r>
              <w:t>[-0.519287; -0.445417]</w:t>
            </w:r>
          </w:p>
        </w:tc>
        <w:tc>
          <w:tcPr>
            <w:tcW w:type="dxa" w:w="2339"/>
          </w:tcPr>
          <w:p>
            <w:r>
              <w:t>0.000600</w:t>
            </w:r>
          </w:p>
        </w:tc>
      </w:tr>
      <w:tr>
        <w:tc>
          <w:tcPr>
            <w:tcW w:type="dxa" w:w="2339"/>
          </w:tcPr>
          <w:p>
            <w:r>
              <w:t>O_GLOBAL − B_GREEDY</w:t>
            </w:r>
          </w:p>
        </w:tc>
        <w:tc>
          <w:tcPr>
            <w:tcW w:type="dxa" w:w="2339"/>
          </w:tcPr>
          <w:p>
            <w:r>
              <w:t>-0.077198</w:t>
            </w:r>
          </w:p>
        </w:tc>
        <w:tc>
          <w:tcPr>
            <w:tcW w:type="dxa" w:w="2339"/>
          </w:tcPr>
          <w:p>
            <w:r>
              <w:t>[-0.094031; -0.061205]</w:t>
            </w:r>
          </w:p>
        </w:tc>
        <w:tc>
          <w:tcPr>
            <w:tcW w:type="dxa" w:w="2339"/>
          </w:tcPr>
          <w:p>
            <w:r>
              <w:t>0.000600</w:t>
            </w:r>
          </w:p>
        </w:tc>
      </w:tr>
    </w:tbl>
    <w:p>
      <w:r>
        <w:rPr>
          <w:b w:val="0"/>
        </w:rPr>
        <w:t>Таблица 4.9. Парные сравнения нормализованной исполняемой стоимости; отрицательная разность O_GLOBAL − baseline соответствует преимуществу глобального разреза.</w:t>
      </w:r>
    </w:p>
    <w:p>
      <w:r>
        <w:rPr>
          <w:b w:val="0"/>
        </w:rPr>
        <w:t>Для всех трёх сравнений общий парный bootstrap-поток включал 10 000 итераций; SHA256 индексного потока равен 613432617404501e483c793f94a4ada3bac15273e1d47cdb84687646db6b0e06. Все доверительные интервалы исключали ноль после заранее зарегистрированной поправки Холма.</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tcPr>
          <w:p>
            <w:r>
              <w:t>Стратегия</w:t>
            </w:r>
          </w:p>
        </w:tc>
        <w:tc>
          <w:tcPr>
            <w:tcW w:type="dxa" w:w="1871"/>
          </w:tcPr>
          <w:p>
            <w:r>
              <w:t>Действия</w:t>
            </w:r>
          </w:p>
        </w:tc>
        <w:tc>
          <w:tcPr>
            <w:tcW w:type="dxa" w:w="1871"/>
          </w:tcPr>
          <w:p>
            <w:r>
              <w:t>Компоненты</w:t>
            </w:r>
          </w:p>
        </w:tc>
        <w:tc>
          <w:tcPr>
            <w:tcW w:type="dxa" w:w="1871"/>
          </w:tcPr>
          <w:p>
            <w:r>
              <w:t>Проверки</w:t>
            </w:r>
          </w:p>
        </w:tc>
        <w:tc>
          <w:tcPr>
            <w:tcW w:type="dxa" w:w="1871"/>
          </w:tcPr>
          <w:p>
            <w:r>
              <w:t>Машинное время, мс</w:t>
            </w:r>
          </w:p>
        </w:tc>
      </w:tr>
      <w:tr>
        <w:tc>
          <w:tcPr>
            <w:tcW w:type="dxa" w:w="1871"/>
          </w:tcPr>
          <w:p>
            <w:r>
              <w:t>B_ALL</w:t>
            </w:r>
          </w:p>
        </w:tc>
        <w:tc>
          <w:tcPr>
            <w:tcW w:type="dxa" w:w="1871"/>
          </w:tcPr>
          <w:p>
            <w:r>
              <w:t>3.10</w:t>
            </w:r>
          </w:p>
        </w:tc>
        <w:tc>
          <w:tcPr>
            <w:tcW w:type="dxa" w:w="1871"/>
          </w:tcPr>
          <w:p>
            <w:r>
              <w:t>3.10</w:t>
            </w:r>
          </w:p>
        </w:tc>
        <w:tc>
          <w:tcPr>
            <w:tcW w:type="dxa" w:w="1871"/>
          </w:tcPr>
          <w:p>
            <w:r>
              <w:t>14.30</w:t>
            </w:r>
          </w:p>
        </w:tc>
        <w:tc>
          <w:tcPr>
            <w:tcW w:type="dxa" w:w="1871"/>
          </w:tcPr>
          <w:p>
            <w:r>
              <w:t>14.351</w:t>
            </w:r>
          </w:p>
        </w:tc>
      </w:tr>
      <w:tr>
        <w:tc>
          <w:tcPr>
            <w:tcW w:type="dxa" w:w="1871"/>
          </w:tcPr>
          <w:p>
            <w:r>
              <w:t>B_FIRST</w:t>
            </w:r>
          </w:p>
        </w:tc>
        <w:tc>
          <w:tcPr>
            <w:tcW w:type="dxa" w:w="1871"/>
          </w:tcPr>
          <w:p>
            <w:r>
              <w:t>3.10</w:t>
            </w:r>
          </w:p>
        </w:tc>
        <w:tc>
          <w:tcPr>
            <w:tcW w:type="dxa" w:w="1871"/>
          </w:tcPr>
          <w:p>
            <w:r>
              <w:t>3.10</w:t>
            </w:r>
          </w:p>
        </w:tc>
        <w:tc>
          <w:tcPr>
            <w:tcW w:type="dxa" w:w="1871"/>
          </w:tcPr>
          <w:p>
            <w:r>
              <w:t>14.30</w:t>
            </w:r>
          </w:p>
        </w:tc>
        <w:tc>
          <w:tcPr>
            <w:tcW w:type="dxa" w:w="1871"/>
          </w:tcPr>
          <w:p>
            <w:r>
              <w:t>14.250</w:t>
            </w:r>
          </w:p>
        </w:tc>
      </w:tr>
      <w:tr>
        <w:tc>
          <w:tcPr>
            <w:tcW w:type="dxa" w:w="1871"/>
          </w:tcPr>
          <w:p>
            <w:r>
              <w:t>B_GREEDY</w:t>
            </w:r>
          </w:p>
        </w:tc>
        <w:tc>
          <w:tcPr>
            <w:tcW w:type="dxa" w:w="1871"/>
          </w:tcPr>
          <w:p>
            <w:r>
              <w:t>1.70</w:t>
            </w:r>
          </w:p>
        </w:tc>
        <w:tc>
          <w:tcPr>
            <w:tcW w:type="dxa" w:w="1871"/>
          </w:tcPr>
          <w:p>
            <w:r>
              <w:t>1.40</w:t>
            </w:r>
          </w:p>
        </w:tc>
        <w:tc>
          <w:tcPr>
            <w:tcW w:type="dxa" w:w="1871"/>
          </w:tcPr>
          <w:p>
            <w:r>
              <w:t>10.10</w:t>
            </w:r>
          </w:p>
        </w:tc>
        <w:tc>
          <w:tcPr>
            <w:tcW w:type="dxa" w:w="1871"/>
          </w:tcPr>
          <w:p>
            <w:r>
              <w:t>7.967</w:t>
            </w:r>
          </w:p>
        </w:tc>
      </w:tr>
      <w:tr>
        <w:tc>
          <w:tcPr>
            <w:tcW w:type="dxa" w:w="1871"/>
          </w:tcPr>
          <w:p>
            <w:r>
              <w:t>O_GLOBAL</w:t>
            </w:r>
          </w:p>
        </w:tc>
        <w:tc>
          <w:tcPr>
            <w:tcW w:type="dxa" w:w="1871"/>
          </w:tcPr>
          <w:p>
            <w:r>
              <w:t>1.00</w:t>
            </w:r>
          </w:p>
        </w:tc>
        <w:tc>
          <w:tcPr>
            <w:tcW w:type="dxa" w:w="1871"/>
          </w:tcPr>
          <w:p>
            <w:r>
              <w:t>1.00</w:t>
            </w:r>
          </w:p>
        </w:tc>
        <w:tc>
          <w:tcPr>
            <w:tcW w:type="dxa" w:w="1871"/>
          </w:tcPr>
          <w:p>
            <w:r>
              <w:t>8.00</w:t>
            </w:r>
          </w:p>
        </w:tc>
        <w:tc>
          <w:tcPr>
            <w:tcW w:type="dxa" w:w="1871"/>
          </w:tcPr>
          <w:p>
            <w:r>
              <w:t>4.704</w:t>
            </w:r>
          </w:p>
        </w:tc>
      </w:tr>
    </w:tbl>
    <w:p>
      <w:r>
        <w:rPr>
          <w:b w:val="0"/>
        </w:rPr>
        <w:t>Таблица 4.10. Фактически исполненные операции. Машинное время не интерпретируется как время работы инженера.</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t>Модель</w:t>
            </w:r>
          </w:p>
        </w:tc>
        <w:tc>
          <w:tcPr>
            <w:tcW w:type="dxa" w:w="2339"/>
          </w:tcPr>
          <w:p>
            <w:r>
              <w:t>Величина</w:t>
            </w:r>
          </w:p>
        </w:tc>
        <w:tc>
          <w:tcPr>
            <w:tcW w:type="dxa" w:w="2339"/>
          </w:tcPr>
          <w:p>
            <w:r>
              <w:t>Интерпретация</w:t>
            </w:r>
          </w:p>
        </w:tc>
        <w:tc>
          <w:tcPr>
            <w:tcW w:type="dxa" w:w="2339"/>
          </w:tcPr>
          <w:p>
            <w:r>
              <w:t>Ограничение</w:t>
            </w:r>
          </w:p>
        </w:tc>
      </w:tr>
      <w:tr>
        <w:tc>
          <w:tcPr>
            <w:tcW w:type="dxa" w:w="2339"/>
          </w:tcPr>
          <w:p>
            <w:r>
              <w:t>Uniform</w:t>
            </w:r>
          </w:p>
        </w:tc>
        <w:tc>
          <w:tcPr>
            <w:tcW w:type="dxa" w:w="2339"/>
          </w:tcPr>
          <w:p>
            <w:r>
              <w:t>Действия</w:t>
            </w:r>
          </w:p>
        </w:tc>
        <w:tc>
          <w:tcPr>
            <w:tcW w:type="dxa" w:w="2339"/>
          </w:tcPr>
          <w:p>
            <w:r>
              <w:t>Структурная</w:t>
            </w:r>
          </w:p>
        </w:tc>
        <w:tc>
          <w:tcPr>
            <w:tcW w:type="dxa" w:w="2339"/>
          </w:tcPr>
          <w:p>
            <w:r>
              <w:t>Не различает операции</w:t>
            </w:r>
          </w:p>
        </w:tc>
      </w:tr>
      <w:tr>
        <w:tc>
          <w:tcPr>
            <w:tcW w:type="dxa" w:w="2339"/>
          </w:tcPr>
          <w:p>
            <w:r>
              <w:t>Runtime</w:t>
            </w:r>
          </w:p>
        </w:tc>
        <w:tc>
          <w:tcPr>
            <w:tcW w:type="dxa" w:w="2339"/>
          </w:tcPr>
          <w:p>
            <w:r>
              <w:t>Время CPU</w:t>
            </w:r>
          </w:p>
        </w:tc>
        <w:tc>
          <w:tcPr>
            <w:tcW w:type="dxa" w:w="2339"/>
          </w:tcPr>
          <w:p>
            <w:r>
              <w:t>Вычислительная</w:t>
            </w:r>
          </w:p>
        </w:tc>
        <w:tc>
          <w:tcPr>
            <w:tcW w:type="dxa" w:w="2339"/>
          </w:tcPr>
          <w:p>
            <w:r>
              <w:t>Не время инженера</w:t>
            </w:r>
          </w:p>
        </w:tc>
      </w:tr>
      <w:tr>
        <w:tc>
          <w:tcPr>
            <w:tcW w:type="dxa" w:w="2339"/>
          </w:tcPr>
          <w:p>
            <w:r>
              <w:t>Dependency</w:t>
            </w:r>
          </w:p>
        </w:tc>
        <w:tc>
          <w:tcPr>
            <w:tcW w:type="dxa" w:w="2339"/>
          </w:tcPr>
          <w:p>
            <w:r>
              <w:t>Fan-out</w:t>
            </w:r>
          </w:p>
        </w:tc>
        <w:tc>
          <w:tcPr>
            <w:tcW w:type="dxa" w:w="2339"/>
          </w:tcPr>
          <w:p>
            <w:r>
              <w:t>Структурный охват</w:t>
            </w:r>
          </w:p>
        </w:tc>
        <w:tc>
          <w:tcPr>
            <w:tcW w:type="dxa" w:w="2339"/>
          </w:tcPr>
          <w:p>
            <w:r>
              <w:t>Не орг. затраты</w:t>
            </w:r>
          </w:p>
        </w:tc>
      </w:tr>
      <w:tr>
        <w:tc>
          <w:tcPr>
            <w:tcW w:type="dxa" w:w="2339"/>
          </w:tcPr>
          <w:p>
            <w:r>
              <w:t>Hybrid</w:t>
            </w:r>
          </w:p>
        </w:tc>
        <w:tc>
          <w:tcPr>
            <w:tcW w:type="dxa" w:w="2339"/>
          </w:tcPr>
          <w:p>
            <w:r>
              <w:t>Сумма факторов</w:t>
            </w:r>
          </w:p>
        </w:tc>
        <w:tc>
          <w:tcPr>
            <w:tcW w:type="dxa" w:w="2339"/>
          </w:tcPr>
          <w:p>
            <w:r>
              <w:t>Чувствительность</w:t>
            </w:r>
          </w:p>
        </w:tc>
        <w:tc>
          <w:tcPr>
            <w:tcW w:type="dxa" w:w="2339"/>
          </w:tcPr>
          <w:p>
            <w:r>
              <w:t>Зависит от весов</w:t>
            </w:r>
          </w:p>
        </w:tc>
      </w:tr>
    </w:tbl>
    <w:p>
      <w:r>
        <w:rPr>
          <w:b w:val="0"/>
        </w:rPr>
        <w:t>Таблица 4.11. Зарегистрированные модели стоимости.</w:t>
      </w:r>
    </w:p>
    <w:p>
      <w:r>
        <w:rPr>
          <w:b w:val="0"/>
        </w:rPr>
        <w:t>В сетке из 48 заранее зарегистрированных комбинаций весов 108 из 120 сценариев достигли порога устойчивости 80%; доля таких сценариев составила 0.900. Остальные 12 сценариев сохранены в отчёте как чувствительные к способу задания стоимости, а не исключены из анализа.</w:t>
      </w:r>
    </w:p>
    <w:p>
      <w:r>
        <w:rPr>
          <w:b/>
        </w:rPr>
        <w:t>4.10.1. Контрактная композиция операторов</w:t>
      </w:r>
    </w:p>
    <w:p>
      <w:r>
        <w:rPr>
          <w:b w:val="0"/>
        </w:rPr>
        <w:t>Исполняемый интерфейс задаёт operator_id, входной и выходной контракты, apply, verify_preconditions и verify_postconditions. Несовместимость первого выходного и второго входного контрактов возвращает структурированную ошибку OPERATOR_CONTRACT_MISMATCH.</w:t>
      </w:r>
    </w:p>
    <w:p>
      <w:r>
        <w:rPr>
          <w:rFonts w:ascii="Courier New" w:hAnsi="Courier New"/>
          <w:b w:val="0"/>
          <w:sz w:val="18"/>
        </w:rPr>
        <w:t>class DiagnosticOperator(Protocol):</w:t>
        <w:br/>
        <w:t xml:space="preserve">    operator_id: str</w:t>
        <w:br/>
        <w:t xml:space="preserve">    input_contract: OperatorContract</w:t>
        <w:br/>
        <w:t xml:space="preserve">    output_contract: OperatorContract</w:t>
        <w:br/>
        <w:t xml:space="preserve">    def apply(self, state: RouteState) -&gt; RouteState: ...</w:t>
        <w:br/>
        <w:t xml:space="preserve">    def verify_preconditions(self, state: RouteState) -&gt; VerificationResult: ...</w:t>
        <w:br/>
        <w:t xml:space="preserve">    def verify_postconditions(self, state: RouteState) -&gt; VerificationResult: ...</w:t>
      </w:r>
    </w:p>
    <w:p>
      <w:r>
        <w:rPr>
          <w:rFonts w:ascii="Courier New" w:hAnsi="Courier New"/>
          <w:b w:val="0"/>
          <w:sz w:val="18"/>
        </w:rPr>
        <w:t>O_diag = O_recert ◦ O_repair ◦ O_cut ◦ O_contract ◦ O_provenance</w:t>
      </w:r>
    </w:p>
    <w:p>
      <w:r>
        <w:rPr>
          <w:b w:val="0"/>
        </w:rPr>
        <w:t>Реализована последовательная контрактная композиция исполняемых операторов. SHAP- и LIME-артефакты проходят общий оператор проверки происхождения, но их значения не объединяются математически. Полная символическая операторная алгебра с доказательством замкнутости, тождественными и обратными операторами для произвольных объяснительных объектов в текущей версии не реализована.</w:t>
      </w:r>
    </w:p>
    <w:p>
      <w:pPr>
        <w:pStyle w:val="Heading2"/>
      </w:pPr>
      <w:r>
        <w:t>4.11. Границы результата главы</w:t>
      </w:r>
    </w:p>
    <w:p>
      <w:pPr>
        <w:ind w:firstLine="709"/>
        <w:jc w:val="both"/>
      </w:pPr>
      <w:r>
        <w:t>Экосистема FuzzyXAI не делает внешнюю модель точнее и не гарантирует истинность предметного вывода. Она обеспечивает другое: внешний результат допускается к действию только после прохождения проверяемого маршрута. Если отсутствует источник, нарушена нормировка, не покрыт профиль неопределённости или обнаружен критический конфликт, система возвращает диагностическое состояние или ограничивает действие. Предметная валидация остаётся внешней по отношению к экосистеме и должна выполняться в рамках соответствующей области.</w:t>
      </w:r>
    </w:p>
    <w:p>
      <w:pPr>
        <w:pStyle w:val="Heading2"/>
      </w:pPr>
      <w:r>
        <w:t>4.12. Выводы по главе</w:t>
      </w:r>
    </w:p>
    <w:p>
      <w:pPr>
        <w:pStyle w:val="ListBullet"/>
        <w:jc w:val="both"/>
      </w:pPr>
      <w:r>
        <w:t>Разработана программно-методическая экосистема FuzzyXAI, задающая инвариантный маршрут обработки объяснительных артефактов: адаптер → Eₖ/Dₖ → Tᵢⱼ/Dᵢⱼ → выбор F → Δ → риск-наблюдатель → действие → доказательный слой.</w:t>
      </w:r>
    </w:p>
    <w:p>
      <w:pPr>
        <w:pStyle w:val="ListBullet"/>
        <w:jc w:val="both"/>
      </w:pPr>
      <w:r>
        <w:t>Показано, что адаптер является проверяющим отображением Aₖ: Xₖ × Pₖ → Eₖ ∪ Dₖ. Он либо строит валидный объяснительный объект, либо возвращает диагностическое состояние с причиной отказа, что соответствует аксиомам валидности главы 2.</w:t>
      </w:r>
    </w:p>
    <w:p>
      <w:pPr>
        <w:pStyle w:val="ListBullet"/>
        <w:jc w:val="both"/>
      </w:pPr>
      <w:r>
        <w:t>Операторы глав 2-3 размещены в слоях экосистемы: Eₖ и Ωₖ в адаптере и ядре, Tᵢⱼ и Dᵢⱼ в объяснительном ядре, выбор F и Δ в слое неопределённости, риск-наблюдатель в слое действия.</w:t>
      </w:r>
    </w:p>
    <w:p>
      <w:pPr>
        <w:pStyle w:val="ListBullet"/>
        <w:jc w:val="both"/>
      </w:pPr>
      <w:r>
        <w:t>Введена структура доказательного пакета, обеспечивающая воспроизводимость маршрута: вход, ExplainPlan, вычисленные поля, диагностические состояния, контрольные суммы, действие и граница вывода.</w:t>
      </w:r>
    </w:p>
    <w:p>
      <w:pPr>
        <w:pStyle w:val="ListBullet"/>
      </w:pPr>
      <w:r>
        <w:t>На независимой закрытой совокупности H10-C3 R4 подтверждены только в пределах заранее сгенерированных контролируемых структурных мутаций преимущества типизированного графового метода по принадлежности диагностического разреза множеству оптимальных решений и полной повторной сертификации; автоматический статус — SCIENTIFIC_PASS.</w:t>
      </w:r>
    </w:p>
    <w:p>
      <w:r>
        <w:rPr>
          <w:b w:val="0"/>
        </w:rPr>
        <w:t>Отдельный перспективный эксперимент H10-C4 показал операционное преимущество глобального минимального разреза на 120 новых контролируемых структурных мутациях: уменьшились исполняемая стоимость, число действий, затронутых компонентов и повторных проверок при сохранении полной сертификации. Результат не распространяется на реальные инциденты или трудозатраты инженера.</w:t>
      </w:r>
    </w:p>
    <w:p>
      <w:pPr>
        <w:pStyle w:val="ListBullet"/>
        <w:jc w:val="both"/>
      </w:pPr>
      <w:r>
        <w:t>Глава 4 не вводит новый математический аппарат, но задаёт дисциплину включения внешнего результата в проверяемый маршрут, завершая переход от теории глав 2-3 к исполняемой системе, используемой в главе 5.</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