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T-нормы как диагностические признаки повреждения и восстановления представлений железнодорожного детектора</w:t>
      </w:r>
    </w:p>
    <w:p>
      <w:pPr>
        <w:pStyle w:val="Author"/>
      </w:pPr>
      <w:r>
        <w:t xml:space="preserve">TNormFilter canonical v2</w:t>
      </w:r>
    </w:p>
    <w:bookmarkStart w:id="20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[TBD_RU_ABSTRACT]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обнаружение объектов, железнодорожные сцены, T-нормы, FGSM, PGD, диагностические признаки, YOLO11m.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[TBD_EN_ABSTRACT]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object detection, railway scenes, T-norms, FGSM, PGD, diagnostic features, YOLO11m.</w:t>
      </w:r>
    </w:p>
    <w:bookmarkEnd w:id="21"/>
    <w:bookmarkStart w:id="22" w:name="цель-и-гипотезы"/>
    <w:p>
      <w:pPr>
        <w:pStyle w:val="Heading1"/>
      </w:pPr>
      <w:r>
        <w:t xml:space="preserve">1. Цель и гипотезы</w:t>
      </w:r>
    </w:p>
    <w:p>
      <w:pPr>
        <w:pStyle w:val="FirstParagraph"/>
      </w:pPr>
      <w:r>
        <w:t xml:space="preserve">Исследование проверяет дополнительную диагностическую ценность канонических Product и Łukasiewicz T-норм сверх cosine similarity и стандартных расстояний. H1 относится к повреждению признаков (D3 против D2), H2 — к восстановлению (R3 против R2), H3 — к объектной и глобальной согласованности атаки, H4 — к adaptive PGD против Product preprocessing. Положительный результат не задавался как условие завершения.</w:t>
      </w:r>
    </w:p>
    <w:bookmarkEnd w:id="22"/>
    <w:bookmarkStart w:id="23" w:name="данные-и-протокол"/>
    <w:p>
      <w:pPr>
        <w:pStyle w:val="Heading1"/>
      </w:pPr>
      <w:r>
        <w:t xml:space="preserve">2. Данные и протокол</w:t>
      </w:r>
    </w:p>
    <w:p>
      <w:pPr>
        <w:pStyle w:val="FirstParagraph"/>
      </w:pPr>
      <w:r>
        <w:t xml:space="preserve">[TBD_SPLIT_TEXT]</w:t>
      </w:r>
    </w:p>
    <w:p>
      <w:pPr>
        <w:pStyle w:val="BodyText"/>
      </w:pPr>
      <w:r>
        <w:t xml:space="preserve">Разбиение выполнено по</w:t>
      </w:r>
      <w:r>
        <w:t xml:space="preserve"> </w:t>
      </w:r>
      <w:r>
        <w:rPr>
          <w:rStyle w:val="VerbatimChar"/>
        </w:rPr>
        <w:t xml:space="preserve">grouped_scene_id</w:t>
      </w:r>
      <w:r>
        <w:t xml:space="preserve">; соседние кадры одной независимой сцены не пересекают train, validation и test. Checkpoint, confidence threshold, бюджеты атак и нормализация фиксировались до анализа test. Единицей cross-validation и bootstrap была сгруппированная сцена.</w:t>
      </w:r>
    </w:p>
    <w:bookmarkEnd w:id="23"/>
    <w:bookmarkStart w:id="24" w:name="модель-и-рабочая-точка"/>
    <w:p>
      <w:pPr>
        <w:pStyle w:val="Heading1"/>
      </w:pPr>
      <w:r>
        <w:t xml:space="preserve">3. Модель и рабочая точка</w:t>
      </w:r>
    </w:p>
    <w:p>
      <w:pPr>
        <w:pStyle w:val="FirstParagraph"/>
      </w:pPr>
      <w:r>
        <w:t xml:space="preserve">[TBD_MODEL_TEXT]</w:t>
      </w:r>
    </w:p>
    <w:bookmarkEnd w:id="24"/>
    <w:bookmarkStart w:id="25" w:name="атаки-и-диагностические-показатели"/>
    <w:p>
      <w:pPr>
        <w:pStyle w:val="Heading1"/>
      </w:pPr>
      <w:r>
        <w:t xml:space="preserve">4. Атаки и диагностические показатели</w:t>
      </w:r>
    </w:p>
    <w:p>
      <w:pPr>
        <w:pStyle w:val="FirstParagraph"/>
      </w:pPr>
      <w:r>
        <w:t xml:space="preserve">Использованы FGSM, PGD-20 с random start и тремя restart, а также adaptive PGD-20 через полный дифференцируемый конвейер Product preprocessing → YOLO11m → detection loss. Для каждого возмущения сохранены фактические L1, L2 и L∞, начальный и конечный attack loss. Нормализация P3/P4/P5 была обучена отдельно по слоям и каналам только на чистой validation-выборке.</w:t>
      </w:r>
    </w:p>
    <w:p>
      <w:pPr>
        <w:pStyle w:val="BodyText"/>
      </w:pPr>
      <w:r>
        <w:t xml:space="preserve">Для восстановления использовались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 необрезанное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τ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c</m:t>
            </m:r>
            <m:r>
              <m:t>l</m:t>
            </m:r>
            <m:r>
              <m:t>i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. Legacy compatibility-показатели не смешивались с каноническими T-нормами.</w:t>
      </w:r>
    </w:p>
    <w:bookmarkEnd w:id="25"/>
    <w:bookmarkStart w:id="31" w:name="результаты"/>
    <w:p>
      <w:pPr>
        <w:pStyle w:val="Heading1"/>
      </w:pPr>
      <w:r>
        <w:t xml:space="preserve">5. Результаты</w:t>
      </w:r>
    </w:p>
    <w:bookmarkStart w:id="26" w:name="clean-test"/>
    <w:p>
      <w:pPr>
        <w:pStyle w:val="Heading2"/>
      </w:pPr>
      <w:r>
        <w:t xml:space="preserve">5.1. Clean test</w:t>
      </w:r>
    </w:p>
    <w:p>
      <w:pPr>
        <w:pStyle w:val="FirstParagraph"/>
      </w:pPr>
      <w:r>
        <w:t xml:space="preserve">[TBD_CLEAN_TEXT]</w:t>
      </w:r>
    </w:p>
    <w:bookmarkEnd w:id="26"/>
    <w:bookmarkStart w:id="27" w:name="повреждение-d3-против-d2"/>
    <w:p>
      <w:pPr>
        <w:pStyle w:val="Heading2"/>
      </w:pPr>
      <w:r>
        <w:t xml:space="preserve">5.2. Повреждение D3 против D2</w:t>
      </w:r>
    </w:p>
    <w:p>
      <w:pPr>
        <w:pStyle w:val="FirstParagraph"/>
      </w:pPr>
      <w:r>
        <w:t xml:space="preserve">[TBD_DAMAGE_TEXT]</w:t>
      </w:r>
    </w:p>
    <w:bookmarkEnd w:id="27"/>
    <w:bookmarkStart w:id="28" w:name="восстановление-r3-против-r2"/>
    <w:p>
      <w:pPr>
        <w:pStyle w:val="Heading2"/>
      </w:pPr>
      <w:r>
        <w:t xml:space="preserve">5.3. Восстановление R3 против R2</w:t>
      </w:r>
    </w:p>
    <w:p>
      <w:pPr>
        <w:pStyle w:val="FirstParagraph"/>
      </w:pPr>
      <w:r>
        <w:t xml:space="preserve">[TBD_RECOVERY_TEXT]</w:t>
      </w:r>
    </w:p>
    <w:bookmarkEnd w:id="28"/>
    <w:bookmarkStart w:id="29" w:name="objectglobal-и-adaptivenon-adaptive"/>
    <w:p>
      <w:pPr>
        <w:pStyle w:val="Heading2"/>
      </w:pPr>
      <w:r>
        <w:t xml:space="preserve">5.4. Object/global и adaptive/non-adaptive</w:t>
      </w:r>
    </w:p>
    <w:p>
      <w:pPr>
        <w:pStyle w:val="FirstParagraph"/>
      </w:pPr>
      <w:r>
        <w:t xml:space="preserve">[TBD_H3_H4_TEXT]</w:t>
      </w:r>
    </w:p>
    <w:bookmarkEnd w:id="29"/>
    <w:bookmarkStart w:id="30" w:name="вычислительная-стоимость"/>
    <w:p>
      <w:pPr>
        <w:pStyle w:val="Heading2"/>
      </w:pPr>
      <w:r>
        <w:t xml:space="preserve">5.5. Вычислительная стоимость</w:t>
      </w:r>
    </w:p>
    <w:p>
      <w:pPr>
        <w:pStyle w:val="FirstParagraph"/>
      </w:pPr>
      <w:r>
        <w:t xml:space="preserve">[TBD_LATENCY_TEXT]</w:t>
      </w:r>
    </w:p>
    <w:bookmarkEnd w:id="30"/>
    <w:bookmarkEnd w:id="31"/>
    <w:bookmarkStart w:id="32" w:name="обсуждение"/>
    <w:p>
      <w:pPr>
        <w:pStyle w:val="Heading1"/>
      </w:pPr>
      <w:r>
        <w:t xml:space="preserve">6. Обсуждение</w:t>
      </w:r>
    </w:p>
    <w:p>
      <w:pPr>
        <w:pStyle w:val="FirstParagraph"/>
      </w:pPr>
      <w:r>
        <w:t xml:space="preserve">[TBD_DISCUSSION]</w:t>
      </w:r>
    </w:p>
    <w:p>
      <w:pPr>
        <w:pStyle w:val="BodyText"/>
      </w:pPr>
      <w:r>
        <w:t xml:space="preserve">Основные ограничения: только пять независимых test-сцен, сложность и неоднородность OSDaR23, зависимость выводов от одной архитектуры YOLO11m и от validation-замороженной рабочей точки. Cluster bootstrap характеризует неопределённость для этих сцен, но не создаёт дополнительные независимые сцены. Отрицательные и малые эффекты сохранены без подбора условий по test.</w:t>
      </w:r>
    </w:p>
    <w:bookmarkEnd w:id="32"/>
    <w:bookmarkStart w:id="33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[TBD_CONCLUSION]</w:t>
      </w:r>
    </w:p>
    <w:bookmarkEnd w:id="33"/>
    <w:bookmarkStart w:id="34" w:name="воспроизводимость"/>
    <w:p>
      <w:pPr>
        <w:pStyle w:val="Heading1"/>
      </w:pPr>
      <w:r>
        <w:t xml:space="preserve">Воспроизводимость</w:t>
      </w:r>
    </w:p>
    <w:p>
      <w:pPr>
        <w:pStyle w:val="FirstParagraph"/>
      </w:pPr>
      <w:r>
        <w:t xml:space="preserve">Split manifest, checkpoint hash, frozen threshold, budgets, raw matrices, scene-level statistics, LOSO, Holm/BH corrections, NMS audit, figures and checksums are included in the canonical evidence bundle.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T-нормы как диагностические признаки повреждения и восстановления представлений железнодорожного детектора</dc:title>
  <dc:creator>TNormFilter canonical v2</dc:creator>
  <dc:language>ru-RU</dc:language>
  <cp:keywords/>
  <dcterms:created xsi:type="dcterms:W3CDTF">2026-07-22T19:20:01Z</dcterms:created>
  <dcterms:modified xsi:type="dcterms:W3CDTF">2026-07-22T19:20:01Z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