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b/>
          <w:bCs/>
          <w:color w:val="1F4E79"/>
          <w:sz w:val="44"/>
          <w:szCs w:val="44"/>
        </w:rPr>
        <w:t xml:space="preserve">АНАЛИТИЧЕСКАЯ ЗАПИСКА</w:t>
      </w:r>
    </w:p>
    <w:p>
      <w:pPr>
        <w:spacing w:after="80"/>
        <w:jc w:val="center"/>
      </w:pPr>
      <w:r>
        <w:rPr>
          <w:color w:val="404040"/>
          <w:sz w:val="30"/>
          <w:szCs w:val="30"/>
        </w:rPr>
        <w:t xml:space="preserve">Стратегия включения программных продуктов</w:t>
      </w:r>
    </w:p>
    <w:p>
      <w:pPr>
        <w:spacing w:after="80"/>
        <w:jc w:val="center"/>
      </w:pPr>
      <w:r>
        <w:rPr>
          <w:color w:val="404040"/>
          <w:sz w:val="30"/>
          <w:szCs w:val="30"/>
        </w:rPr>
        <w:t xml:space="preserve">в Единый реестр российского ПО (Минцифры)</w:t>
      </w:r>
    </w:p>
    <w:p>
      <w:pPr>
        <w:pBdr>
          <w:bottom w:val="single" w:color="1F4E79" w:sz="6" w:space="8"/>
        </w:pBdr>
        <w:spacing w:after="600" w:before="60"/>
        <w:jc w:val="center"/>
      </w:pPr>
      <w:r>
        <w:rPr>
          <w:i/>
          <w:iCs/>
          <w:color w:val="606060"/>
          <w:sz w:val="22"/>
          <w:szCs w:val="22"/>
        </w:rPr>
        <w:t xml:space="preserve">для подготовки линейки продуктов к закупкам по 44-ФЗ и 223-ФЗ</w:t>
      </w:r>
    </w:p>
    <w:p>
      <w:pPr>
        <w:spacing w:after="60" w:before="400"/>
        <w:jc w:val="center"/>
      </w:pPr>
      <w:r>
        <w:rPr>
          <w:color w:val="606060"/>
          <w:sz w:val="22"/>
          <w:szCs w:val="22"/>
        </w:rPr>
        <w:t xml:space="preserve">Внутренний рабочий документ</w:t>
      </w:r>
    </w:p>
    <w:p>
      <w:pPr>
        <w:spacing w:after="60"/>
        <w:jc w:val="center"/>
      </w:pPr>
      <w:r>
        <w:rPr>
          <w:color w:val="606060"/>
          <w:sz w:val="22"/>
          <w:szCs w:val="22"/>
        </w:rPr>
        <w:t xml:space="preserve">Дата подготовки: 23.06.2026</w:t>
      </w:r>
    </w:p>
    <w:p>
      <w:pPr>
        <w:jc w:val="center"/>
      </w:pPr>
      <w:r>
        <w:rPr>
          <w:color w:val="606060"/>
          <w:sz w:val="22"/>
          <w:szCs w:val="22"/>
        </w:rPr>
        <w:t xml:space="preserve">Статус: ДСП / для внутреннего использования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6"/>
              <w:left w:val="single" w:color="E8A33D" w:sz="18"/>
              <w:bottom w:val="single" w:color="E8A33D" w:sz="6"/>
              <w:right w:val="single" w:color="E8A33D" w:sz="6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Оговорка о достоверности</w:t>
            </w:r>
          </w:p>
          <w:p>
            <w:pPr>
              <w:spacing w:after="40" w:line="264"/>
            </w:pPr>
            <w:r>
              <w:t xml:space="preserve">Документ подготовлен на основе нормативной базы: 188-ФЗ (ст. 12.1 149-ФЗ), Постановление Правительства РФ № 1236 от 16.11.2015, ПП РФ № 325 от 23.03.2017 и приказов Минцифры.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Числовые значения процедурных сроков и перечни доптребований к классам ПО подлежат обязательной сверке</w:t>
            </w:r>
            <w:r>
              <w:t xml:space="preserve"> с действующей редакцией ПП № 1236 и регламентом на reestr.digital.gov.ru непосредственно перед подачей: правила менялись в 2023–2025 гг.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Нормативная база и термины</w:t>
      </w:r>
    </w:p>
    <w:p>
      <w:pPr>
        <w:spacing w:after="120" w:line="276"/>
      </w:pPr>
      <w:r>
        <w:rPr>
          <w:b/>
          <w:bCs/>
        </w:rPr>
        <w:t xml:space="preserve">Опорные нормативные акты: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ст. 12.1 ФЗ № 149-ФЗ</w:t>
      </w:r>
      <w:r>
        <w:t xml:space="preserve"> (введена 188-ФЗ) — запрет закупки иностранного ПО при наличии аналога в реестре;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ПП РФ № 1236 от 16.11.2015</w:t>
      </w:r>
      <w:r>
        <w:t xml:space="preserve"> — правила формирования и ведения реестра, классификатор, требования к ПО;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ПП РФ № 325 от 23.03.2017</w:t>
      </w:r>
      <w:r>
        <w:t xml:space="preserve"> — доптребования к офисному ПО, ОС и СУБД (если применимо);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приказы Минцифры — регламент рассмотрения заявлений и состав экспертного совета.</w:t>
      </w:r>
    </w:p>
    <w:p>
      <w:pPr>
        <w:spacing w:after="120" w:line="276"/>
      </w:pPr>
      <w:r>
        <w:rPr>
          <w:b/>
          <w:bCs/>
        </w:rPr>
        <w:t xml:space="preserve">Терминология: </w:t>
      </w:r>
      <w:r>
        <w:t xml:space="preserve">«реестр отечественного ПО» = Единый реестр российских программ для ЭВМ и баз данных (ведёт Минцифры). Существует также реестр ЕАЭС; для целей 44-ФЗ ключевым является российский реестр.</w:t>
      </w:r>
    </w:p>
    <w:p>
      <w:r>
        <w:br w:type="page"/>
      </w:r>
    </w:p>
    <w:p>
      <w:pPr>
        <w:pStyle w:val="Heading1"/>
      </w:pPr>
      <w:r>
        <w:t xml:space="preserve">Блок 1. Три пути вхождения в реестр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6"/>
              <w:left w:val="single" w:color="E8A33D" w:sz="18"/>
              <w:bottom w:val="single" w:color="E8A33D" w:sz="6"/>
              <w:right w:val="single" w:color="E8A33D" w:sz="6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Юридическая ремарка</w:t>
            </w:r>
          </w:p>
          <w:p>
            <w:pPr>
              <w:spacing w:after="40" w:line="264"/>
            </w:pPr>
            <w:r>
              <w:t xml:space="preserve">Формально в ПП № 1236 — </w:t>
            </w:r>
            <w:r>
              <w:rPr>
                <w:b/>
                <w:bCs/>
              </w:rPr>
              <w:t xml:space="preserve">единая процедура подачи</w:t>
            </w:r>
            <w:r>
              <w:t xml:space="preserve">. «Три пути» — это не три регламента, а три сценария прохождения одной процедуры в зависимости от качества предварительной подготовки правовой базы.</w:t>
            </w:r>
          </w:p>
          <w:p>
            <w:pPr>
              <w:spacing w:after="40" w:line="264"/>
            </w:pPr>
            <w:r>
              <w:t xml:space="preserve">«Ускорение» достигается не через привилегированный канал, а через </w:t>
            </w:r>
            <w:r>
              <w:rPr>
                <w:b/>
                <w:bCs/>
              </w:rPr>
              <w:t xml:space="preserve">снятие оснований для дополнительных запросов экспертного совета</w:t>
            </w:r>
            <w:r>
              <w:t xml:space="preserve"> — каждый запрос приостанавливает течение срока.</w:t>
            </w:r>
          </w:p>
        </w:tc>
      </w:tr>
    </w:tbl>
    <w:p>
      <w:pPr>
        <w:pStyle w:val="Heading2"/>
      </w:pPr>
      <w:r>
        <w:t xml:space="preserve">Путь 1 — Оптимальный (минимизация запросов экспертизы)</w:t>
      </w:r>
    </w:p>
    <w:p>
      <w:pPr>
        <w:spacing w:after="120" w:line="276"/>
      </w:pPr>
      <w:r>
        <w:rPr>
          <w:b/>
          <w:bCs/>
        </w:rPr>
        <w:t xml:space="preserve">Суть: </w:t>
      </w:r>
      <w:r>
        <w:t xml:space="preserve">до подачи формируется «несокрушимая» доказательная база права, чтобы у эксперта не возникло вопросов по самому уязвимому критерию — принадлежности исключительного права.</w:t>
      </w:r>
    </w:p>
    <w:p>
      <w:pPr>
        <w:spacing w:after="120" w:line="276"/>
      </w:pPr>
      <w:r>
        <w:rPr>
          <w:b/>
          <w:bCs/>
        </w:rPr>
        <w:t xml:space="preserve">Механизм: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Госрегистрация программы для ЭВМ в Роспатенте</w:t>
      </w:r>
      <w:r>
        <w:t xml:space="preserve"> (ст. 1262 ГК РФ) → свидетельство. Не обязательное условие реестра, но публичный правоподтверждающий документ с приоритетной датой, принимаемый экспертом без проверки цепочки авторства.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Депонирование исходного кода</w:t>
      </w:r>
      <w:r>
        <w:t xml:space="preserve"> (аккредитованный депозитарий / нотариус / сервис фиксации) → фиксирует контрольную сумму, дату и содержание кода. Страховка для Пути 3.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Полная цепочка передачи прав: </w:t>
      </w:r>
      <w:r>
        <w:t xml:space="preserve">трудовые договоры + служебные задания + акты на служебные произведения (ст. 1295 ГК РФ), либо договоры авторского заказа / отчуждения.</w:t>
      </w:r>
    </w:p>
    <w:p>
      <w:pPr>
        <w:spacing w:after="120" w:line="276"/>
      </w:pPr>
      <w:r>
        <w:rPr>
          <w:b/>
          <w:bCs/>
        </w:rPr>
        <w:t xml:space="preserve">Эффект: </w:t>
      </w:r>
      <w:r>
        <w:t xml:space="preserve">заявка проходит формальную и содержательную проверку без приостановок. Самый быстрый фактический путь.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6"/>
              <w:left w:val="single" w:color="E8A33D" w:sz="18"/>
              <w:bottom w:val="single" w:color="E8A33D" w:sz="6"/>
              <w:right w:val="single" w:color="E8A33D" w:sz="6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Корректировка ожиданий</w:t>
            </w:r>
          </w:p>
          <w:p>
            <w:pPr>
              <w:spacing w:after="40" w:line="264"/>
            </w:pPr>
            <w:r>
              <w:t xml:space="preserve">«Ускоренного экспертного совета по факту депонирования» в ПП № 1236 </w:t>
            </w:r>
            <w:r>
              <w:rPr>
                <w:b/>
                <w:bCs/>
              </w:rPr>
              <w:t xml:space="preserve">нет</w:t>
            </w:r>
            <w:r>
              <w:t xml:space="preserve">. Роспатент/депонирование сокращают срок не процедурно, а статистически — устраняя 1–2 круга запросов. </w:t>
            </w:r>
            <w:r>
              <w:rPr>
                <w:b/>
                <w:bCs/>
              </w:rPr>
              <w:t xml:space="preserve">Не закладывайте в план обещание гарантированного fast-track.</w:t>
            </w:r>
          </w:p>
        </w:tc>
      </w:tr>
    </w:tbl>
    <w:p>
      <w:pPr>
        <w:pStyle w:val="Heading2"/>
      </w:pPr>
      <w:r>
        <w:t xml:space="preserve">Путь 2 — Средний (стандартная подача без депонирования)</w:t>
      </w:r>
    </w:p>
    <w:p>
      <w:pPr>
        <w:spacing w:after="120" w:line="276"/>
      </w:pPr>
      <w:r>
        <w:rPr>
          <w:b/>
          <w:bCs/>
        </w:rPr>
        <w:t xml:space="preserve">Суть: </w:t>
      </w:r>
      <w:r>
        <w:t xml:space="preserve">право подтверждается внутренними документами компании (трудовые договоры, служебные задания, локальные акты), без свидетельства Роспатента и депонирования.</w:t>
      </w:r>
    </w:p>
    <w:p>
      <w:pPr>
        <w:spacing w:after="120" w:line="276"/>
      </w:pPr>
      <w:r>
        <w:rPr>
          <w:b/>
          <w:bCs/>
        </w:rPr>
        <w:t xml:space="preserve">Базовые этапы по регламенту: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Подача заявления через reestr.digital.gov.ru, подпись УКЭП.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Формальная (комплектная) проверка</w:t>
      </w:r>
      <w:r>
        <w:t xml:space="preserve"> Минцифры — комплектность, корректность класса, доступность страницы продукта. </w:t>
      </w:r>
      <w:r>
        <w:rPr>
          <w:i/>
          <w:iCs/>
        </w:rPr>
        <w:t xml:space="preserve">(срок подлежит сверке; ориентир — несколько рабочих дней)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Содержательная экспертиза</w:t>
      </w:r>
      <w:r>
        <w:t xml:space="preserve"> — оценка соответствия требованиям ПП № 1236.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Экспертный совет</w:t>
      </w:r>
      <w:r>
        <w:t xml:space="preserve"> — коллегиальное решение (рекомендовать / отказать / запросить доработку).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Приказ Минцифры</w:t>
      </w:r>
      <w:r>
        <w:t xml:space="preserve"> о включении.</w:t>
      </w:r>
    </w:p>
    <w:p>
      <w:pPr>
        <w:spacing w:after="120" w:line="276"/>
      </w:pPr>
      <w:r>
        <w:rPr>
          <w:b/>
          <w:bCs/>
        </w:rPr>
        <w:t xml:space="preserve">Сроки: </w:t>
      </w:r>
      <w:r>
        <w:t xml:space="preserve">ориентировочно 1–3 месяца общего цикла при отсутствии запросов </w:t>
      </w:r>
      <w:r>
        <w:rPr>
          <w:i/>
          <w:iCs/>
        </w:rPr>
        <w:t xml:space="preserve">(подлежит сверке)</w:t>
      </w:r>
      <w:r>
        <w:t xml:space="preserve">. Каждый запрос эксперта приостанавливает течение срока.</w:t>
      </w:r>
    </w:p>
    <w:p>
      <w:pPr>
        <w:spacing w:after="120" w:line="276"/>
      </w:pPr>
      <w:r>
        <w:rPr>
          <w:b/>
          <w:bCs/>
        </w:rPr>
        <w:t xml:space="preserve">Риск: </w:t>
      </w:r>
      <w:r>
        <w:t xml:space="preserve">при «тонкой» доказательной базе эксперт вправе запросить пояснения по правообладанию или доле иностранных компонентов → сценарий съезжает к Пути 3.</w:t>
      </w:r>
    </w:p>
    <w:p>
      <w:pPr>
        <w:pStyle w:val="Heading2"/>
      </w:pPr>
      <w:r>
        <w:t xml:space="preserve">Путь 3 — Сложный (углублённый аудит при сомнениях в самостоятельности)</w:t>
      </w:r>
    </w:p>
    <w:p>
      <w:pPr>
        <w:spacing w:after="120" w:line="276"/>
      </w:pPr>
      <w:r>
        <w:rPr>
          <w:b/>
          <w:bCs/>
        </w:rPr>
        <w:t xml:space="preserve">Триггеры перехода: </w:t>
      </w:r>
      <w:r>
        <w:t xml:space="preserve">сомнения, что продукт является самостоятельным произведением, а не надстройкой/ребрендингом стороннего (часто иностранного open-source) решения; несоответствие класса; вопросы к доле иностранных выплат; «клонирование» уже зарегистрированного продукта.</w:t>
      </w:r>
    </w:p>
    <w:p>
      <w:pPr>
        <w:spacing w:after="120" w:line="276"/>
      </w:pPr>
      <w:r>
        <w:rPr>
          <w:b/>
          <w:bCs/>
        </w:rPr>
        <w:t xml:space="preserve">Что проверяется углублённо: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Код и архитектура: </w:t>
      </w:r>
      <w:r>
        <w:t xml:space="preserve">соотношение собственной и заимствованной кодовой базы, состав внешних зависимостей, проприетарные иностранные SDK, факты обращения к зарубежной инфраструктуре в рантайме.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Правоустанавливающие документы: </w:t>
      </w:r>
      <w:r>
        <w:t xml:space="preserve">полная цепочка от каждого разработчика до правообладателя; договоры с подрядчиками; лицензии на все сторонние компоненты.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Финансовая модель: </w:t>
      </w:r>
      <w:r>
        <w:t xml:space="preserve">структура лицензионных платежей иностранным лицам относительно выручки (критерий 30%, см. Блок 2).</w:t>
      </w:r>
    </w:p>
    <w:p>
      <w:pPr>
        <w:spacing w:after="120" w:line="276"/>
      </w:pPr>
      <w:r>
        <w:rPr>
          <w:b/>
          <w:bCs/>
        </w:rPr>
        <w:t xml:space="preserve">Защита: </w:t>
      </w:r>
      <w:r>
        <w:t xml:space="preserve">здесь окупаются артефакты Пути 1 — депонированный код, SBOM и юридическое заключение о лицензионной чистоте. Их наличие переводит «аудит подозрения» в «аудит подтверждения».</w:t>
      </w:r>
    </w:p>
    <w:p>
      <w:pPr>
        <w:spacing w:after="120" w:line="276"/>
      </w:pPr>
      <w:r>
        <w:rPr>
          <w:b/>
          <w:bCs/>
        </w:rPr>
        <w:t xml:space="preserve">Сроки: </w:t>
      </w:r>
      <w:r>
        <w:t xml:space="preserve">непрогнозируемы; цикл «запрос-ответ» может растянуть процесс на 3–6+ месяцев; возможен мотивированный отказ с правом повторной подачи.</w:t>
      </w:r>
    </w:p>
    <w:p>
      <w:pPr>
        <w:spacing w:after="120"/>
      </w:pPr>
    </w:p>
    <w:p>
      <w:pPr>
        <w:pStyle w:val="Heading3"/>
      </w:pPr>
      <w:r>
        <w:t xml:space="preserve">Сравнительная таблица путей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2200"/>
        <w:gridCol w:w="25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Путь 1 — Оптимальный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Путь 2 — Средний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Путь 3 — Сложный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Подготовка права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Роспатент + депонирование + полная цепочка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Внутренние документы компании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Запрашивается весь архив + аудит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Риск запросов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Минимальный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Средний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Высокий (инициируется экспертом)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Ориент. срок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Быстрее всего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1–3 мес.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3–6+ мес.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Затраты «на входе»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Выше (пошлины, депозит)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Базовые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Реактивные, непрогнозируемые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Рекомендация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По умолчанию для всей линейки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Для простых продуктов с чистым правом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Сценарий-риск, не выбирается осознанно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Блок 2. Технические «гардрейлы» (чек-лист защиты)</w:t>
      </w:r>
    </w:p>
    <w:p>
      <w:pPr>
        <w:pStyle w:val="Heading2"/>
      </w:pPr>
      <w:r>
        <w:t xml:space="preserve">2.1. Критическая корректировка: «правило 30%» — это НЕ доля кода</w:t>
      </w:r>
    </w:p>
    <w:p>
      <w:pPr>
        <w:spacing w:after="120" w:line="276"/>
      </w:pPr>
      <w:r>
        <w:t xml:space="preserve">В исходной постановке смешаны два разных требования. Их необходимо развести — от этого зависит вся стратегия обоснования.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Критерий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Что это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Порог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Финансовый (реальное требование реестра)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Сумма выплат по лицензионным/иным договорам в пользу иностранных правообладателей за права на ПО и его компоненты (ПП № 1236)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&lt; 30% выручки правообладателя от реализации этого ПО за год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«Доля собственного кода 30%»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Расхожая интерпретация. Жёсткого норматива «≥ X% строк собственного кода» в ПП № 1236 нет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Оценивается экспертом качественно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Вывод для стратегии: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Юридически обязателен </w:t>
      </w:r>
      <w:r>
        <w:rPr>
          <w:b/>
          <w:bCs/>
        </w:rPr>
        <w:t xml:space="preserve">финансовый</w:t>
      </w:r>
      <w:r>
        <w:t xml:space="preserve"> порог: годовые платежи иностранным лицам за компоненты — </w:t>
      </w:r>
      <w:r>
        <w:rPr>
          <w:b/>
          <w:bCs/>
        </w:rPr>
        <w:t xml:space="preserve">строго менее 30%</w:t>
      </w:r>
      <w:r>
        <w:t xml:space="preserve"> годовой выручки по продукту. Считается и подтверждается бухгалтерски.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«Самостоятельность произведения» (ст. 1259–1260 ГК РФ) эксперт оценивает не по проценту строк, а по тому, является ли продукт самостоятельной/составной/производной работой с творческим вкладом. Open-source библиотеки допустимы; ключ — продукт должен быть собственным произведением, а не чужим с заменой бренда.</w:t>
      </w:r>
    </w:p>
    <w:p>
      <w:pPr>
        <w:spacing w:after="120" w:line="276"/>
      </w:pPr>
      <w:r>
        <w:rPr>
          <w:b/>
          <w:bCs/>
        </w:rPr>
        <w:t xml:space="preserve">Как обосновывать: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Бухгалтерская справка: выплаты иностранным лицензиарам / выручка по продукту &lt; 30% (за отчётный год).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Архитектурная записка: что является ядром продукта (ваша разработка), а что — инфраструктурными зависимостями (СУБД, фреймворк, библиотеки).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Свидетельство Роспатента + депонирование как доказательство самостоятельности и состава кода.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Для SaaS: подтверждение, что бизнес-логика, модель данных, UI/UX — собственная разработка, а не конфигурация чужой платформы.</w:t>
      </w:r>
    </w:p>
    <w:p>
      <w:pPr>
        <w:pStyle w:val="Heading2"/>
      </w:pPr>
      <w:r>
        <w:t xml:space="preserve">2.2. Внешние зависимости и локализация инфраструктуры</w:t>
      </w:r>
    </w:p>
    <w:p>
      <w:pPr>
        <w:spacing w:after="120" w:line="276"/>
      </w:pPr>
      <w:r>
        <w:t xml:space="preserve">Принцип ПП № 1236: ПО </w:t>
      </w:r>
      <w:r>
        <w:rPr>
          <w:b/>
          <w:bCs/>
        </w:rPr>
        <w:t xml:space="preserve">не управляется и не обновляется принудительно из-за пределов РФ</w:t>
      </w:r>
      <w:r>
        <w:t xml:space="preserve">, а сопровождение ведётся российским лицом без иностранного контроля. На практике — жёсткий технический чек-лист.</w:t>
      </w:r>
    </w:p>
    <w:p>
      <w:pPr>
        <w:spacing w:after="120" w:line="276"/>
      </w:pPr>
      <w:r>
        <w:rPr>
          <w:b/>
          <w:bCs/>
          <w:color w:val="C00000"/>
        </w:rPr>
        <w:t xml:space="preserve">Запрещено (must-fix перед подачей):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Зарубежные CDN</w:t>
      </w:r>
      <w:r>
        <w:t xml:space="preserve"> для шрифтов, иконок, CSS/JS (Google Fonts, cdnjs, jsDelivr, unpkg) → перенести на собственный/российский хостинг, бандлить локально.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Иностранная аналитика/телеметрия</w:t>
      </w:r>
      <w:r>
        <w:t xml:space="preserve"> (Google Analytics, GTM, Hotjar, Sentry на зарубежных серверах, Facebook Pixel) → заменить на российские (Яндекс.Метрика на инфраструктуре РФ / self-hosted) или убрать.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Рантайм-обращения к зарубежным API</w:t>
      </w:r>
      <w:r>
        <w:t xml:space="preserve"> как критическая зависимость работоспособности (внешние LLM-API, геокодеры, карты, платёжные SDK иностранных вендоров в ядре).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Автообновления/license heartbeat</w:t>
      </w:r>
      <w:r>
        <w:t xml:space="preserve">, обращающиеся к серверам за пределами РФ.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Контейнерные образы и пакеты</w:t>
      </w:r>
      <w:r>
        <w:t xml:space="preserve">, тянущиеся в рантайме с зарубежных registry без локального зеркала.</w:t>
      </w:r>
    </w:p>
    <w:p>
      <w:pPr>
        <w:spacing w:after="120" w:line="276"/>
      </w:pPr>
      <w:r>
        <w:rPr>
          <w:b/>
          <w:bCs/>
          <w:color w:val="375623"/>
        </w:rPr>
        <w:t xml:space="preserve">Требуется обеспечить: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Серверная инфраструктура продакшена (для SaaS — критично) размещена в </w:t>
      </w:r>
      <w:r>
        <w:rPr>
          <w:b/>
          <w:bCs/>
        </w:rPr>
        <w:t xml:space="preserve">ЦОД на территории РФ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Техподдержка, гарантийное обслуживание и модернизация — </w:t>
      </w:r>
      <w:r>
        <w:rPr>
          <w:b/>
          <w:bCs/>
        </w:rPr>
        <w:t xml:space="preserve">российским юрлицом без преобладающего иностранного участия</w:t>
      </w:r>
      <w:r>
        <w:t xml:space="preserve">; зафиксировано регламентом ТП и контактами в РФ.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Локализованные зеркала репозиториев зависимостей (внутренний proxy/Nexus).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Сетевой аудит: трассировка исходящих соединений работающего продукта — подтвердить отсутствие обязательных коннектов за рубеж.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6"/>
              <w:left w:val="single" w:color="E8A33D" w:sz="18"/>
              <w:bottom w:val="single" w:color="E8A33D" w:sz="6"/>
              <w:right w:val="single" w:color="E8A33D" w:sz="6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Особый риск для SaaS</w:t>
            </w:r>
          </w:p>
          <w:p>
            <w:pPr>
              <w:spacing w:after="40" w:line="264"/>
            </w:pPr>
            <w:r>
              <w:t xml:space="preserve">Проверяющий открывает рабочий экземпляр и DevTools → панель </w:t>
            </w:r>
            <w:r>
              <w:rPr>
                <w:b/>
                <w:bCs/>
              </w:rPr>
              <w:t xml:space="preserve">Network</w:t>
            </w:r>
            <w:r>
              <w:t xml:space="preserve"> не должна показывать обязательных запросов к зарубежным доменам.</w:t>
            </w:r>
          </w:p>
        </w:tc>
      </w:tr>
    </w:tbl>
    <w:p>
      <w:pPr>
        <w:pStyle w:val="Heading2"/>
      </w:pPr>
      <w:r>
        <w:t xml:space="preserve">2.3. Чистота Open Source (аудит лицензий)</w:t>
      </w:r>
    </w:p>
    <w:p>
      <w:pPr>
        <w:spacing w:after="120" w:line="276"/>
      </w:pPr>
      <w:r>
        <w:t xml:space="preserve">Цель — исключить компоненты, чьи лицензии (а) несовместимы с проприетарным распространением или (б) накладывают copyleft-обязательства раскрытия исходного кода.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Категория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Примеры лицензий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375623"/>
              </w:rPr>
              <w:t xml:space="preserve">Низкий риск (permissive)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MIT, BSD-2/3, Apache-2.0, ISC, Zlib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Допустимо. Соблюдать атрибуцию; для Apache-2.0 учесть патентную оговорку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</w:rPr>
              <w:t xml:space="preserve">Средний риск (weak copyleft)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LGPL, MPL-2.0, EPL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Допустимо при динамической линковке/изоляции компонента; статическая линковка в проприетарное ядро — риск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Высокий риск (strong copyleft)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GPL-2.0, GPL-3.0, AGPL-3.0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Заражают производный продукт обязательством раскрытия. AGPL особенно опасна для SaaS — триггерит обязательства даже при предоставлении ПО как сервиса по сети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Критический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«No-license», SSPL, BSL, CC-NC (запрет коммерческого использования), санкционные вендоры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Исключить полностью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Чек-лист аудита: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Сформировать </w:t>
      </w:r>
      <w:r>
        <w:rPr>
          <w:b/>
          <w:bCs/>
        </w:rPr>
        <w:t xml:space="preserve">SBOM</w:t>
      </w:r>
      <w:r>
        <w:t xml:space="preserve"> (SPDX или CycloneDX) — полную опись компонентов и транзитивных зависимостей.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Прогнать лиценз-сканер (FOSSA / ScanCode / OSS Review Toolkit / средства CI) по всему дереву, включая транзитивные зависимости.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Устранить любые </w:t>
      </w:r>
      <w:r>
        <w:rPr>
          <w:b/>
          <w:bCs/>
        </w:rPr>
        <w:t xml:space="preserve">GPL/AGPL</w:t>
      </w:r>
      <w:r>
        <w:t xml:space="preserve"> в составе ядра проприетарного продукта.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Проверить отсутствие компонентов от санкционных/ушедших вендоров и компонентов «без лицензии».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Подготовить NOTICE/атрибуцию для permissive-лицензий.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Юридическое заключение о лицензионной чистоте — приложить в досье к Пути 3.</w:t>
      </w:r>
    </w:p>
    <w:p>
      <w:r>
        <w:br w:type="page"/>
      </w:r>
    </w:p>
    <w:p>
      <w:pPr>
        <w:pStyle w:val="Heading1"/>
      </w:pPr>
      <w:r>
        <w:t xml:space="preserve">Блок 3. Пошаговая инструкция для ответственного сотрудника</w:t>
      </w:r>
    </w:p>
    <w:p>
      <w:pPr>
        <w:pStyle w:val="Heading2"/>
      </w:pPr>
      <w:r>
        <w:t xml:space="preserve">Этап 0. Предпосылки (до начала работы в системе)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Правообладатель — российское юрлицо; </w:t>
      </w:r>
      <w:r>
        <w:rPr>
          <w:b/>
          <w:bCs/>
        </w:rPr>
        <w:t xml:space="preserve">суммарная доля прямого/косвенного участия РФ, субъектов, муниципалитетов и граждан РФ &gt; 50%</w:t>
      </w:r>
      <w:r>
        <w:t xml:space="preserve">. Проверить по выписке ЕГРЮЛ и структуре владения.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Получена </w:t>
      </w:r>
      <w:r>
        <w:rPr>
          <w:b/>
          <w:bCs/>
        </w:rPr>
        <w:t xml:space="preserve">УКЭП</w:t>
      </w:r>
      <w:r>
        <w:t xml:space="preserve"> на руководителя или уполномоченное лицо.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Учётная запись организации подтверждена в </w:t>
      </w:r>
      <w:r>
        <w:rPr>
          <w:b/>
          <w:bCs/>
        </w:rPr>
        <w:t xml:space="preserve">ЕСИА (Госуслуги)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Определён </w:t>
      </w:r>
      <w:r>
        <w:rPr>
          <w:b/>
          <w:bCs/>
        </w:rPr>
        <w:t xml:space="preserve">класс ПО</w:t>
      </w:r>
      <w:r>
        <w:t xml:space="preserve"> по классификатору ПП № 1236 (ошибка класса = возврат на формальной проверке).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Проверено, не подпадает ли продукт под </w:t>
      </w:r>
      <w:r>
        <w:rPr>
          <w:b/>
          <w:bCs/>
        </w:rPr>
        <w:t xml:space="preserve">доптребования</w:t>
      </w:r>
      <w:r>
        <w:t xml:space="preserve"> (ПП № 325; требования совместимости с российскими ОС/процессорами для отдельных классов — </w:t>
      </w:r>
      <w:r>
        <w:rPr>
          <w:i/>
          <w:iCs/>
        </w:rPr>
        <w:t xml:space="preserve">подлежит сверке</w:t>
      </w:r>
      <w:r>
        <w:t xml:space="preserve">).</w:t>
      </w:r>
    </w:p>
    <w:p>
      <w:pPr>
        <w:pStyle w:val="Heading2"/>
      </w:pPr>
      <w:r>
        <w:t xml:space="preserve">Этап 1. Пакет документов (подготовить заранее)</w:t>
      </w:r>
    </w:p>
    <w:p>
      <w:pPr>
        <w:pStyle w:val="Heading3"/>
      </w:pPr>
      <w:r>
        <w:t xml:space="preserve">Правоустанавливающие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Документы на исключительное право: свидетельство Роспатента (рекомендуется) </w:t>
      </w:r>
      <w:r>
        <w:rPr>
          <w:b/>
          <w:bCs/>
        </w:rPr>
        <w:t xml:space="preserve">или</w:t>
      </w:r>
      <w:r>
        <w:t xml:space="preserve"> комплект «трудовой договор + служебное задание + акт на служебное произведение» по каждому разработчику; договоры авторского заказа/отчуждения с подрядчиками.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Выписка ЕГРЮЛ, учредительные документы, документы о структуре владения (подтверждение российского контроля).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Бухгалтерская справка: доля выплат иностранным правообладателям &lt; 30% выручки по продукту.</w:t>
      </w:r>
    </w:p>
    <w:p>
      <w:pPr>
        <w:pStyle w:val="Heading3"/>
      </w:pPr>
      <w:r>
        <w:t xml:space="preserve">Технические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Описание функциональных характеристик ПО.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Документация: руководство пользователя и администратора, описание процессов установки и эксплуатации.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Описание процессов поддержания жизненного цикла, гарантийного обслуживания и техподдержки (выполняются в РФ).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Экземпляр ПО / тестовый доступ для эксперта (для SaaS — демо-стенд с учётной записью).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SBOM и заключение о лицензионной чистоте open-source.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(Опционально, Путь 1) свидетельство о депонировании кода.</w:t>
      </w:r>
    </w:p>
    <w:p>
      <w:pPr>
        <w:pStyle w:val="Heading2"/>
      </w:pPr>
      <w:r>
        <w:t xml:space="preserve">Этап 2. Требования к странице продукта (сайту)</w:t>
      </w:r>
    </w:p>
    <w:p>
      <w:pPr>
        <w:spacing w:after="120" w:line="276"/>
      </w:pPr>
      <w:r>
        <w:t xml:space="preserve">Проверяющий должен с этой страницы самостоятельно изучить продукт </w:t>
      </w:r>
      <w:r>
        <w:rPr>
          <w:b/>
          <w:bCs/>
        </w:rPr>
        <w:t xml:space="preserve">без оплаты и без регистрации у вас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Постоянно доступный публичный URL (без paywall и обязательной авторизации для доступа к документации).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Размещены: описание функциональных характеристик, инструкция по установке/получению доступа, руководство по эксплуатации, описание процессов жизненного цикла и порядка техподдержки.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Контакты техподдержки в РФ.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Самопроверка инфраструктуры (критично): </w:t>
      </w:r>
      <w:r>
        <w:t xml:space="preserve">открыть страницу и рабочий экземпляр → DevTools → Network → убедиться в отсутствии обязательных запросов к зарубежным CDN/аналитике/API. Шрифты/скрипты — локальные.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Сайт хостится на инфраструктуре в РФ.</w:t>
      </w:r>
    </w:p>
    <w:p>
      <w:pPr>
        <w:pStyle w:val="Heading2"/>
      </w:pPr>
      <w:r>
        <w:t xml:space="preserve">Этап 3. Прохождение на портале — до кнопки «Отправить документы на проверку»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Авторизация: </w:t>
      </w:r>
      <w:r>
        <w:t xml:space="preserve">reestr.digital.gov.ru → вход через ЕСИА под учётной записью организации (уполномоченное лицо).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Создать заявление</w:t>
      </w:r>
      <w:r>
        <w:t xml:space="preserve"> на включение сведений о ПО в реестр.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Заполнить карточку ПО: </w:t>
      </w:r>
      <w:r>
        <w:t xml:space="preserve">наименование, класс, правообладатель, описание функциональных характеристик, URL страницы продукта.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Приложить документы</w:t>
      </w:r>
      <w:r>
        <w:t xml:space="preserve"> из Этапа 1 (правоустанавливающие + технические) в требуемых форматах.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Указать сведения о соответствии</w:t>
      </w:r>
      <w:r>
        <w:t xml:space="preserve"> требованиям ПП № 1236 (исключительное право, отсутствие иностранного контроля, доля выплат &lt; 30%, локализация ТП, отсутствие принудительного управления из-за рубежа).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Указать данные для доступа эксперта</w:t>
      </w:r>
      <w:r>
        <w:t xml:space="preserve"> к экземпляру (для SaaS — демо-доступ).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Внутренняя проверка комплектности: </w:t>
      </w:r>
      <w:r>
        <w:t xml:space="preserve">все поля заполнены, все вложения приложены, страница продукта доступна из режима инкогнито.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Подписать заявление УКЭП.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Нажать «Отправить документы на проверку».</w:t>
      </w:r>
    </w:p>
    <w:p>
      <w:pPr>
        <w:pStyle w:val="Heading2"/>
      </w:pPr>
      <w:r>
        <w:t xml:space="preserve">Этап 4. После отправки (контроль сотрудником)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Отслеживать статус в личном кабинете.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На запросы эксперта отвечать в установленный срок — иначе заявление приостанавливается/отклоняется.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При мотивированном отказе — устранить замечания и подать повторно (отказ не лишает права повторной подачи).</w:t>
      </w:r>
    </w:p>
    <w:p>
      <w:r>
        <w:br w:type="page"/>
      </w:r>
    </w:p>
    <w:p>
      <w:pPr>
        <w:pStyle w:val="Heading1"/>
      </w:pPr>
      <w:r>
        <w:t xml:space="preserve">Резюме для руководства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Стратегия по умолчанию — Путь 1</w:t>
      </w:r>
      <w:r>
        <w:t xml:space="preserve"> для всей линейки: затраты на Роспатент + депонирование + SBOM окупаются предсказуемостью сроков и страховкой от перехода в углублённый аудит.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Главный технический риск — SaaS-продукты</w:t>
      </w:r>
      <w:r>
        <w:t xml:space="preserve"> из-за рантайм-зависимостей и зарубежной аналитики/CDN. Сетевой аудит исходящего трафика обязателен до подачи.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«30%» — это финансовый критерий выплат иностранным лицам, а не доля кода.</w:t>
      </w:r>
      <w:r>
        <w:t xml:space="preserve"> Готовить бухгалтерское подтверждение; самостоятельность произведения обосновывать архитектурно.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Open-source: блокеры — GPL/AGPL</w:t>
      </w:r>
      <w:r>
        <w:t xml:space="preserve"> (AGPL критична для SaaS). Лиценз-аудит всего дерева зависимостей до подачи.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6"/>
              <w:left w:val="single" w:color="E8A33D" w:sz="18"/>
              <w:bottom w:val="single" w:color="E8A33D" w:sz="6"/>
              <w:right w:val="single" w:color="E8A33D" w:sz="6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Обязательно сверить перед подачей (онлайн-источники недоступны на момент подготовки)</w:t>
            </w:r>
          </w:p>
          <w:p>
            <w:pPr>
              <w:spacing w:after="40" w:line="264"/>
            </w:pPr>
            <w:r>
              <w:t xml:space="preserve">• Актуальная редакция ПП № 1236 и точные процедурные сроки этапов;</w:t>
            </w:r>
          </w:p>
          <w:p>
            <w:pPr>
              <w:spacing w:after="40" w:line="264"/>
            </w:pPr>
            <w:r>
              <w:t xml:space="preserve">• действующие доптребования по совместимости с российскими ОС/процессорами для классов ваших продуктов;</w:t>
            </w:r>
          </w:p>
          <w:p>
            <w:pPr>
              <w:spacing w:after="40" w:line="264"/>
            </w:pPr>
            <w:r>
              <w:t xml:space="preserve">• актуальный перечень и форматы документов в АИС «Реестр» на момент подачи.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ДСП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08080"/>
        <w:sz w:val="16"/>
        <w:szCs w:val="16"/>
      </w:rPr>
      <w:t xml:space="preserve">Аналитическая записка · Реестр российского ПО (Минцифры)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Аналитическая записка: вхождение в реестр российского ПО</dc:title>
  <dc:creator>IT-юридический отдел</dc:creator>
  <cp:lastModifiedBy>Un-named</cp:lastModifiedBy>
  <cp:revision>1</cp:revision>
  <dcterms:created xsi:type="dcterms:W3CDTF">2026-06-23T11:36:58.057Z</dcterms:created>
  <dcterms:modified xsi:type="dcterms:W3CDTF">2026-06-23T11:36:58.058Z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