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4852"/>
        <w:gridCol w:w="4854"/>
      </w:tblGrid>
      <w:tr>
        <w:trPr/>
        <w:tc>
          <w:tcPr>
            <w:tcW w:w="4852" w:type="dxa"/>
            <w:tcBorders/>
            <w:vAlign w:val="center"/>
          </w:tcPr>
          <w:p>
            <w:pPr>
              <w:pStyle w:val="Normal"/>
              <w:rPr/>
            </w:pPr>
            <w:r>
              <w:rPr/>
              <w:drawing>
                <wp:inline distT="0" distB="0" distL="0" distR="0">
                  <wp:extent cx="1857375" cy="6572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857375" cy="657225"/>
                          </a:xfrm>
                          <a:prstGeom prst="rect">
                            <a:avLst/>
                          </a:prstGeom>
                          <a:noFill/>
                        </pic:spPr>
                      </pic:pic>
                    </a:graphicData>
                  </a:graphic>
                </wp:inline>
              </w:drawing>
            </w:r>
          </w:p>
        </w:tc>
        <w:tc>
          <w:tcPr>
            <w:tcW w:w="4854" w:type="dxa"/>
            <w:tcBorders/>
            <w:vAlign w:val="center"/>
          </w:tcPr>
          <w:p>
            <w:pPr>
              <w:pStyle w:val="Normal"/>
              <w:spacing w:before="0" w:after="20"/>
              <w:jc w:val="end"/>
              <w:rPr/>
            </w:pPr>
            <w:r>
              <w:rPr>
                <w:rFonts w:eastAsia="Times New Roman" w:cs="Times New Roman"/>
                <w:b/>
                <w:bCs/>
                <w:color w:val="1E2761"/>
                <w:sz w:val="22"/>
                <w:szCs w:val="22"/>
              </w:rPr>
              <w:t>ООО «АВТОМАТИКА»</w:t>
            </w:r>
          </w:p>
          <w:p>
            <w:pPr>
              <w:pStyle w:val="Normal"/>
              <w:spacing w:before="0" w:after="20"/>
              <w:jc w:val="end"/>
              <w:rPr/>
            </w:pPr>
            <w:r>
              <w:rPr>
                <w:rFonts w:eastAsia="Times New Roman" w:cs="Times New Roman"/>
                <w:color w:val="5B6472"/>
                <w:sz w:val="16"/>
                <w:szCs w:val="16"/>
              </w:rPr>
              <w:t>690033, г. Владивосток, Приморский край</w:t>
            </w:r>
          </w:p>
          <w:p>
            <w:pPr>
              <w:pStyle w:val="Normal"/>
              <w:spacing w:before="0" w:after="20"/>
              <w:jc w:val="end"/>
              <w:rPr/>
            </w:pPr>
            <w:r>
              <w:rPr>
                <w:rFonts w:eastAsia="Times New Roman" w:cs="Times New Roman"/>
                <w:color w:val="5B6472"/>
                <w:sz w:val="16"/>
                <w:szCs w:val="16"/>
              </w:rPr>
              <w:t>Тел.: +7 914 725-57-02, 8 (800) 301-18-20</w:t>
            </w:r>
          </w:p>
          <w:p>
            <w:pPr>
              <w:pStyle w:val="Normal"/>
              <w:jc w:val="end"/>
              <w:rPr/>
            </w:pPr>
            <w:r>
              <w:rPr>
                <w:rFonts w:eastAsia="Times New Roman" w:cs="Times New Roman"/>
                <w:color w:val="5B6472"/>
                <w:sz w:val="16"/>
                <w:szCs w:val="16"/>
              </w:rPr>
              <w:t>info@infohit.ru   ·   web-scada.ru</w:t>
            </w:r>
          </w:p>
        </w:tc>
      </w:tr>
    </w:tbl>
    <w:p>
      <w:pPr>
        <w:pStyle w:val="Normal"/>
        <w:pBdr>
          <w:bottom w:val="single" w:sz="8" w:space="4" w:color="C97E1E"/>
        </w:pBdr>
        <w:spacing w:before="0" w:after="300"/>
        <w:rPr/>
      </w:pPr>
      <w:r>
        <w:rPr/>
      </w:r>
    </w:p>
    <w:p>
      <w:pPr>
        <w:pStyle w:val="Normal"/>
        <w:spacing w:before="0" w:after="60"/>
        <w:jc w:val="center"/>
        <w:rPr/>
      </w:pPr>
      <w:r>
        <w:rPr>
          <w:rFonts w:eastAsia="Times New Roman" w:cs="Times New Roman"/>
          <w:b/>
          <w:bCs/>
          <w:color w:val="1E2761"/>
          <w:sz w:val="30"/>
          <w:szCs w:val="30"/>
        </w:rPr>
        <w:t>ТЕХНИЧЕСКОЕ ЗАДАНИЕ</w:t>
      </w:r>
    </w:p>
    <w:p>
      <w:pPr>
        <w:pStyle w:val="Normal"/>
        <w:spacing w:before="0" w:after="40"/>
        <w:jc w:val="center"/>
        <w:rPr/>
      </w:pPr>
      <w:r>
        <w:rPr>
          <w:rFonts w:eastAsia="Times New Roman" w:cs="Times New Roman"/>
          <w:b/>
          <w:bCs/>
          <w:sz w:val="24"/>
          <w:szCs w:val="24"/>
        </w:rPr>
        <w:t>на разработку и модернизацию ПО (ML/CV-часть)</w:t>
      </w:r>
    </w:p>
    <w:p>
      <w:pPr>
        <w:pStyle w:val="Normal"/>
        <w:spacing w:before="0" w:after="40"/>
        <w:jc w:val="center"/>
        <w:rPr/>
      </w:pPr>
      <w:r>
        <w:rPr>
          <w:rFonts w:eastAsia="Times New Roman" w:cs="Times New Roman"/>
          <w:b/>
          <w:bCs/>
          <w:color w:val="5B6472"/>
          <w:sz w:val="22"/>
          <w:szCs w:val="22"/>
        </w:rPr>
        <w:t>«Система видеоконтроля состояния мест накопления»</w:t>
      </w:r>
    </w:p>
    <w:p>
      <w:pPr>
        <w:pStyle w:val="Normal"/>
        <w:spacing w:before="0" w:after="300"/>
        <w:jc w:val="center"/>
        <w:rPr/>
      </w:pPr>
      <w:r>
        <w:rPr>
          <w:rFonts w:eastAsia="Times New Roman" w:cs="Times New Roman"/>
          <w:color w:val="5B6472"/>
          <w:sz w:val="19"/>
          <w:szCs w:val="19"/>
        </w:rPr>
        <w:t>для специалиста по машинному обучению · на основании Договора № ЦПДОГ2/31-07/2026 от 31.07.2026 между ООО «Цифровое Приморье» и ООО «Автоматика», Приложение № 1 (Техническое задание)</w:t>
      </w:r>
    </w:p>
    <w:p>
      <w:pPr>
        <w:pStyle w:val="Normal"/>
        <w:spacing w:before="240" w:after="160"/>
        <w:rPr/>
      </w:pPr>
      <w:r>
        <w:rPr>
          <w:rFonts w:eastAsia="Times New Roman" w:cs="Times New Roman"/>
          <w:b/>
          <w:bCs/>
          <w:color w:val="1E2761"/>
          <w:sz w:val="26"/>
          <w:szCs w:val="26"/>
        </w:rPr>
        <w:t>1. Назначение документа и границы работ</w:t>
      </w:r>
    </w:p>
    <w:p>
      <w:pPr>
        <w:pStyle w:val="Normal"/>
        <w:spacing w:lineRule="auto" w:line="276" w:before="0" w:after="160"/>
        <w:rPr/>
      </w:pPr>
      <w:r>
        <w:rPr>
          <w:rFonts w:eastAsia="Times New Roman" w:cs="Times New Roman"/>
          <w:sz w:val="22"/>
          <w:szCs w:val="22"/>
        </w:rPr>
        <w:t>Настоящее ТЗ выделяет из полного Технического задания к Договору № ЦПДОГ2/31-07/2026 (Приложение № 1) состав работ, относящийся к машинному обучению и компьютерному зрению, и адресовано специалисту, выполняющему эту часть доработки программного обеспечения «Система видеоконтроля состояния мест накопления».</w:t>
      </w:r>
    </w:p>
    <w:p>
      <w:pPr>
        <w:pStyle w:val="Normal"/>
        <w:spacing w:lineRule="auto" w:line="276" w:before="0" w:after="160"/>
        <w:rPr/>
      </w:pPr>
      <w:r>
        <w:rPr>
          <w:rFonts w:eastAsia="Times New Roman" w:cs="Times New Roman"/>
          <w:sz w:val="22"/>
          <w:szCs w:val="22"/>
        </w:rPr>
        <w:t>В границы настоящего ТЗ входит:</w:t>
      </w:r>
    </w:p>
    <w:p>
      <w:pPr>
        <w:pStyle w:val="ListParagraph"/>
        <w:numPr>
          <w:ilvl w:val="0"/>
          <w:numId w:val="4"/>
        </w:numPr>
        <w:spacing w:lineRule="auto" w:line="276" w:before="0" w:after="100"/>
        <w:rPr/>
      </w:pPr>
      <w:r>
        <w:rPr>
          <w:rFonts w:eastAsia="Times New Roman" w:cs="Times New Roman"/>
          <w:sz w:val="22"/>
          <w:szCs w:val="22"/>
        </w:rPr>
        <w:t>обучение и доработка нейросетевых моделей детекции, классификации и оценки, перечисленных в разделе 4;</w:t>
      </w:r>
    </w:p>
    <w:p>
      <w:pPr>
        <w:pStyle w:val="ListParagraph"/>
        <w:numPr>
          <w:ilvl w:val="0"/>
          <w:numId w:val="1"/>
        </w:numPr>
        <w:spacing w:lineRule="auto" w:line="276" w:before="0" w:after="100"/>
        <w:rPr/>
      </w:pPr>
      <w:r>
        <w:rPr>
          <w:rFonts w:eastAsia="Times New Roman" w:cs="Times New Roman"/>
          <w:sz w:val="22"/>
          <w:szCs w:val="22"/>
        </w:rPr>
        <w:t>формирование выходных данных моделей в формате, пригодном для интеграции с серверной частью системы (раздел 5);</w:t>
      </w:r>
    </w:p>
    <w:p>
      <w:pPr>
        <w:pStyle w:val="ListParagraph"/>
        <w:numPr>
          <w:ilvl w:val="0"/>
          <w:numId w:val="1"/>
        </w:numPr>
        <w:spacing w:lineRule="auto" w:line="276" w:before="0" w:after="100"/>
        <w:rPr/>
      </w:pPr>
      <w:r>
        <w:rPr>
          <w:rFonts w:eastAsia="Times New Roman" w:cs="Times New Roman"/>
          <w:sz w:val="22"/>
          <w:szCs w:val="22"/>
        </w:rPr>
        <w:t>участие в предварительных испытаниях (ПМИ) в части пунктов, относящихся к качеству работы моделей (раздел 8).</w:t>
      </w:r>
    </w:p>
    <w:p>
      <w:pPr>
        <w:pStyle w:val="Normal"/>
        <w:spacing w:lineRule="auto" w:line="276" w:before="0" w:after="160"/>
        <w:rPr/>
      </w:pPr>
      <w:r>
        <w:rPr>
          <w:rFonts w:eastAsia="Times New Roman" w:cs="Times New Roman"/>
          <w:sz w:val="22"/>
          <w:szCs w:val="22"/>
        </w:rPr>
        <w:t>Вне границ настоящего ТЗ (выполняется другими специалистами в рамках Договора):</w:t>
      </w:r>
    </w:p>
    <w:p>
      <w:pPr>
        <w:pStyle w:val="ListParagraph"/>
        <w:numPr>
          <w:ilvl w:val="0"/>
          <w:numId w:val="1"/>
        </w:numPr>
        <w:spacing w:lineRule="auto" w:line="276" w:before="0" w:after="100"/>
        <w:rPr/>
      </w:pPr>
      <w:r>
        <w:rPr>
          <w:rFonts w:eastAsia="Times New Roman" w:cs="Times New Roman"/>
          <w:sz w:val="22"/>
          <w:szCs w:val="22"/>
        </w:rPr>
        <w:t>развёртывание ПО на серверах Заказчика и адаптация под ОС Astra Linux;</w:t>
      </w:r>
    </w:p>
    <w:p>
      <w:pPr>
        <w:pStyle w:val="ListParagraph"/>
        <w:numPr>
          <w:ilvl w:val="0"/>
          <w:numId w:val="1"/>
        </w:numPr>
        <w:spacing w:lineRule="auto" w:line="276" w:before="0" w:after="100"/>
        <w:rPr/>
      </w:pPr>
      <w:r>
        <w:rPr>
          <w:rFonts w:eastAsia="Times New Roman" w:cs="Times New Roman"/>
          <w:sz w:val="22"/>
          <w:szCs w:val="22"/>
        </w:rPr>
        <w:t>физическая замена носителей ПО (SD-карт) на 50 комплексах оборудования по адресному перечню (Приложение № 2 к ТЗ Договора);</w:t>
      </w:r>
    </w:p>
    <w:p>
      <w:pPr>
        <w:pStyle w:val="ListParagraph"/>
        <w:numPr>
          <w:ilvl w:val="0"/>
          <w:numId w:val="1"/>
        </w:numPr>
        <w:spacing w:lineRule="auto" w:line="276" w:before="0" w:after="100"/>
        <w:rPr/>
      </w:pPr>
      <w:r>
        <w:rPr>
          <w:rFonts w:eastAsia="Times New Roman" w:cs="Times New Roman"/>
          <w:sz w:val="22"/>
          <w:szCs w:val="22"/>
        </w:rPr>
        <w:t>реализация протокола обмена данными с АИС «Ангел: Единая платформа мониторинга и администрирования нарушений» — за специалистом по ML остаётся только формирование данных в согласованном формате (см. раздел 5);</w:t>
      </w:r>
    </w:p>
    <w:p>
      <w:pPr>
        <w:pStyle w:val="ListParagraph"/>
        <w:numPr>
          <w:ilvl w:val="0"/>
          <w:numId w:val="1"/>
        </w:numPr>
        <w:spacing w:lineRule="auto" w:line="276" w:before="0" w:after="100"/>
        <w:rPr/>
      </w:pPr>
      <w:r>
        <w:rPr>
          <w:rFonts w:eastAsia="Times New Roman" w:cs="Times New Roman"/>
          <w:sz w:val="22"/>
          <w:szCs w:val="22"/>
        </w:rPr>
        <w:t>реализация механизма задания и конфигурирования полигональной маски (зоны интереса) как элемента интерфейса — за специалистом по ML остаётся только использование готовой маски как входного параметра моделей;</w:t>
      </w:r>
    </w:p>
    <w:p>
      <w:pPr>
        <w:pStyle w:val="ListParagraph"/>
        <w:numPr>
          <w:ilvl w:val="0"/>
          <w:numId w:val="1"/>
        </w:numPr>
        <w:spacing w:lineRule="auto" w:line="276" w:before="0" w:after="100"/>
        <w:rPr/>
      </w:pPr>
      <w:r>
        <w:rPr>
          <w:rFonts w:eastAsia="Times New Roman" w:cs="Times New Roman"/>
          <w:sz w:val="22"/>
          <w:szCs w:val="22"/>
        </w:rPr>
        <w:t>техническая поддержка, Service Desk, SLA по заявкам — регулируются Приложением № 2 к Договору.</w:t>
      </w:r>
    </w:p>
    <w:p>
      <w:pPr>
        <w:pStyle w:val="Normal"/>
        <w:spacing w:before="240" w:after="160"/>
        <w:rPr/>
      </w:pPr>
      <w:r>
        <w:rPr>
          <w:rFonts w:eastAsia="Times New Roman" w:cs="Times New Roman"/>
          <w:b/>
          <w:bCs/>
          <w:color w:val="1E2761"/>
          <w:sz w:val="26"/>
          <w:szCs w:val="26"/>
        </w:rPr>
        <w:t>2. Контекст и цели модернизации</w:t>
      </w:r>
    </w:p>
    <w:p>
      <w:pPr>
        <w:pStyle w:val="Normal"/>
        <w:spacing w:lineRule="auto" w:line="276" w:before="0" w:after="160"/>
        <w:rPr/>
      </w:pPr>
      <w:r>
        <w:rPr>
          <w:rFonts w:eastAsia="Times New Roman" w:cs="Times New Roman"/>
          <w:sz w:val="22"/>
          <w:szCs w:val="22"/>
        </w:rPr>
        <w:t>Работы выполняются в рамках модернизации Сервиса контроля обращения с отходами информационной системы «Цифровое Приморье» (концессионное соглашение от 12.04.2021). Цели модернизации, зафиксированные в Договоре:</w:t>
      </w:r>
    </w:p>
    <w:p>
      <w:pPr>
        <w:pStyle w:val="ListParagraph"/>
        <w:numPr>
          <w:ilvl w:val="0"/>
          <w:numId w:val="5"/>
        </w:numPr>
        <w:spacing w:lineRule="auto" w:line="276" w:before="0" w:after="100"/>
        <w:rPr/>
      </w:pPr>
      <w:r>
        <w:rPr>
          <w:rFonts w:eastAsia="Times New Roman" w:cs="Times New Roman"/>
          <w:sz w:val="22"/>
          <w:szCs w:val="22"/>
        </w:rPr>
        <w:t>Улучшение качества контроля за наполняемостью мест накопления твёрдых коммунальных отходов (МН) за счёт мониторинга изменения степени наполненности и морфологии отходов.</w:t>
      </w:r>
    </w:p>
    <w:p>
      <w:pPr>
        <w:pStyle w:val="ListParagraph"/>
        <w:numPr>
          <w:ilvl w:val="0"/>
          <w:numId w:val="2"/>
        </w:numPr>
        <w:spacing w:lineRule="auto" w:line="276" w:before="0" w:after="100"/>
        <w:rPr/>
      </w:pPr>
      <w:r>
        <w:rPr>
          <w:rFonts w:eastAsia="Times New Roman" w:cs="Times New Roman"/>
          <w:sz w:val="22"/>
          <w:szCs w:val="22"/>
        </w:rPr>
        <w:t>Выявление фактов несанкционированного размещения (подброса) отходов на МН с фиксацией и распознаванием ГРЗ транспортного средства.</w:t>
      </w:r>
    </w:p>
    <w:p>
      <w:pPr>
        <w:pStyle w:val="ListParagraph"/>
        <w:numPr>
          <w:ilvl w:val="0"/>
          <w:numId w:val="2"/>
        </w:numPr>
        <w:spacing w:lineRule="auto" w:line="276" w:before="0" w:after="100"/>
        <w:rPr/>
      </w:pPr>
      <w:r>
        <w:rPr>
          <w:rFonts w:eastAsia="Times New Roman" w:cs="Times New Roman"/>
          <w:sz w:val="22"/>
          <w:szCs w:val="22"/>
        </w:rPr>
        <w:t>Снижение количества ложных срабатываний при детекции автомобиля.</w:t>
      </w:r>
    </w:p>
    <w:p>
      <w:pPr>
        <w:pStyle w:val="ListParagraph"/>
        <w:numPr>
          <w:ilvl w:val="0"/>
          <w:numId w:val="2"/>
        </w:numPr>
        <w:spacing w:lineRule="auto" w:line="276" w:before="0" w:after="100"/>
        <w:rPr/>
      </w:pPr>
      <w:r>
        <w:rPr>
          <w:rFonts w:eastAsia="Times New Roman" w:cs="Times New Roman"/>
          <w:sz w:val="22"/>
          <w:szCs w:val="22"/>
        </w:rPr>
        <w:t>Интеграция с АИС «Ангел: Единая платформа мониторинга и администрирования нарушений».</w:t>
      </w:r>
    </w:p>
    <w:p>
      <w:pPr>
        <w:pStyle w:val="Normal"/>
        <w:spacing w:before="240" w:after="160"/>
        <w:rPr/>
      </w:pPr>
      <w:r>
        <w:rPr>
          <w:rFonts w:eastAsia="Times New Roman" w:cs="Times New Roman"/>
          <w:b/>
          <w:bCs/>
          <w:color w:val="1E2761"/>
          <w:sz w:val="26"/>
          <w:szCs w:val="26"/>
        </w:rPr>
        <w:t>3. Условия выполнения работ</w:t>
      </w:r>
    </w:p>
    <w:p>
      <w:pPr>
        <w:pStyle w:val="ListParagraph"/>
        <w:numPr>
          <w:ilvl w:val="0"/>
          <w:numId w:val="1"/>
        </w:numPr>
        <w:spacing w:lineRule="auto" w:line="276" w:before="0" w:after="100"/>
        <w:rPr/>
      </w:pPr>
      <w:r>
        <w:rPr>
          <w:rFonts w:eastAsia="Times New Roman" w:cs="Times New Roman"/>
          <w:sz w:val="22"/>
          <w:szCs w:val="22"/>
        </w:rPr>
        <w:t>Формат работы: удалённое подключение; место развёртывания результата — серверная информационной системы «Цифровое Приморье», г. Владивосток, ул. Борисенко, д. 102.</w:t>
      </w:r>
    </w:p>
    <w:p>
      <w:pPr>
        <w:pStyle w:val="ListParagraph"/>
        <w:numPr>
          <w:ilvl w:val="0"/>
          <w:numId w:val="1"/>
        </w:numPr>
        <w:spacing w:lineRule="auto" w:line="276" w:before="0" w:after="100"/>
        <w:rPr/>
      </w:pPr>
      <w:r>
        <w:rPr>
          <w:rFonts w:eastAsia="Times New Roman" w:cs="Times New Roman"/>
          <w:sz w:val="22"/>
          <w:szCs w:val="22"/>
        </w:rPr>
        <w:t xml:space="preserve">Исполнитель самостоятельно выбирает технологии, алгоритмы и фреймворки обучения моделей </w:t>
      </w:r>
      <w:r>
        <w:rPr>
          <w:rFonts w:eastAsia="Times New Roman" w:cs="Times New Roman"/>
          <w:sz w:val="22"/>
          <w:szCs w:val="22"/>
        </w:rPr>
        <w:t>(предпочтительноYOLO)</w:t>
      </w:r>
      <w:r>
        <w:rPr>
          <w:rFonts w:eastAsia="Times New Roman" w:cs="Times New Roman"/>
          <w:sz w:val="22"/>
          <w:szCs w:val="22"/>
        </w:rPr>
        <w:t xml:space="preserve"> при условии соблюдения требований раздела 5 (совместимость выходных данных) и раздела 4 (функциональные требования).</w:t>
      </w:r>
    </w:p>
    <w:p>
      <w:pPr>
        <w:pStyle w:val="ListParagraph"/>
        <w:numPr>
          <w:ilvl w:val="0"/>
          <w:numId w:val="1"/>
        </w:numPr>
        <w:spacing w:lineRule="auto" w:line="276" w:before="0" w:after="100"/>
        <w:rPr/>
      </w:pPr>
      <w:r>
        <w:rPr>
          <w:rFonts w:eastAsia="Times New Roman" w:cs="Times New Roman"/>
          <w:sz w:val="22"/>
          <w:szCs w:val="22"/>
        </w:rPr>
        <w:t xml:space="preserve">Действующая архитектура включает контроллер компьютерного зрения (CV) в составе шкафов видеоаналитики на объекте (edge-уровень — </w:t>
      </w:r>
      <w:r>
        <w:rPr>
          <w:rFonts w:eastAsia="Times New Roman" w:cs="Times New Roman"/>
          <w:sz w:val="22"/>
          <w:szCs w:val="22"/>
        </w:rPr>
        <w:t>Jetson Nano</w:t>
      </w:r>
      <w:r>
        <w:rPr>
          <w:rFonts w:eastAsia="Times New Roman" w:cs="Times New Roman"/>
          <w:sz w:val="22"/>
          <w:szCs w:val="22"/>
        </w:rPr>
        <w:t>) и серверную часть — необходимо учитывать, на каком из уровней исполняется каждая модель (см. раздел 4).</w:t>
      </w:r>
    </w:p>
    <w:p>
      <w:pPr>
        <w:pStyle w:val="Normal"/>
        <w:spacing w:before="240" w:after="160"/>
        <w:rPr/>
      </w:pPr>
      <w:r>
        <w:rPr>
          <w:rFonts w:eastAsia="Times New Roman" w:cs="Times New Roman"/>
          <w:b/>
          <w:bCs/>
          <w:color w:val="1E2761"/>
          <w:sz w:val="26"/>
          <w:szCs w:val="26"/>
        </w:rPr>
        <w:t>4. Функциональные требования к ML/CV-компонентам</w:t>
      </w:r>
    </w:p>
    <w:p>
      <w:pPr>
        <w:pStyle w:val="Normal"/>
        <w:spacing w:before="200" w:after="120"/>
        <w:rPr/>
      </w:pPr>
      <w:r>
        <w:rPr>
          <w:rFonts w:eastAsia="Times New Roman" w:cs="Times New Roman"/>
          <w:b/>
          <w:bCs/>
          <w:color w:val="1E2761"/>
          <w:sz w:val="24"/>
          <w:szCs w:val="24"/>
        </w:rPr>
        <w:t>4.1. Детекция транспортного средства вблизи МН</w:t>
      </w:r>
    </w:p>
    <w:p>
      <w:pPr>
        <w:pStyle w:val="ListParagraph"/>
        <w:numPr>
          <w:ilvl w:val="0"/>
          <w:numId w:val="1"/>
        </w:numPr>
        <w:spacing w:lineRule="auto" w:line="276" w:before="0" w:after="100"/>
        <w:rPr/>
      </w:pPr>
      <w:r>
        <w:rPr>
          <w:rFonts w:eastAsia="Times New Roman" w:cs="Times New Roman"/>
          <w:sz w:val="22"/>
          <w:szCs w:val="22"/>
        </w:rPr>
        <w:t>Детекция ТС, припаркованного вблизи места накопления, по RTSP-потокам от камер видеонаблюдения — на сервере Заказчика.</w:t>
      </w:r>
    </w:p>
    <w:p>
      <w:pPr>
        <w:pStyle w:val="ListParagraph"/>
        <w:numPr>
          <w:ilvl w:val="0"/>
          <w:numId w:val="1"/>
        </w:numPr>
        <w:spacing w:lineRule="auto" w:line="276" w:before="0" w:after="100"/>
        <w:rPr/>
      </w:pPr>
      <w:r>
        <w:rPr>
          <w:rFonts w:eastAsia="Times New Roman" w:cs="Times New Roman"/>
          <w:sz w:val="22"/>
          <w:szCs w:val="22"/>
        </w:rPr>
        <w:t>Аналогичная детекция — в контроллере компьютерного зрения (CV) шкафов видеоаналитики (edge-инференс).</w:t>
      </w:r>
    </w:p>
    <w:p>
      <w:pPr>
        <w:pStyle w:val="ListParagraph"/>
        <w:numPr>
          <w:ilvl w:val="0"/>
          <w:numId w:val="1"/>
        </w:numPr>
        <w:spacing w:lineRule="auto" w:line="276" w:before="0" w:after="100"/>
        <w:rPr/>
      </w:pPr>
      <w:r>
        <w:rPr>
          <w:rFonts w:eastAsia="Times New Roman" w:cs="Times New Roman"/>
          <w:sz w:val="22"/>
          <w:szCs w:val="22"/>
        </w:rPr>
        <w:t>Обе реализации должны учитывать полигональную маску (зону интереса), задаваемую отдельным механизмом конфигурирования (вне границ ТЗ, см. раздел 1): обнаруженные объекты вне маски не должны попадать в детекцию.</w:t>
      </w:r>
    </w:p>
    <w:p>
      <w:pPr>
        <w:pStyle w:val="ListParagraph"/>
        <w:numPr>
          <w:ilvl w:val="0"/>
          <w:numId w:val="1"/>
        </w:numPr>
        <w:spacing w:lineRule="auto" w:line="276" w:before="0" w:after="100"/>
        <w:rPr/>
      </w:pPr>
      <w:r>
        <w:rPr>
          <w:rFonts w:eastAsia="Times New Roman" w:cs="Times New Roman"/>
          <w:sz w:val="22"/>
          <w:szCs w:val="22"/>
        </w:rPr>
        <w:t>Цель по качеству: снижение количества ложных срабатываний при детекции автомобиля относительно текущей версии модели (целевой показатель — см. раздел 6).</w:t>
      </w:r>
    </w:p>
    <w:p>
      <w:pPr>
        <w:pStyle w:val="Normal"/>
        <w:spacing w:before="200" w:after="120"/>
        <w:rPr/>
      </w:pPr>
      <w:r>
        <w:rPr>
          <w:rFonts w:eastAsia="Times New Roman" w:cs="Times New Roman"/>
          <w:b/>
          <w:bCs/>
          <w:color w:val="1E2761"/>
          <w:sz w:val="24"/>
          <w:szCs w:val="24"/>
        </w:rPr>
        <w:t>4.2. Распознавание государственного регистрационного знака (ГРЗ)</w:t>
      </w:r>
    </w:p>
    <w:p>
      <w:pPr>
        <w:pStyle w:val="ListParagraph"/>
        <w:numPr>
          <w:ilvl w:val="0"/>
          <w:numId w:val="1"/>
        </w:numPr>
        <w:spacing w:lineRule="auto" w:line="276" w:before="0" w:after="100"/>
        <w:rPr/>
      </w:pPr>
      <w:r>
        <w:rPr>
          <w:rFonts w:eastAsia="Times New Roman" w:cs="Times New Roman"/>
          <w:sz w:val="22"/>
          <w:szCs w:val="22"/>
        </w:rPr>
        <w:t>Распознавание ГРЗ ТС при обнаружении ТС — как в данных от контроллера CV, так и в RTSP-потоках от камер.</w:t>
      </w:r>
    </w:p>
    <w:p>
      <w:pPr>
        <w:pStyle w:val="ListParagraph"/>
        <w:numPr>
          <w:ilvl w:val="0"/>
          <w:numId w:val="1"/>
        </w:numPr>
        <w:spacing w:lineRule="auto" w:line="276" w:before="0" w:after="100"/>
        <w:rPr/>
      </w:pPr>
      <w:r>
        <w:rPr>
          <w:rFonts w:eastAsia="Times New Roman" w:cs="Times New Roman"/>
          <w:sz w:val="22"/>
          <w:szCs w:val="22"/>
        </w:rPr>
        <w:t>Заданные технические условия съёмки, при которых распознавание должно работать: угол между оптической осью камеры и нормалью к плоскости ГРЗ — не более 25° по горизонтали и 30° по вертикали; размер ГРЗ на изображении — не менее 120×40 пикселей.</w:t>
      </w:r>
    </w:p>
    <w:p>
      <w:pPr>
        <w:pStyle w:val="Normal"/>
        <w:spacing w:before="200" w:after="120"/>
        <w:rPr/>
      </w:pPr>
      <w:r>
        <w:rPr>
          <w:rFonts w:eastAsia="Times New Roman" w:cs="Times New Roman"/>
          <w:b/>
          <w:bCs/>
          <w:color w:val="1E2761"/>
          <w:sz w:val="24"/>
          <w:szCs w:val="24"/>
        </w:rPr>
        <w:t>4.3. Оценка заполненности контейнеров и морфологии отходов</w:t>
      </w:r>
      <w:r>
        <w:rPr>
          <w:rFonts w:eastAsia="Times New Roman" w:cs="Times New Roman"/>
          <w:b/>
          <w:bCs/>
          <w:color w:val="1E2761"/>
          <w:sz w:val="24"/>
          <w:szCs w:val="24"/>
        </w:rPr>
        <w:t xml:space="preserve"> </w:t>
      </w:r>
      <w:r>
        <w:rPr>
          <w:rFonts w:eastAsia="Times New Roman" w:cs="Times New Roman"/>
          <w:b/>
          <w:bCs/>
          <w:color w:val="1E2761"/>
          <w:sz w:val="24"/>
          <w:szCs w:val="24"/>
        </w:rPr>
        <w:t>(имеются модели без полигональной маски</w:t>
      </w:r>
      <w:r>
        <w:rPr>
          <w:rFonts w:eastAsia="Times New Roman" w:cs="Times New Roman"/>
          <w:b/>
          <w:bCs/>
          <w:color w:val="1E2761"/>
          <w:sz w:val="24"/>
          <w:szCs w:val="24"/>
        </w:rPr>
        <w:t>)</w:t>
      </w:r>
      <w:r>
        <w:rPr>
          <w:rFonts w:eastAsia="Times New Roman" w:cs="Times New Roman"/>
          <w:b/>
          <w:bCs/>
          <w:color w:val="1E2761"/>
          <w:sz w:val="24"/>
          <w:szCs w:val="24"/>
        </w:rPr>
        <w:t xml:space="preserve"> </w:t>
      </w:r>
    </w:p>
    <w:p>
      <w:pPr>
        <w:pStyle w:val="ListParagraph"/>
        <w:numPr>
          <w:ilvl w:val="0"/>
          <w:numId w:val="1"/>
        </w:numPr>
        <w:spacing w:lineRule="auto" w:line="276" w:before="0" w:after="100"/>
        <w:rPr/>
      </w:pPr>
      <w:r>
        <w:rPr>
          <w:rFonts w:eastAsia="Times New Roman" w:cs="Times New Roman"/>
          <w:sz w:val="22"/>
          <w:szCs w:val="22"/>
        </w:rPr>
        <w:t>Обучение нейросетевых моделей оценки степени заполненности контейнерных баков на МН.</w:t>
      </w:r>
    </w:p>
    <w:p>
      <w:pPr>
        <w:pStyle w:val="ListParagraph"/>
        <w:numPr>
          <w:ilvl w:val="0"/>
          <w:numId w:val="1"/>
        </w:numPr>
        <w:spacing w:lineRule="auto" w:line="276" w:before="0" w:after="100"/>
        <w:rPr/>
      </w:pPr>
      <w:r>
        <w:rPr>
          <w:rFonts w:eastAsia="Times New Roman" w:cs="Times New Roman"/>
          <w:sz w:val="22"/>
          <w:szCs w:val="22"/>
        </w:rPr>
        <w:t>Обучение нейросетевых моделей анализа морфологии отходов.</w:t>
      </w:r>
    </w:p>
    <w:p>
      <w:pPr>
        <w:pStyle w:val="ListParagraph"/>
        <w:numPr>
          <w:ilvl w:val="0"/>
          <w:numId w:val="1"/>
        </w:numPr>
        <w:spacing w:lineRule="auto" w:line="276" w:before="0" w:after="100"/>
        <w:rPr/>
      </w:pPr>
      <w:r>
        <w:rPr>
          <w:rFonts w:eastAsia="Times New Roman" w:cs="Times New Roman"/>
          <w:sz w:val="22"/>
          <w:szCs w:val="22"/>
        </w:rPr>
        <w:t>Обе модели должны учитывать полигональную маску (зону интереса) как входной параметр.</w:t>
      </w:r>
    </w:p>
    <w:p>
      <w:pPr>
        <w:pStyle w:val="Normal"/>
        <w:spacing w:before="200" w:after="120"/>
        <w:rPr/>
      </w:pPr>
      <w:r>
        <w:rPr>
          <w:rFonts w:eastAsia="Times New Roman" w:cs="Times New Roman"/>
          <w:b/>
          <w:bCs/>
          <w:color w:val="1E2761"/>
          <w:sz w:val="24"/>
          <w:szCs w:val="24"/>
        </w:rPr>
        <w:t>4.4. Классификация и оценка объёма несанкционированного размещения отходов (подброса)</w:t>
      </w:r>
    </w:p>
    <w:p>
      <w:pPr>
        <w:pStyle w:val="ListParagraph"/>
        <w:numPr>
          <w:ilvl w:val="0"/>
          <w:numId w:val="1"/>
        </w:numPr>
        <w:spacing w:lineRule="auto" w:line="276" w:before="0" w:after="100"/>
        <w:rPr/>
      </w:pPr>
      <w:r>
        <w:rPr>
          <w:rFonts w:eastAsia="Times New Roman" w:cs="Times New Roman"/>
          <w:sz w:val="22"/>
          <w:szCs w:val="22"/>
        </w:rPr>
        <w:t>Автоматическое выявление фактов несанкционированного размещения отходов на МН на основе сравнительного анализа состояния площадки «до» и «после» события.</w:t>
      </w:r>
    </w:p>
    <w:p>
      <w:pPr>
        <w:pStyle w:val="ListParagraph"/>
        <w:numPr>
          <w:ilvl w:val="0"/>
          <w:numId w:val="1"/>
        </w:numPr>
        <w:spacing w:lineRule="auto" w:line="276" w:before="0" w:after="100"/>
        <w:rPr/>
      </w:pPr>
      <w:r>
        <w:rPr>
          <w:rFonts w:eastAsia="Times New Roman" w:cs="Times New Roman"/>
          <w:sz w:val="22"/>
          <w:szCs w:val="22"/>
        </w:rPr>
        <w:t>Классификация типа обнаруженных отходов: ТКО или КГО.</w:t>
      </w:r>
    </w:p>
    <w:p>
      <w:pPr>
        <w:pStyle w:val="ListParagraph"/>
        <w:numPr>
          <w:ilvl w:val="0"/>
          <w:numId w:val="1"/>
        </w:numPr>
        <w:spacing w:lineRule="auto" w:line="276" w:before="0" w:after="100"/>
        <w:rPr/>
      </w:pPr>
      <w:r>
        <w:rPr>
          <w:rFonts w:eastAsia="Times New Roman" w:cs="Times New Roman"/>
          <w:sz w:val="22"/>
          <w:szCs w:val="22"/>
        </w:rPr>
        <w:t>Расчёт объёма размещённых отходов.</w:t>
      </w:r>
    </w:p>
    <w:p>
      <w:pPr>
        <w:pStyle w:val="ListParagraph"/>
        <w:numPr>
          <w:ilvl w:val="0"/>
          <w:numId w:val="1"/>
        </w:numPr>
        <w:spacing w:lineRule="auto" w:line="276" w:before="0" w:after="100"/>
        <w:rPr/>
      </w:pPr>
      <w:r>
        <w:rPr>
          <w:rFonts w:eastAsia="Times New Roman" w:cs="Times New Roman"/>
          <w:sz w:val="22"/>
          <w:szCs w:val="22"/>
        </w:rPr>
        <w:t>Результат этого блока — исходные данные для механизма верификации оператором (реализуется отдельно, вне ML-части): статусы «ожидает подтверждения» / «подтверждён» / «не подтверждён».</w:t>
      </w:r>
    </w:p>
    <w:p>
      <w:pPr>
        <w:pStyle w:val="Normal"/>
        <w:spacing w:before="200" w:after="120"/>
        <w:rPr/>
      </w:pPr>
      <w:r>
        <w:rPr>
          <w:rFonts w:eastAsia="Times New Roman" w:cs="Times New Roman"/>
          <w:b/>
          <w:bCs/>
          <w:color w:val="1E2761"/>
          <w:sz w:val="24"/>
          <w:szCs w:val="24"/>
        </w:rPr>
        <w:t>4.5. Дедупликация детекций одного и того же ТС</w:t>
      </w:r>
    </w:p>
    <w:p>
      <w:pPr>
        <w:pStyle w:val="ListParagraph"/>
        <w:numPr>
          <w:ilvl w:val="0"/>
          <w:numId w:val="1"/>
        </w:numPr>
        <w:spacing w:lineRule="auto" w:line="276" w:before="0" w:after="100"/>
        <w:rPr/>
      </w:pPr>
      <w:r>
        <w:rPr>
          <w:rFonts w:eastAsia="Times New Roman" w:cs="Times New Roman"/>
          <w:sz w:val="22"/>
          <w:szCs w:val="22"/>
        </w:rPr>
        <w:t>Механизм, исключающий повторную фиксацию одного и того же ТС, находящегося вблизи МН длительное время, — как на сервере, так и в контроллере CV шкафов видеоаналитики.</w:t>
      </w:r>
    </w:p>
    <w:p>
      <w:pPr>
        <w:pStyle w:val="ListParagraph"/>
        <w:numPr>
          <w:ilvl w:val="0"/>
          <w:numId w:val="1"/>
        </w:numPr>
        <w:spacing w:lineRule="auto" w:line="276" w:before="0" w:after="100"/>
        <w:rPr/>
      </w:pPr>
      <w:r>
        <w:rPr>
          <w:rFonts w:eastAsia="Times New Roman" w:cs="Times New Roman"/>
          <w:sz w:val="22"/>
          <w:szCs w:val="22"/>
        </w:rPr>
        <w:t>Требует сопоставления/трекинга детекций во времени (а не только независимой детекции по кадру).</w:t>
      </w:r>
    </w:p>
    <w:p>
      <w:pPr>
        <w:pStyle w:val="Normal"/>
        <w:spacing w:before="200" w:after="120"/>
        <w:rPr/>
      </w:pPr>
      <w:r>
        <w:rPr>
          <w:rFonts w:eastAsia="Times New Roman" w:cs="Times New Roman"/>
          <w:b/>
          <w:bCs/>
          <w:color w:val="1E2761"/>
          <w:sz w:val="24"/>
          <w:szCs w:val="24"/>
        </w:rPr>
        <w:t>4.6. Мониторинг видимости площадки МН в кадре</w:t>
      </w:r>
    </w:p>
    <w:p>
      <w:pPr>
        <w:pStyle w:val="ListParagraph"/>
        <w:numPr>
          <w:ilvl w:val="0"/>
          <w:numId w:val="1"/>
        </w:numPr>
        <w:spacing w:lineRule="auto" w:line="276" w:before="0" w:after="100"/>
        <w:rPr/>
      </w:pPr>
      <w:r>
        <w:rPr>
          <w:rFonts w:eastAsia="Times New Roman" w:cs="Times New Roman"/>
          <w:sz w:val="22"/>
          <w:szCs w:val="22"/>
        </w:rPr>
        <w:t>Автоматическое выявление потери видимости площадки МН в видеопотоке — вследствие загрязнения оптики, изменения ракурса камеры, перекрытия зоны обзора и иных причин.</w:t>
      </w:r>
    </w:p>
    <w:p>
      <w:pPr>
        <w:pStyle w:val="ListParagraph"/>
        <w:numPr>
          <w:ilvl w:val="0"/>
          <w:numId w:val="1"/>
        </w:numPr>
        <w:spacing w:lineRule="auto" w:line="276" w:before="0" w:after="100"/>
        <w:rPr/>
      </w:pPr>
      <w:r>
        <w:rPr>
          <w:rFonts w:eastAsia="Times New Roman" w:cs="Times New Roman"/>
          <w:sz w:val="22"/>
          <w:szCs w:val="22"/>
        </w:rPr>
        <w:t>Регистрация соответствующих событий для последующего журналирования (журналирование — вне ML-части).</w:t>
      </w:r>
    </w:p>
    <w:p>
      <w:pPr>
        <w:pStyle w:val="Normal"/>
        <w:spacing w:before="240" w:after="160"/>
        <w:rPr/>
      </w:pPr>
      <w:r>
        <w:rPr>
          <w:rFonts w:eastAsia="Times New Roman" w:cs="Times New Roman"/>
          <w:b/>
          <w:bCs/>
          <w:color w:val="1E2761"/>
          <w:sz w:val="26"/>
          <w:szCs w:val="26"/>
        </w:rPr>
        <w:t>5. Формат выходных данных (контракт с интеграцией и хранением событий)</w:t>
      </w:r>
    </w:p>
    <w:p>
      <w:pPr>
        <w:pStyle w:val="Normal"/>
        <w:spacing w:lineRule="auto" w:line="276" w:before="0" w:after="160"/>
        <w:rPr/>
      </w:pPr>
      <w:r>
        <w:rPr>
          <w:rFonts w:eastAsia="Times New Roman" w:cs="Times New Roman"/>
          <w:sz w:val="22"/>
          <w:szCs w:val="22"/>
        </w:rPr>
        <w:t>Формирование архива по событию не входит в границы ТЗ (реализуется отдельно), но результаты моделей раздела 4 должны быть пригодны для заполнения следующей структуры без дополнительной постобработки:</w:t>
      </w:r>
    </w:p>
    <w:tbl>
      <w:tblPr>
        <w:tblW w:w="5000" w:type="pct"/>
        <w:jc w:val="start"/>
        <w:tblInd w:w="0" w:type="dxa"/>
        <w:tblLayout w:type="fixed"/>
        <w:tblCellMar>
          <w:top w:w="100" w:type="dxa"/>
          <w:start w:w="120" w:type="dxa"/>
          <w:bottom w:w="100" w:type="dxa"/>
          <w:end w:w="120" w:type="dxa"/>
        </w:tblCellMar>
      </w:tblPr>
      <w:tblGrid>
        <w:gridCol w:w="4852"/>
        <w:gridCol w:w="4854"/>
      </w:tblGrid>
      <w:tr>
        <w:trPr>
          <w:tblHeader w:val="true"/>
        </w:trPr>
        <w:tc>
          <w:tcPr>
            <w:tcW w:w="4852" w:type="dxa"/>
            <w:tcBorders>
              <w:top w:val="single" w:sz="4" w:space="0" w:color="D7DBE8"/>
              <w:start w:val="single" w:sz="4" w:space="0" w:color="D7DBE8"/>
              <w:bottom w:val="single" w:sz="4" w:space="0" w:color="D7DBE8"/>
              <w:end w:val="single" w:sz="4" w:space="0" w:color="D7DBE8"/>
            </w:tcBorders>
            <w:shd w:fill="1E2761" w:val="clear"/>
            <w:vAlign w:val="center"/>
          </w:tcPr>
          <w:p>
            <w:pPr>
              <w:pStyle w:val="Normal"/>
              <w:rPr/>
            </w:pPr>
            <w:r>
              <w:rPr>
                <w:rFonts w:eastAsia="Times New Roman" w:cs="Times New Roman"/>
                <w:b/>
                <w:bCs/>
                <w:color w:val="FFFFFF"/>
                <w:sz w:val="20"/>
                <w:szCs w:val="20"/>
              </w:rPr>
              <w:t>Поле</w:t>
            </w:r>
          </w:p>
        </w:tc>
        <w:tc>
          <w:tcPr>
            <w:tcW w:w="4854" w:type="dxa"/>
            <w:tcBorders>
              <w:top w:val="single" w:sz="4" w:space="0" w:color="D7DBE8"/>
              <w:start w:val="single" w:sz="4" w:space="0" w:color="D7DBE8"/>
              <w:bottom w:val="single" w:sz="4" w:space="0" w:color="D7DBE8"/>
              <w:end w:val="single" w:sz="4" w:space="0" w:color="D7DBE8"/>
            </w:tcBorders>
            <w:shd w:fill="1E2761" w:val="clear"/>
            <w:vAlign w:val="center"/>
          </w:tcPr>
          <w:p>
            <w:pPr>
              <w:pStyle w:val="Normal"/>
              <w:rPr/>
            </w:pPr>
            <w:r>
              <w:rPr>
                <w:rFonts w:eastAsia="Times New Roman" w:cs="Times New Roman"/>
                <w:b/>
                <w:bCs/>
                <w:color w:val="FFFFFF"/>
                <w:sz w:val="20"/>
                <w:szCs w:val="20"/>
              </w:rPr>
              <w:t>Источник данных</w:t>
            </w:r>
          </w:p>
        </w:tc>
      </w:tr>
      <w:tr>
        <w:trPr/>
        <w:tc>
          <w:tcPr>
            <w:tcW w:w="4852"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plate</w:t>
            </w:r>
          </w:p>
        </w:tc>
        <w:tc>
          <w:tcPr>
            <w:tcW w:w="4854"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Результат модели распознавания ГРЗ (4.2)</w:t>
            </w:r>
          </w:p>
        </w:tc>
      </w:tr>
      <w:tr>
        <w:trPr/>
        <w:tc>
          <w:tcPr>
            <w:tcW w:w="4852"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event_type</w:t>
            </w:r>
          </w:p>
        </w:tc>
        <w:tc>
          <w:tcPr>
            <w:tcW w:w="4854"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Результат классификации типа события/отходов (4.4), идентификатор из согласованного перечня ENUM</w:t>
            </w:r>
          </w:p>
        </w:tc>
      </w:tr>
      <w:tr>
        <w:trPr/>
        <w:tc>
          <w:tcPr>
            <w:tcW w:w="4852"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time, cam_serial, cam_name, geo, address</w:t>
            </w:r>
          </w:p>
        </w:tc>
        <w:tc>
          <w:tcPr>
            <w:tcW w:w="4854"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Формируются серверной частью на основе метаданных камеры — вне ML-части, но должны сопровождать выход модели</w:t>
            </w:r>
          </w:p>
        </w:tc>
      </w:tr>
    </w:tbl>
    <w:p>
      <w:pPr>
        <w:pStyle w:val="Normal"/>
        <w:spacing w:before="120" w:after="0"/>
        <w:rPr/>
      </w:pPr>
      <w:r>
        <w:rPr>
          <w:rFonts w:eastAsia="Times New Roman" w:cs="Times New Roman"/>
          <w:sz w:val="22"/>
          <w:szCs w:val="22"/>
        </w:rPr>
        <w:t>Полный формат архива события ({{uuid}}.json + фото + видео) приведён в Приложении № 1 к Техническому заданию Договора.</w:t>
      </w:r>
    </w:p>
    <w:p>
      <w:pPr>
        <w:pStyle w:val="Normal"/>
        <w:spacing w:before="240" w:after="160"/>
        <w:rPr/>
      </w:pPr>
      <w:r>
        <w:rPr>
          <w:rFonts w:eastAsia="Times New Roman" w:cs="Times New Roman"/>
          <w:b/>
          <w:bCs/>
          <w:color w:val="1E2761"/>
          <w:sz w:val="26"/>
          <w:szCs w:val="26"/>
        </w:rPr>
        <w:t>6. Целевые метрики качества моделей</w:t>
      </w:r>
    </w:p>
    <w:p>
      <w:pPr>
        <w:pStyle w:val="Normal"/>
        <w:spacing w:lineRule="auto" w:line="276" w:before="0" w:after="160"/>
        <w:rPr/>
      </w:pPr>
      <w:r>
        <w:rPr>
          <w:rFonts w:eastAsia="Times New Roman" w:cs="Times New Roman"/>
          <w:sz w:val="22"/>
          <w:szCs w:val="22"/>
        </w:rPr>
        <w:t>В Техническом задании Договора числовые целевые показатели точности моделей не установлены. Ниже приведены целевые показатели по задачам раздела 4, принятые как типовые ориентиры для задач компьютерного зрения сопоставимого класса (детекция, классификация, сегментация):</w:t>
      </w:r>
    </w:p>
    <w:tbl>
      <w:tblPr>
        <w:tblW w:w="5000" w:type="pct"/>
        <w:jc w:val="start"/>
        <w:tblInd w:w="0" w:type="dxa"/>
        <w:tblLayout w:type="fixed"/>
        <w:tblCellMar>
          <w:top w:w="100" w:type="dxa"/>
          <w:start w:w="120" w:type="dxa"/>
          <w:bottom w:w="100" w:type="dxa"/>
          <w:end w:w="120" w:type="dxa"/>
        </w:tblCellMar>
      </w:tblPr>
      <w:tblGrid>
        <w:gridCol w:w="3235"/>
        <w:gridCol w:w="3235"/>
        <w:gridCol w:w="3236"/>
      </w:tblGrid>
      <w:tr>
        <w:trPr>
          <w:tblHeader w:val="true"/>
        </w:trPr>
        <w:tc>
          <w:tcPr>
            <w:tcW w:w="3235" w:type="dxa"/>
            <w:tcBorders>
              <w:top w:val="single" w:sz="4" w:space="0" w:color="D7DBE8"/>
              <w:start w:val="single" w:sz="4" w:space="0" w:color="D7DBE8"/>
              <w:bottom w:val="single" w:sz="4" w:space="0" w:color="D7DBE8"/>
              <w:end w:val="single" w:sz="4" w:space="0" w:color="D7DBE8"/>
            </w:tcBorders>
            <w:shd w:fill="1E2761" w:val="clear"/>
            <w:vAlign w:val="center"/>
          </w:tcPr>
          <w:p>
            <w:pPr>
              <w:pStyle w:val="Normal"/>
              <w:rPr/>
            </w:pPr>
            <w:r>
              <w:rPr>
                <w:rFonts w:eastAsia="Times New Roman" w:cs="Times New Roman"/>
                <w:b/>
                <w:bCs/>
                <w:color w:val="FFFFFF"/>
                <w:sz w:val="20"/>
                <w:szCs w:val="20"/>
              </w:rPr>
              <w:t>Задача</w:t>
            </w:r>
          </w:p>
        </w:tc>
        <w:tc>
          <w:tcPr>
            <w:tcW w:w="3235" w:type="dxa"/>
            <w:tcBorders>
              <w:top w:val="single" w:sz="4" w:space="0" w:color="D7DBE8"/>
              <w:start w:val="single" w:sz="4" w:space="0" w:color="D7DBE8"/>
              <w:bottom w:val="single" w:sz="4" w:space="0" w:color="D7DBE8"/>
              <w:end w:val="single" w:sz="4" w:space="0" w:color="D7DBE8"/>
            </w:tcBorders>
            <w:shd w:fill="1E2761" w:val="clear"/>
            <w:vAlign w:val="center"/>
          </w:tcPr>
          <w:p>
            <w:pPr>
              <w:pStyle w:val="Normal"/>
              <w:rPr/>
            </w:pPr>
            <w:r>
              <w:rPr>
                <w:rFonts w:eastAsia="Times New Roman" w:cs="Times New Roman"/>
                <w:b/>
                <w:bCs/>
                <w:color w:val="FFFFFF"/>
                <w:sz w:val="20"/>
                <w:szCs w:val="20"/>
              </w:rPr>
              <w:t>Метрика</w:t>
            </w:r>
          </w:p>
        </w:tc>
        <w:tc>
          <w:tcPr>
            <w:tcW w:w="3236" w:type="dxa"/>
            <w:tcBorders>
              <w:top w:val="single" w:sz="4" w:space="0" w:color="D7DBE8"/>
              <w:start w:val="single" w:sz="4" w:space="0" w:color="D7DBE8"/>
              <w:bottom w:val="single" w:sz="4" w:space="0" w:color="D7DBE8"/>
              <w:end w:val="single" w:sz="4" w:space="0" w:color="D7DBE8"/>
            </w:tcBorders>
            <w:shd w:fill="1E2761" w:val="clear"/>
            <w:vAlign w:val="center"/>
          </w:tcPr>
          <w:p>
            <w:pPr>
              <w:pStyle w:val="Normal"/>
              <w:rPr/>
            </w:pPr>
            <w:r>
              <w:rPr>
                <w:rFonts w:eastAsia="Times New Roman" w:cs="Times New Roman"/>
                <w:b/>
                <w:bCs/>
                <w:color w:val="FFFFFF"/>
                <w:sz w:val="20"/>
                <w:szCs w:val="20"/>
              </w:rPr>
              <w:t>Целевой показатель</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4.1 Детекция ТС вблизи МН</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Precision / Recall</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Precision ≥ 90% (приоритет — снижение ложных срабатываний), Recall ≥ 95%</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4.1 Детекция ТС — ложные срабатывания</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Доля ложных срабатываний (FPR)</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 xml:space="preserve">≤ </w:t>
            </w:r>
            <w:r>
              <w:rPr>
                <w:rFonts w:eastAsia="Times New Roman" w:cs="Times New Roman"/>
                <w:b w:val="false"/>
                <w:bCs w:val="false"/>
                <w:color w:val="222222"/>
                <w:sz w:val="20"/>
                <w:szCs w:val="20"/>
              </w:rPr>
              <w:t>5%, либо снижение не менее чем на 30% относительно текущей версии модели</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4.2 Распознавание ГРЗ</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Accuracy</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 xml:space="preserve">≥ </w:t>
            </w:r>
            <w:r>
              <w:rPr>
                <w:rFonts w:eastAsia="Times New Roman" w:cs="Times New Roman"/>
                <w:b w:val="false"/>
                <w:bCs w:val="false"/>
                <w:color w:val="222222"/>
                <w:sz w:val="20"/>
                <w:szCs w:val="20"/>
              </w:rPr>
              <w:t>90% на базовой модели; ≥ 97–99% после дообучения на данных объекта</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4.3 Заполненность контейнеров</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Accuracy классификации степени заполнения</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 xml:space="preserve">≥ </w:t>
            </w:r>
            <w:r>
              <w:rPr>
                <w:rFonts w:eastAsia="Times New Roman" w:cs="Times New Roman"/>
                <w:b w:val="false"/>
                <w:bCs w:val="false"/>
                <w:color w:val="222222"/>
                <w:sz w:val="20"/>
                <w:szCs w:val="20"/>
              </w:rPr>
              <w:t>90%</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4.3 Морфология отходов</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mIoU сегментации</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 xml:space="preserve">≥ </w:t>
            </w:r>
            <w:r>
              <w:rPr>
                <w:rFonts w:eastAsia="Times New Roman" w:cs="Times New Roman"/>
                <w:b w:val="false"/>
                <w:bCs w:val="false"/>
                <w:color w:val="222222"/>
                <w:sz w:val="20"/>
                <w:szCs w:val="20"/>
              </w:rPr>
              <w:t>0,75</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4.4 Классификация типа отходов (ТКО/КГО)</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Accuracy</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 xml:space="preserve">≥ </w:t>
            </w:r>
            <w:r>
              <w:rPr>
                <w:rFonts w:eastAsia="Times New Roman" w:cs="Times New Roman"/>
                <w:b w:val="false"/>
                <w:bCs w:val="false"/>
                <w:color w:val="222222"/>
                <w:sz w:val="20"/>
                <w:szCs w:val="20"/>
              </w:rPr>
              <w:t>90%</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4.4 Детекция события подброса</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Recall / Precision</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Recall ≥ 90%, Precision ≥ 85% (ложные срабатывания дополнительно отсекаются ручной верификацией оператора)</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4.5 Дедупликация детекций ТС</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Точность объединения повторных детекций</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 xml:space="preserve">≥ </w:t>
            </w:r>
            <w:r>
              <w:rPr>
                <w:rFonts w:eastAsia="Times New Roman" w:cs="Times New Roman"/>
                <w:b w:val="false"/>
                <w:bCs w:val="false"/>
                <w:color w:val="222222"/>
                <w:sz w:val="20"/>
                <w:szCs w:val="20"/>
              </w:rPr>
              <w:t>95% (доля ошибочных объединений/разъединений ≤ 5%)</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4.6 Мониторинг видимости площадки</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Accuracy бинарной классификации «видимость / потеря видимости»</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 xml:space="preserve">≥ </w:t>
            </w:r>
            <w:r>
              <w:rPr>
                <w:rFonts w:eastAsia="Times New Roman" w:cs="Times New Roman"/>
                <w:b w:val="false"/>
                <w:bCs w:val="false"/>
                <w:color w:val="222222"/>
                <w:sz w:val="20"/>
                <w:szCs w:val="20"/>
              </w:rPr>
              <w:t>95%</w:t>
            </w:r>
          </w:p>
        </w:tc>
      </w:tr>
    </w:tbl>
    <w:p>
      <w:pPr>
        <w:pStyle w:val="Normal"/>
        <w:spacing w:before="0" w:after="200"/>
        <w:rPr/>
      </w:pPr>
      <w:r>
        <w:rPr>
          <w:rFonts w:eastAsia="Times New Roman" w:cs="Times New Roman"/>
          <w:sz w:val="22"/>
          <w:szCs w:val="22"/>
        </w:rPr>
        <w:t>Показатели приняты по указанию Заказчика/Подрядчика в отсутствие иных значений в Договоре. Итоговые значения фиксируются по результатам валидации на тестовой выборке (раздел 7) и могут быть уточнены Сторонами по итогам предварительных испытаний.</w:t>
      </w:r>
    </w:p>
    <w:p>
      <w:pPr>
        <w:pStyle w:val="Normal"/>
        <w:spacing w:before="240" w:after="160"/>
        <w:rPr/>
      </w:pPr>
      <w:r>
        <w:rPr>
          <w:rFonts w:eastAsia="Times New Roman" w:cs="Times New Roman"/>
          <w:b/>
          <w:bCs/>
          <w:color w:val="1E2761"/>
          <w:sz w:val="26"/>
          <w:szCs w:val="26"/>
        </w:rPr>
        <w:t>7. Исходные данные для обучения</w:t>
      </w:r>
    </w:p>
    <w:p>
      <w:pPr>
        <w:pStyle w:val="Normal"/>
        <w:spacing w:lineRule="auto" w:line="276" w:before="0" w:after="160"/>
        <w:rPr/>
      </w:pPr>
      <w:r>
        <w:rPr>
          <w:rFonts w:eastAsia="Times New Roman" w:cs="Times New Roman"/>
          <w:sz w:val="22"/>
          <w:szCs w:val="22"/>
        </w:rPr>
        <w:t>Для выполнения работ специалисту предоставляются: размеченный датасет, сформированный на основе данных с действующих МН (архив событий и фото с камер видеонаблюдения), и предварительно обученные базовые модели по задачам раздела 4.</w:t>
      </w:r>
    </w:p>
    <w:p>
      <w:pPr>
        <w:pStyle w:val="Normal"/>
        <w:spacing w:before="0" w:after="200"/>
        <w:rPr/>
      </w:pPr>
      <w:r>
        <w:rPr>
          <w:rFonts w:eastAsia="Times New Roman" w:cs="Times New Roman"/>
          <w:sz w:val="22"/>
          <w:szCs w:val="22"/>
        </w:rPr>
        <w:t>Соответственно, объём работ по разделу 4 состоит в дообучении полигональной разметке (fine-tuning) и адаптации предоставленных моделей под условия конкретных объектов (ракурсы камер, зоны интереса, фактический состав отходов), а не в обучении моделей с нуля. Состав, формат и объём предоставляемых датасета и базовых моделей передаются специалисту Заказчиком/Подрядчиком до начала работ по этапу 2 (раздел 9).</w:t>
      </w:r>
    </w:p>
    <w:p>
      <w:pPr>
        <w:pStyle w:val="Normal"/>
        <w:spacing w:before="240" w:after="160"/>
        <w:rPr/>
      </w:pPr>
      <w:r>
        <w:rPr>
          <w:rFonts w:eastAsia="Times New Roman" w:cs="Times New Roman"/>
          <w:b/>
          <w:bCs/>
          <w:color w:val="1E2761"/>
          <w:sz w:val="26"/>
          <w:szCs w:val="26"/>
        </w:rPr>
        <w:t>8. Критерии приёмки (ML/CV-часть)</w:t>
      </w:r>
    </w:p>
    <w:p>
      <w:pPr>
        <w:pStyle w:val="Normal"/>
        <w:spacing w:lineRule="auto" w:line="276" w:before="0" w:after="160"/>
        <w:rPr/>
      </w:pPr>
      <w:r>
        <w:rPr>
          <w:rFonts w:eastAsia="Times New Roman" w:cs="Times New Roman"/>
          <w:sz w:val="22"/>
          <w:szCs w:val="22"/>
        </w:rPr>
        <w:t>Критерии соответствуют пунктам Программы и методики испытаний (ПМИ, Приложение № 3 к ТЗ Договора), относящимся к моделям раздела 4:</w:t>
      </w:r>
    </w:p>
    <w:tbl>
      <w:tblPr>
        <w:tblW w:w="5000" w:type="pct"/>
        <w:jc w:val="start"/>
        <w:tblInd w:w="0" w:type="dxa"/>
        <w:tblLayout w:type="fixed"/>
        <w:tblCellMar>
          <w:top w:w="100" w:type="dxa"/>
          <w:start w:w="120" w:type="dxa"/>
          <w:bottom w:w="100" w:type="dxa"/>
          <w:end w:w="120" w:type="dxa"/>
        </w:tblCellMar>
      </w:tblPr>
      <w:tblGrid>
        <w:gridCol w:w="3235"/>
        <w:gridCol w:w="3235"/>
        <w:gridCol w:w="3236"/>
      </w:tblGrid>
      <w:tr>
        <w:trPr>
          <w:tblHeader w:val="true"/>
        </w:trPr>
        <w:tc>
          <w:tcPr>
            <w:tcW w:w="3235" w:type="dxa"/>
            <w:tcBorders>
              <w:top w:val="single" w:sz="4" w:space="0" w:color="D7DBE8"/>
              <w:start w:val="single" w:sz="4" w:space="0" w:color="D7DBE8"/>
              <w:bottom w:val="single" w:sz="4" w:space="0" w:color="D7DBE8"/>
              <w:end w:val="single" w:sz="4" w:space="0" w:color="D7DBE8"/>
            </w:tcBorders>
            <w:shd w:fill="1E2761" w:val="clear"/>
            <w:vAlign w:val="center"/>
          </w:tcPr>
          <w:p>
            <w:pPr>
              <w:pStyle w:val="Normal"/>
              <w:rPr/>
            </w:pPr>
            <w:r>
              <w:rPr>
                <w:rFonts w:eastAsia="Times New Roman" w:cs="Times New Roman"/>
                <w:b/>
                <w:bCs/>
                <w:color w:val="FFFFFF"/>
                <w:sz w:val="20"/>
                <w:szCs w:val="20"/>
              </w:rPr>
              <w:t xml:space="preserve">№ </w:t>
            </w:r>
            <w:r>
              <w:rPr>
                <w:rFonts w:eastAsia="Times New Roman" w:cs="Times New Roman"/>
                <w:b/>
                <w:bCs/>
                <w:color w:val="FFFFFF"/>
                <w:sz w:val="20"/>
                <w:szCs w:val="20"/>
              </w:rPr>
              <w:t>ПМИ</w:t>
            </w:r>
          </w:p>
        </w:tc>
        <w:tc>
          <w:tcPr>
            <w:tcW w:w="3235" w:type="dxa"/>
            <w:tcBorders>
              <w:top w:val="single" w:sz="4" w:space="0" w:color="D7DBE8"/>
              <w:start w:val="single" w:sz="4" w:space="0" w:color="D7DBE8"/>
              <w:bottom w:val="single" w:sz="4" w:space="0" w:color="D7DBE8"/>
              <w:end w:val="single" w:sz="4" w:space="0" w:color="D7DBE8"/>
            </w:tcBorders>
            <w:shd w:fill="1E2761" w:val="clear"/>
            <w:vAlign w:val="center"/>
          </w:tcPr>
          <w:p>
            <w:pPr>
              <w:pStyle w:val="Normal"/>
              <w:rPr/>
            </w:pPr>
            <w:r>
              <w:rPr>
                <w:rFonts w:eastAsia="Times New Roman" w:cs="Times New Roman"/>
                <w:b/>
                <w:bCs/>
                <w:color w:val="FFFFFF"/>
                <w:sz w:val="20"/>
                <w:szCs w:val="20"/>
              </w:rPr>
              <w:t>Проверяемая функция</w:t>
            </w:r>
          </w:p>
        </w:tc>
        <w:tc>
          <w:tcPr>
            <w:tcW w:w="3236" w:type="dxa"/>
            <w:tcBorders>
              <w:top w:val="single" w:sz="4" w:space="0" w:color="D7DBE8"/>
              <w:start w:val="single" w:sz="4" w:space="0" w:color="D7DBE8"/>
              <w:bottom w:val="single" w:sz="4" w:space="0" w:color="D7DBE8"/>
              <w:end w:val="single" w:sz="4" w:space="0" w:color="D7DBE8"/>
            </w:tcBorders>
            <w:shd w:fill="1E2761" w:val="clear"/>
            <w:vAlign w:val="center"/>
          </w:tcPr>
          <w:p>
            <w:pPr>
              <w:pStyle w:val="Normal"/>
              <w:rPr/>
            </w:pPr>
            <w:r>
              <w:rPr>
                <w:rFonts w:eastAsia="Times New Roman" w:cs="Times New Roman"/>
                <w:b/>
                <w:bCs/>
                <w:color w:val="FFFFFF"/>
                <w:sz w:val="20"/>
                <w:szCs w:val="20"/>
              </w:rPr>
              <w:t>Ожидаемый результат</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1.4</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Детекция ТС в заданной зоне интереса (полигональной маске)</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Контуры найденных объектов не выходят за пределы полигональной маски</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1.5</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Оценка заполненности и анализ морфологии отходов в зоне интереса</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Отходы размечены и классифицированы по типам корректно; степень заполнения контейнеров и площадки определена верно</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1.6</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Дедупликация детекций ТС, находящегося вблизи МН длительное время</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В журнале событий отсутствуют полностью идентичные повторные детекции одного и того же ТС</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1.7</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Автоматическое выявление и классификация подброса отходов</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Карточка события содержит тип отходов (ТКО/КГО), объём и, при наличии, ГРЗ ТС; данные корректны</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1.10</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Мониторинг видимости площадки МН в кадре</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Статус видимости корректно отражает наличие/отсутствие площадки в кадре; факты потери видимости фиксируются в журнале</w:t>
            </w:r>
          </w:p>
        </w:tc>
      </w:tr>
    </w:tbl>
    <w:p>
      <w:pPr>
        <w:pStyle w:val="Normal"/>
        <w:spacing w:before="240" w:after="160"/>
        <w:rPr/>
      </w:pPr>
      <w:r>
        <w:rPr>
          <w:rFonts w:eastAsia="Times New Roman" w:cs="Times New Roman"/>
          <w:b/>
          <w:bCs/>
          <w:color w:val="1E2761"/>
          <w:sz w:val="26"/>
          <w:szCs w:val="26"/>
        </w:rPr>
        <w:t>9. Этапы и сроки</w:t>
      </w:r>
    </w:p>
    <w:p>
      <w:pPr>
        <w:pStyle w:val="Normal"/>
        <w:spacing w:lineRule="auto" w:line="276" w:before="0" w:after="160"/>
        <w:rPr/>
      </w:pPr>
      <w:r>
        <w:rPr>
          <w:rFonts w:eastAsia="Times New Roman" w:cs="Times New Roman"/>
          <w:sz w:val="22"/>
          <w:szCs w:val="22"/>
        </w:rPr>
        <w:t>Синхронизированы с этапами Договора № ЦПДОГ2/31-07/2026 (раздел 5 ТЗ Договора) в части, затрагивающей ML/CV-компоненты:</w:t>
      </w:r>
    </w:p>
    <w:tbl>
      <w:tblPr>
        <w:tblW w:w="5000" w:type="pct"/>
        <w:jc w:val="start"/>
        <w:tblInd w:w="0" w:type="dxa"/>
        <w:tblLayout w:type="fixed"/>
        <w:tblCellMar>
          <w:top w:w="100" w:type="dxa"/>
          <w:start w:w="120" w:type="dxa"/>
          <w:bottom w:w="100" w:type="dxa"/>
          <w:end w:w="120" w:type="dxa"/>
        </w:tblCellMar>
      </w:tblPr>
      <w:tblGrid>
        <w:gridCol w:w="3235"/>
        <w:gridCol w:w="3235"/>
        <w:gridCol w:w="3236"/>
      </w:tblGrid>
      <w:tr>
        <w:trPr>
          <w:tblHeader w:val="true"/>
        </w:trPr>
        <w:tc>
          <w:tcPr>
            <w:tcW w:w="3235" w:type="dxa"/>
            <w:tcBorders>
              <w:top w:val="single" w:sz="4" w:space="0" w:color="D7DBE8"/>
              <w:start w:val="single" w:sz="4" w:space="0" w:color="D7DBE8"/>
              <w:bottom w:val="single" w:sz="4" w:space="0" w:color="D7DBE8"/>
              <w:end w:val="single" w:sz="4" w:space="0" w:color="D7DBE8"/>
            </w:tcBorders>
            <w:shd w:fill="1E2761" w:val="clear"/>
            <w:vAlign w:val="center"/>
          </w:tcPr>
          <w:p>
            <w:pPr>
              <w:pStyle w:val="Normal"/>
              <w:rPr/>
            </w:pPr>
            <w:r>
              <w:rPr>
                <w:rFonts w:eastAsia="Times New Roman" w:cs="Times New Roman"/>
                <w:b/>
                <w:bCs/>
                <w:color w:val="FFFFFF"/>
                <w:sz w:val="20"/>
                <w:szCs w:val="20"/>
              </w:rPr>
              <w:t>Этап</w:t>
            </w:r>
          </w:p>
        </w:tc>
        <w:tc>
          <w:tcPr>
            <w:tcW w:w="3235" w:type="dxa"/>
            <w:tcBorders>
              <w:top w:val="single" w:sz="4" w:space="0" w:color="D7DBE8"/>
              <w:start w:val="single" w:sz="4" w:space="0" w:color="D7DBE8"/>
              <w:bottom w:val="single" w:sz="4" w:space="0" w:color="D7DBE8"/>
              <w:end w:val="single" w:sz="4" w:space="0" w:color="D7DBE8"/>
            </w:tcBorders>
            <w:shd w:fill="1E2761" w:val="clear"/>
            <w:vAlign w:val="center"/>
          </w:tcPr>
          <w:p>
            <w:pPr>
              <w:pStyle w:val="Normal"/>
              <w:rPr/>
            </w:pPr>
            <w:r>
              <w:rPr>
                <w:rFonts w:eastAsia="Times New Roman" w:cs="Times New Roman"/>
                <w:b/>
                <w:bCs/>
                <w:color w:val="FFFFFF"/>
                <w:sz w:val="20"/>
                <w:szCs w:val="20"/>
              </w:rPr>
              <w:t>Содержание для ML-части</w:t>
            </w:r>
          </w:p>
        </w:tc>
        <w:tc>
          <w:tcPr>
            <w:tcW w:w="3236" w:type="dxa"/>
            <w:tcBorders>
              <w:top w:val="single" w:sz="4" w:space="0" w:color="D7DBE8"/>
              <w:start w:val="single" w:sz="4" w:space="0" w:color="D7DBE8"/>
              <w:bottom w:val="single" w:sz="4" w:space="0" w:color="D7DBE8"/>
              <w:end w:val="single" w:sz="4" w:space="0" w:color="D7DBE8"/>
            </w:tcBorders>
            <w:shd w:fill="1E2761" w:val="clear"/>
            <w:vAlign w:val="center"/>
          </w:tcPr>
          <w:p>
            <w:pPr>
              <w:pStyle w:val="Normal"/>
              <w:rPr/>
            </w:pPr>
            <w:r>
              <w:rPr>
                <w:rFonts w:eastAsia="Times New Roman" w:cs="Times New Roman"/>
                <w:b/>
                <w:bCs/>
                <w:color w:val="FFFFFF"/>
                <w:sz w:val="20"/>
                <w:szCs w:val="20"/>
              </w:rPr>
              <w:t>Срок по Договору</w:t>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1</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Согласование выходного формата данных ГРЗ/классификации событий (раздел 5 настоящего ТЗ) — зависимость для доработки интеграции с АИС «Ангел»</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rFonts w:ascii="Times New Roman" w:hAnsi="Times New Roman" w:eastAsia="Times New Roman" w:cs="Times New Roman"/>
                <w:b w:val="false"/>
                <w:bCs w:val="false"/>
                <w:color w:val="222222"/>
                <w:sz w:val="20"/>
                <w:szCs w:val="20"/>
              </w:rPr>
            </w:pPr>
            <w:r>
              <w:rPr/>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2</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Обучение и доработка моделей (раздел 4); готовность к развёртыванию</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rFonts w:ascii="Times New Roman" w:hAnsi="Times New Roman" w:eastAsia="Times New Roman" w:cs="Times New Roman"/>
                <w:b w:val="false"/>
                <w:bCs w:val="false"/>
                <w:color w:val="222222"/>
                <w:sz w:val="20"/>
                <w:szCs w:val="20"/>
              </w:rPr>
            </w:pPr>
            <w:r>
              <w:rPr/>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3–4</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Участие в предварительных испытаниях согласно ПМИ (раздел 8 настоящего ТЗ)</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rFonts w:ascii="Times New Roman" w:hAnsi="Times New Roman" w:eastAsia="Times New Roman" w:cs="Times New Roman"/>
                <w:b w:val="false"/>
                <w:bCs w:val="false"/>
                <w:color w:val="222222"/>
                <w:sz w:val="20"/>
                <w:szCs w:val="20"/>
              </w:rPr>
            </w:pPr>
            <w:r>
              <w:rPr/>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5–6</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Поддержка инструктажа пользователей и опытной эксплуатации в части вопросов по работе моделей</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rFonts w:ascii="Times New Roman" w:hAnsi="Times New Roman" w:eastAsia="Times New Roman" w:cs="Times New Roman"/>
                <w:b w:val="false"/>
                <w:bCs w:val="false"/>
                <w:color w:val="222222"/>
                <w:sz w:val="20"/>
                <w:szCs w:val="20"/>
              </w:rPr>
            </w:pPr>
            <w:r>
              <w:rPr/>
            </w:r>
          </w:p>
        </w:tc>
      </w:tr>
      <w:tr>
        <w:trPr/>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7</w:t>
            </w:r>
          </w:p>
        </w:tc>
        <w:tc>
          <w:tcPr>
            <w:tcW w:w="3235"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Ввод в постоянную эксплуатацию</w:t>
            </w:r>
          </w:p>
        </w:tc>
        <w:tc>
          <w:tcPr>
            <w:tcW w:w="3236" w:type="dxa"/>
            <w:tcBorders>
              <w:top w:val="single" w:sz="4" w:space="0" w:color="D7DBE8"/>
              <w:start w:val="single" w:sz="4" w:space="0" w:color="D7DBE8"/>
              <w:bottom w:val="single" w:sz="4" w:space="0" w:color="D7DBE8"/>
              <w:end w:val="single" w:sz="4" w:space="0" w:color="D7DBE8"/>
            </w:tcBorders>
            <w:vAlign w:val="center"/>
          </w:tcPr>
          <w:p>
            <w:pPr>
              <w:pStyle w:val="Normal"/>
              <w:rPr/>
            </w:pPr>
            <w:r>
              <w:rPr>
                <w:rFonts w:eastAsia="Times New Roman" w:cs="Times New Roman"/>
                <w:b w:val="false"/>
                <w:bCs w:val="false"/>
                <w:color w:val="222222"/>
                <w:sz w:val="20"/>
                <w:szCs w:val="20"/>
              </w:rPr>
              <w:t>не позднее 01.</w:t>
            </w:r>
            <w:r>
              <w:rPr>
                <w:rFonts w:eastAsia="Times New Roman" w:cs="Times New Roman"/>
                <w:b w:val="false"/>
                <w:bCs w:val="false"/>
                <w:color w:val="222222"/>
                <w:sz w:val="20"/>
                <w:szCs w:val="20"/>
              </w:rPr>
              <w:t>0</w:t>
            </w:r>
            <w:r>
              <w:rPr>
                <w:rFonts w:eastAsia="Times New Roman" w:cs="Times New Roman"/>
                <w:b w:val="false"/>
                <w:bCs w:val="false"/>
                <w:color w:val="222222"/>
                <w:sz w:val="20"/>
                <w:szCs w:val="20"/>
              </w:rPr>
              <w:t>1</w:t>
            </w:r>
            <w:r>
              <w:rPr>
                <w:rFonts w:eastAsia="Times New Roman" w:cs="Times New Roman"/>
                <w:b w:val="false"/>
                <w:bCs w:val="false"/>
                <w:color w:val="222222"/>
                <w:sz w:val="20"/>
                <w:szCs w:val="20"/>
              </w:rPr>
              <w:t>.202</w:t>
            </w:r>
            <w:r>
              <w:rPr>
                <w:rFonts w:eastAsia="Times New Roman" w:cs="Times New Roman"/>
                <w:b w:val="false"/>
                <w:bCs w:val="false"/>
                <w:color w:val="222222"/>
                <w:sz w:val="20"/>
                <w:szCs w:val="20"/>
              </w:rPr>
              <w:t>7</w:t>
            </w:r>
          </w:p>
        </w:tc>
      </w:tr>
    </w:tbl>
    <w:p>
      <w:pPr>
        <w:pStyle w:val="Normal"/>
        <w:spacing w:before="240" w:after="160"/>
        <w:rPr/>
      </w:pPr>
      <w:r>
        <w:rPr>
          <w:rFonts w:eastAsia="Times New Roman" w:cs="Times New Roman"/>
          <w:b/>
          <w:bCs/>
          <w:color w:val="1E2761"/>
          <w:sz w:val="26"/>
          <w:szCs w:val="26"/>
        </w:rPr>
        <w:t>10. Результаты работ, передаваемые Заказчику</w:t>
      </w:r>
    </w:p>
    <w:p>
      <w:pPr>
        <w:pStyle w:val="ListParagraph"/>
        <w:numPr>
          <w:ilvl w:val="0"/>
          <w:numId w:val="1"/>
        </w:numPr>
        <w:spacing w:lineRule="auto" w:line="276" w:before="0" w:after="100"/>
        <w:rPr/>
      </w:pPr>
      <w:r>
        <w:rPr>
          <w:rFonts w:eastAsia="Times New Roman" w:cs="Times New Roman"/>
          <w:sz w:val="22"/>
          <w:szCs w:val="22"/>
        </w:rPr>
        <w:t>Дообученные модели (веса) и конфигурация инференса для каждой задачи раздела 4, отдельно для серверного и edge-исполнения (где применимо).</w:t>
      </w:r>
    </w:p>
    <w:p>
      <w:pPr>
        <w:pStyle w:val="ListParagraph"/>
        <w:numPr>
          <w:ilvl w:val="0"/>
          <w:numId w:val="1"/>
        </w:numPr>
        <w:spacing w:lineRule="auto" w:line="276" w:before="0" w:after="100"/>
        <w:rPr/>
      </w:pPr>
      <w:r>
        <w:rPr>
          <w:rFonts w:eastAsia="Times New Roman" w:cs="Times New Roman"/>
          <w:sz w:val="22"/>
          <w:szCs w:val="22"/>
        </w:rPr>
        <w:t>Скрипты/пайплайн обучения и инференса, воспроизводимые из переданного исходного кода.</w:t>
      </w:r>
    </w:p>
    <w:p>
      <w:pPr>
        <w:pStyle w:val="ListParagraph"/>
        <w:numPr>
          <w:ilvl w:val="0"/>
          <w:numId w:val="1"/>
        </w:numPr>
        <w:spacing w:lineRule="auto" w:line="276" w:before="0" w:after="100"/>
        <w:rPr/>
      </w:pPr>
      <w:r>
        <w:rPr>
          <w:rFonts w:eastAsia="Times New Roman" w:cs="Times New Roman"/>
          <w:sz w:val="22"/>
          <w:szCs w:val="22"/>
        </w:rPr>
        <w:t>Отчёт о метриках качества на тестовой выборке — по показателям, согласованным согласно разделу 6.</w:t>
      </w:r>
    </w:p>
    <w:p>
      <w:pPr>
        <w:pStyle w:val="ListParagraph"/>
        <w:numPr>
          <w:ilvl w:val="0"/>
          <w:numId w:val="1"/>
        </w:numPr>
        <w:spacing w:lineRule="auto" w:line="276" w:before="0" w:after="100"/>
        <w:rPr/>
      </w:pPr>
      <w:r>
        <w:rPr>
          <w:rFonts w:eastAsia="Times New Roman" w:cs="Times New Roman"/>
          <w:sz w:val="22"/>
          <w:szCs w:val="22"/>
        </w:rPr>
        <w:t>Документация по использованию ML/CV-компонентов — как часть общей технической документации по Договору (п. 1.3 Договора): техническое описание, схема взаимодействия с указанием портов/форматов данных между компонентами.</w:t>
      </w:r>
    </w:p>
    <w:p>
      <w:pPr>
        <w:pStyle w:val="ListParagraph"/>
        <w:numPr>
          <w:ilvl w:val="0"/>
          <w:numId w:val="1"/>
        </w:numPr>
        <w:spacing w:lineRule="auto" w:line="276" w:before="0" w:after="100"/>
        <w:rPr/>
      </w:pPr>
      <w:r>
        <w:rPr>
          <w:rFonts w:eastAsia="Times New Roman" w:cs="Times New Roman"/>
          <w:sz w:val="22"/>
          <w:szCs w:val="22"/>
        </w:rPr>
        <w:t>Отчёт средства статического анализа исходного кода на отсутствие критических уязвимостей (требование п. 3.2 Договора) — в части кода, разработанного специалистом по ML.</w:t>
      </w:r>
    </w:p>
    <w:sectPr>
      <w:type w:val="nextPage"/>
      <w:pgSz w:w="11906" w:h="16838"/>
      <w:pgMar w:left="1100" w:right="1100" w:gutter="0" w:header="0"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50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ru-RU"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Songti SC" w:cs="Arial Unicode MS"/>
      <w:color w:val="auto"/>
      <w:kern w:val="0"/>
      <w:sz w:val="20"/>
      <w:szCs w:val="20"/>
      <w:lang w:val="ru-RU"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Songti SC" w:cs="Arial Unicode MS"/>
      <w:b/>
      <w:bCs/>
      <w:color w:val="auto"/>
      <w:kern w:val="0"/>
      <w:sz w:val="20"/>
      <w:szCs w:val="20"/>
      <w:lang w:val="ru-RU" w:eastAsia="zh-CN" w:bidi="hi-IN"/>
    </w:rPr>
  </w:style>
  <w:style w:type="paragraph" w:styleId="ListParagraph">
    <w:name w:val="List Paragraph"/>
    <w:qFormat/>
    <w:pPr>
      <w:widowControl/>
      <w:bidi w:val="0"/>
      <w:spacing w:before="0" w:after="0"/>
      <w:jc w:val="start"/>
    </w:pPr>
    <w:rPr>
      <w:rFonts w:ascii="Times New Roman" w:hAnsi="Times New Roman" w:eastAsia="Songti SC" w:cs="Arial Unicode MS"/>
      <w:color w:val="auto"/>
      <w:kern w:val="0"/>
      <w:sz w:val="20"/>
      <w:szCs w:val="20"/>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LibreOffice/26.2.4.2$MacOSX_X86_64 LibreOffice_project/0229ac93fcf0d7cbc6376066c6f35021cef002dc</Application>
  <AppVersion>15.0000</AppVersion>
  <Pages>5</Pages>
  <Words>1458</Words>
  <Characters>9739</Characters>
  <CharactersWithSpaces>11042</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2026-09-27T22:45:43Z</dcterms:created>
  <dc:creator>Un-named</dc:creator>
  <dc:description/>
  <dc:language>ru-RU</dc:language>
  <cp:lastModifiedBy/>
  <dcterms:modified xsi:type="dcterms:W3CDTF">2026-09-28T08:58:12Z</dcterms:modified>
  <cp:revision>2</cp:revision>
  <dc:subject/>
  <dc:title/>
</cp:coreProperties>
</file>