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Лебедев Сергей Алексеевич.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изучение возможностей легковесного языка разметки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и получение практических навыков оформления отчётов с его использованием.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базовые элементы синтаксиса Markdown.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со способами форматирования текста, создания списков, ссылок и блоков кода.</w:t>
      </w:r>
    </w:p>
    <w:p>
      <w:pPr>
        <w:pStyle w:val="Compact"/>
        <w:numPr>
          <w:ilvl w:val="0"/>
          <w:numId w:val="1001"/>
        </w:numPr>
      </w:pPr>
      <w:r>
        <w:t xml:space="preserve">Освоить создание формул, цитат и других элементов оформления.</w:t>
      </w:r>
    </w:p>
    <w:p>
      <w:pPr>
        <w:pStyle w:val="Compact"/>
        <w:numPr>
          <w:ilvl w:val="0"/>
          <w:numId w:val="1001"/>
        </w:numPr>
      </w:pPr>
      <w:r>
        <w:t xml:space="preserve">Создать отчёт по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С помощью Pandoc преобразовать отчёт в форматы</w:t>
      </w:r>
      <w:r>
        <w:t xml:space="preserve"> </w:t>
      </w:r>
      <w:r>
        <w:rPr>
          <w:b/>
          <w:bCs/>
        </w:rPr>
        <w:t xml:space="preserve">PDF</w:t>
      </w:r>
      <w:r>
        <w:t xml:space="preserve">,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MD</w:t>
      </w:r>
      <w:r>
        <w:t xml:space="preserve">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Markdown</w:t>
      </w:r>
      <w:r>
        <w:t xml:space="preserve"> </w:t>
      </w:r>
      <w:r>
        <w:t xml:space="preserve">— это легковесный язык разметки, предназначенный для удобного форматирования текста. Он широко используется для написания документации, научных отчётов и технических описаний.</w:t>
      </w:r>
    </w:p>
    <w:p>
      <w:pPr>
        <w:pStyle w:val="BodyText"/>
      </w:pPr>
      <w:r>
        <w:t xml:space="preserve">Основными преимуществами Markdown являются простота синтаксиса и возможность быстрого преобразования текста в различные форматы, такие как PDF, HTML и DOCX.</w:t>
      </w:r>
    </w:p>
    <w:p>
      <w:pPr>
        <w:pStyle w:val="BodyText"/>
      </w:pPr>
      <w:r>
        <w:t xml:space="preserve">Для обработки файлов Markdown используется программа</w:t>
      </w:r>
      <w:r>
        <w:t xml:space="preserve"> </w:t>
      </w:r>
      <w:r>
        <w:rPr>
          <w:b/>
          <w:bCs/>
        </w:rPr>
        <w:t xml:space="preserve">Pandoc</w:t>
      </w:r>
      <w:r>
        <w:t xml:space="preserve">, которая позволяет конвертировать документы между различными форматами.</w:t>
      </w:r>
    </w:p>
    <w:p>
      <w:pPr>
        <w:pStyle w:val="BodyText"/>
      </w:pPr>
      <w:r>
        <w:t xml:space="preserve">Markdown поддерживает следующие основные элементы форматирования:</w:t>
      </w:r>
    </w:p>
    <w:p>
      <w:pPr>
        <w:pStyle w:val="Compact"/>
        <w:numPr>
          <w:ilvl w:val="0"/>
          <w:numId w:val="1002"/>
        </w:numPr>
      </w:pPr>
      <w:r>
        <w:t xml:space="preserve">заголовки различных уровней;</w:t>
      </w:r>
    </w:p>
    <w:p>
      <w:pPr>
        <w:pStyle w:val="Compact"/>
        <w:numPr>
          <w:ilvl w:val="0"/>
          <w:numId w:val="1002"/>
        </w:numPr>
      </w:pPr>
      <w:r>
        <w:t xml:space="preserve">выделение текста (жирный, курсив);</w:t>
      </w:r>
    </w:p>
    <w:p>
      <w:pPr>
        <w:pStyle w:val="Compact"/>
        <w:numPr>
          <w:ilvl w:val="0"/>
          <w:numId w:val="1002"/>
        </w:numPr>
      </w:pPr>
      <w:r>
        <w:t xml:space="preserve">списки;</w:t>
      </w:r>
    </w:p>
    <w:p>
      <w:pPr>
        <w:pStyle w:val="Compact"/>
        <w:numPr>
          <w:ilvl w:val="0"/>
          <w:numId w:val="1002"/>
        </w:numPr>
      </w:pPr>
      <w:r>
        <w:t xml:space="preserve">ссылки;</w:t>
      </w:r>
    </w:p>
    <w:p>
      <w:pPr>
        <w:pStyle w:val="Compact"/>
        <w:numPr>
          <w:ilvl w:val="0"/>
          <w:numId w:val="1002"/>
        </w:numPr>
      </w:pPr>
      <w:r>
        <w:t xml:space="preserve">блоки кода;</w:t>
      </w:r>
    </w:p>
    <w:p>
      <w:pPr>
        <w:pStyle w:val="Compact"/>
        <w:numPr>
          <w:ilvl w:val="0"/>
          <w:numId w:val="1002"/>
        </w:numPr>
      </w:pPr>
      <w:r>
        <w:t xml:space="preserve">формулы;</w:t>
      </w:r>
    </w:p>
    <w:p>
      <w:pPr>
        <w:pStyle w:val="Compact"/>
        <w:numPr>
          <w:ilvl w:val="0"/>
          <w:numId w:val="1002"/>
        </w:numPr>
      </w:pPr>
      <w:r>
        <w:t xml:space="preserve">цитаты.</w:t>
      </w:r>
    </w:p>
    <w:bookmarkEnd w:id="22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7" w:name="подготовка-структуры-отчёта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Подготовка структуры отчёта</w:t>
      </w:r>
    </w:p>
    <w:p>
      <w:pPr>
        <w:pStyle w:val="FirstParagraph"/>
      </w:pPr>
      <w:r>
        <w:t xml:space="preserve">На первом этапе была создана структура отчёта лабораторной работы в формате Markdown. Были оформлены заголовки, цели и задачи лабораторной работы (рис. 1).</w:t>
      </w:r>
    </w:p>
    <w:bookmarkStart w:id="26" w:name="fig:001"/>
    <w:p>
      <w:pPr>
        <w:pStyle w:val="CaptionedFigure"/>
      </w:pPr>
      <w:r>
        <w:drawing>
          <wp:inline>
            <wp:extent cx="3733800" cy="678872"/>
            <wp:effectExtent b="0" l="0" r="0" t="0"/>
            <wp:docPr descr="Рис. 1: Формулировка целей и заданий лабораторной работы" title="" id="24" name="Picture"/>
            <a:graphic>
              <a:graphicData uri="http://schemas.openxmlformats.org/drawingml/2006/picture">
                <pic:pic>
                  <pic:nvPicPr>
                    <pic:cNvPr descr="images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Формулировка целей и заданий лабораторной работы</w:t>
      </w:r>
    </w:p>
    <w:bookmarkEnd w:id="26"/>
    <w:bookmarkEnd w:id="27"/>
    <w:bookmarkStart w:id="32" w:name="оформление-отчёта"/>
    <w:p>
      <w:pPr>
        <w:pStyle w:val="Heading3"/>
      </w:pPr>
      <w:r>
        <w:rPr>
          <w:rStyle w:val="SectionNumber"/>
        </w:rPr>
        <w:t xml:space="preserve">4.0.2</w:t>
      </w:r>
      <w:r>
        <w:tab/>
      </w:r>
      <w:r>
        <w:t xml:space="preserve">Оформление отчёта</w:t>
      </w:r>
    </w:p>
    <w:p>
      <w:pPr>
        <w:pStyle w:val="FirstParagraph"/>
      </w:pPr>
      <w:r>
        <w:t xml:space="preserve">Далее был подготовлен основной текст отчёта, включающий описание выполнения лабораторной работы, настройку структуры документа и использование различных элементов разметки Markdown (рис. 2).</w:t>
      </w:r>
    </w:p>
    <w:bookmarkStart w:id="31" w:name="fig:002"/>
    <w:p>
      <w:pPr>
        <w:pStyle w:val="CaptionedFigure"/>
      </w:pPr>
      <w:r>
        <w:drawing>
          <wp:inline>
            <wp:extent cx="3733800" cy="1801176"/>
            <wp:effectExtent b="0" l="0" r="0" t="0"/>
            <wp:docPr descr="Рис. 2: Процесс выполнения лабораторной работы и оформление отчёта" title="" id="29" name="Picture"/>
            <a:graphic>
              <a:graphicData uri="http://schemas.openxmlformats.org/drawingml/2006/picture">
                <pic:pic>
                  <pic:nvPicPr>
                    <pic:cNvPr descr="images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Процесс выполнения лабораторной работы и оформление отчёта</w:t>
      </w:r>
    </w:p>
    <w:bookmarkEnd w:id="31"/>
    <w:bookmarkEnd w:id="32"/>
    <w:bookmarkStart w:id="33" w:name="обработка-markdown-файла"/>
    <w:p>
      <w:pPr>
        <w:pStyle w:val="Heading3"/>
      </w:pPr>
      <w:r>
        <w:rPr>
          <w:rStyle w:val="SectionNumber"/>
        </w:rPr>
        <w:t xml:space="preserve">4.0.3</w:t>
      </w:r>
      <w:r>
        <w:tab/>
      </w:r>
      <w:r>
        <w:t xml:space="preserve">Обработка Markdown файла</w:t>
      </w:r>
    </w:p>
    <w:p>
      <w:pPr>
        <w:pStyle w:val="FirstParagraph"/>
      </w:pPr>
      <w:r>
        <w:t xml:space="preserve">Для преобразования Markdown файла в другие форматы была использована программа</w:t>
      </w:r>
      <w:r>
        <w:t xml:space="preserve"> </w:t>
      </w:r>
      <w:r>
        <w:rPr>
          <w:b/>
          <w:bCs/>
        </w:rPr>
        <w:t xml:space="preserve">Pandoc</w:t>
      </w:r>
      <w:r>
        <w:t xml:space="preserve">. С её помощью отчёт был преобразован в форматы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DOCX</w:t>
      </w:r>
      <w:r>
        <w:t xml:space="preserve">, что позволяет использовать его для дальнейшей сдачи и редактирования.</w:t>
      </w:r>
    </w:p>
    <w:bookmarkEnd w:id="33"/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возможности языка разметки Markdown. Освоены базовые элементы форматирования текста, создание списков, ссылок, блоков кода и формул.</w:t>
      </w:r>
    </w:p>
    <w:p>
      <w:pPr>
        <w:pStyle w:val="BodyText"/>
      </w:pPr>
      <w:r>
        <w:t xml:space="preserve">Также были получены практические навыки подготовки отчётов и преобразования Markdown документов в различные форматы с помощью программы Pandoc.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Лебедев Сергей Алексеевич.</dc:creator>
  <dc:language>ru-RU\</dc:language>
  <cp:keywords/>
  <dcterms:created xsi:type="dcterms:W3CDTF">2026-03-04T07:52:43Z</dcterms:created>
  <dcterms:modified xsi:type="dcterms:W3CDTF">2026-03-04T07:52:43Z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Markdown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