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世界模型规划中共享假设的</w:t>
        <w:br/>
        <w:t>置信度校准与依赖保持注意力</w:t>
        <w:br/>
        <w:t>研究方案</w:t>
      </w:r>
    </w:p>
    <w:p>
      <w:pPr>
        <w:pStyle w:val="Subtitle"/>
      </w:pPr>
      <w:r>
        <w:rPr/>
        <w:t>Shared Assumption Calibration and Provenance Preserving Attention for World Model Planning</w:t>
      </w:r>
    </w:p>
    <w:p>
      <w:r>
        <w:rPr>
          <w:b/>
        </w:rPr>
        <w:t>面向 ICML 与 ICLR 的研究计划</w:t>
      </w:r>
    </w:p>
    <w:p>
      <w:r>
        <w:rPr/>
        <w:t>方案版本 1.0    文献核查截至 2026 年 9 月 27 日</w:t>
      </w:r>
    </w:p>
    <w:p>
      <w:pPr>
        <w:pStyle w:val="Heading1"/>
      </w:pPr>
      <w:bookmarkStart w:id="5" w:name="S46d4c1b4e4be50c"/>
      <w:r>
        <w:t>摘要</w:t>
      </w:r>
      <w:bookmarkEnd w:id="5"/>
    </w:p>
    <w:p>
      <w:r>
        <w:rPr/>
        <w:t>基于世界模型的智能体通过预演候选动作估计未来回报，但不同预演可能共同依赖一个未经验证的前提。本研究考察一种尚待实证的失效机制：规划器在聚合多个动作条件下的未来时，将共享前提的不同后果误用为该前提的独立证据，因而在增加想象预算后形成过度自信。核心研究问题是，在保持世界模型、真实观测与候选动作不变时，仅改变共享假设后代的呈现数量，是否会系统性改变假设信念和实际行动结果。</w:t>
      </w:r>
    </w:p>
    <w:p>
      <w:r>
        <w:rPr/>
        <w:t>拟提出来源保持的假设校准规划方法，将真实证据、互斥假设配置与条件后果分别表示。Jev 或可复现的开源决策头根据可用证据估计假设概率，生成记录保留共享来源和随机样本身份，注意力模块仅处理条件后果的表征与价值估计，最终由显式概率加权形成动作效用。方法要求对已有信息的复制保持不变，同时保留独立条件采样、行动扩展及真实新证据带来的收益。</w:t>
      </w:r>
    </w:p>
    <w:p>
      <w:r>
        <w:rPr/>
        <w:t>评测由拟建的 SharedPremiseBench、ALFWorld 和 ScienceWorld 组成，MiniGrid 用于可选的随机性扩展。实验同时比较无预演策略、平面预演聚合、逐轨迹校准、去重、简单风险分类器、来源分组以及已知来源和已知状态的诊断对照。通过配对干预、自然任务评测、真实环境纠正实验和计算预算匹配，检验该机制的存在、方法的必要性及可迁移性。本方案中的增益、预算拐点和注意力效应均为待检验假设，不包含已完成的实验结果。</w:t>
      </w:r>
    </w:p>
    <w:p>
      <w:r>
        <w:rPr>
          <w:b/>
        </w:rPr>
        <w:t>关键词  世界模型规划；共享假设；概率校准；来源依赖；注意力；Jev</w:t>
      </w:r>
    </w:p>
    <w:p>
      <w:pPr>
        <w:pStyle w:val="Heading2"/>
      </w:pPr>
      <w:r>
        <w:t>研究范围与预期贡献</w:t>
      </w:r>
    </w:p>
    <w:p>
      <w:r>
        <w:rPr/>
        <w:t>研究对象为部分可观测的文本交互和工具型任务，第一阶段不训练大型视频世界模型。预期贡献包括可证伪的机制证据、兼容独立采样的来源保持聚合方法，以及公开且可重放的评测协议。Jev 是候选评分器，方法有效性不应依赖专有模型的不可见训练细节。</w:t>
      </w:r>
    </w:p>
    <w:p>
      <w:r>
        <w:br w:type="page"/>
      </w:r>
    </w:p>
    <w:p>
      <w:pPr>
        <w:pStyle w:val="Heading1"/>
      </w:pPr>
      <w:bookmarkStart w:id="13" w:name="S41e5243e2d34f9f"/>
      <w:r>
        <w:t>目录</w:t>
      </w:r>
      <w:bookmarkEnd w:id="13"/>
    </w:p>
    <w:p>
      <w:pPr>
        <w:tabs>
          <w:tab w:pos="9184" w:val="right" w:leader="dot"/>
        </w:tabs>
        <w:spacing w:after="200"/>
      </w:pPr>
      <w:r>
        <w:rPr/>
        <w:t>1 研究动机与核心假设</w:t>
        <w:tab/>
      </w:r>
      <w:fldSimple w:instr="PAGEREF S00bfe36057eb3e6 \h">
        <w:r>
          <w:t>3</w:t>
        </w:r>
      </w:fldSimple>
    </w:p>
    <w:p>
      <w:pPr>
        <w:tabs>
          <w:tab w:pos="9184" w:val="right" w:leader="dot"/>
        </w:tabs>
        <w:spacing w:after="200"/>
      </w:pPr>
      <w:r>
        <w:rPr/>
        <w:t>2 相关工作与创新边界</w:t>
        <w:tab/>
      </w:r>
      <w:fldSimple w:instr="PAGEREF Sad227f8a1a1f463 \h">
        <w:r>
          <w:t>4</w:t>
        </w:r>
      </w:fldSimple>
    </w:p>
    <w:p>
      <w:pPr>
        <w:tabs>
          <w:tab w:pos="9184" w:val="right" w:leader="dot"/>
        </w:tabs>
        <w:spacing w:after="200"/>
      </w:pPr>
      <w:r>
        <w:rPr/>
        <w:t>3 问题定义与理论约束</w:t>
        <w:tab/>
      </w:r>
      <w:fldSimple w:instr="PAGEREF Sa8e24eace16de4d \h">
        <w:r>
          <w:t>5</w:t>
        </w:r>
      </w:fldSimple>
    </w:p>
    <w:p>
      <w:pPr>
        <w:tabs>
          <w:tab w:pos="9184" w:val="right" w:leader="dot"/>
        </w:tabs>
        <w:spacing w:after="200"/>
      </w:pPr>
      <w:r>
        <w:rPr/>
        <w:t>4 方法设计与 Jev 接入</w:t>
        <w:tab/>
      </w:r>
      <w:fldSimple w:instr="PAGEREF S442ee6e099aa348 \h">
        <w:r>
          <w:t>6</w:t>
        </w:r>
      </w:fldSimple>
    </w:p>
    <w:p>
      <w:pPr>
        <w:tabs>
          <w:tab w:pos="9184" w:val="right" w:leader="dot"/>
        </w:tabs>
        <w:spacing w:after="200"/>
      </w:pPr>
      <w:r>
        <w:rPr/>
        <w:t>5 学习目标与训练协议</w:t>
        <w:tab/>
      </w:r>
      <w:fldSimple w:instr="PAGEREF Sa51530491918c7d \h">
        <w:r>
          <w:t>9</w:t>
        </w:r>
      </w:fldSimple>
    </w:p>
    <w:p>
      <w:pPr>
        <w:tabs>
          <w:tab w:pos="9184" w:val="right" w:leader="dot"/>
        </w:tabs>
        <w:spacing w:after="200"/>
      </w:pPr>
      <w:r>
        <w:rPr/>
        <w:t>6 数据集与数据划分</w:t>
        <w:tab/>
      </w:r>
      <w:fldSimple w:instr="PAGEREF S577176788e1c9b4 \h">
        <w:r>
          <w:t>10</w:t>
        </w:r>
      </w:fldSimple>
    </w:p>
    <w:p>
      <w:pPr>
        <w:tabs>
          <w:tab w:pos="9184" w:val="right" w:leader="dot"/>
        </w:tabs>
        <w:spacing w:after="200"/>
      </w:pPr>
      <w:r>
        <w:rPr/>
        <w:t>7 Baseline 与公平比较</w:t>
        <w:tab/>
      </w:r>
      <w:fldSimple w:instr="PAGEREF Saacca857002bcfb \h">
        <w:r>
          <w:t>12</w:t>
        </w:r>
      </w:fldSimple>
    </w:p>
    <w:p>
      <w:pPr>
        <w:tabs>
          <w:tab w:pos="9184" w:val="right" w:leader="dot"/>
        </w:tabs>
        <w:spacing w:after="200"/>
      </w:pPr>
      <w:r>
        <w:rPr/>
        <w:t>8 实验流程与干预设计</w:t>
        <w:tab/>
      </w:r>
      <w:fldSimple w:instr="PAGEREF S3a5de9ba0304811 \h">
        <w:r>
          <w:t>14</w:t>
        </w:r>
      </w:fldSimple>
    </w:p>
    <w:p>
      <w:pPr>
        <w:tabs>
          <w:tab w:pos="9184" w:val="right" w:leader="dot"/>
        </w:tabs>
        <w:spacing w:after="200"/>
      </w:pPr>
      <w:r>
        <w:rPr/>
        <w:t>9 评价指标与统计分析</w:t>
        <w:tab/>
      </w:r>
      <w:fldSimple w:instr="PAGEREF Sf75db85d73f9f33 \h">
        <w:r>
          <w:t>16</w:t>
        </w:r>
      </w:fldSimple>
    </w:p>
    <w:p>
      <w:pPr>
        <w:tabs>
          <w:tab w:pos="9184" w:val="right" w:leader="dot"/>
        </w:tabs>
        <w:spacing w:after="200"/>
      </w:pPr>
      <w:r>
        <w:rPr/>
        <w:t>10 消融实验与有效性威胁</w:t>
        <w:tab/>
      </w:r>
      <w:fldSimple w:instr="PAGEREF S454501723cbe646 \h">
        <w:r>
          <w:t>18</w:t>
        </w:r>
      </w:fldSimple>
    </w:p>
    <w:p>
      <w:pPr>
        <w:tabs>
          <w:tab w:pos="9184" w:val="right" w:leader="dot"/>
        </w:tabs>
        <w:spacing w:after="200"/>
      </w:pPr>
      <w:r>
        <w:rPr/>
        <w:t>11 实施计划与资源估算</w:t>
        <w:tab/>
      </w:r>
      <w:fldSimple w:instr="PAGEREF S0f2c90c732ea569 \h">
        <w:r>
          <w:t>19</w:t>
        </w:r>
      </w:fldSimple>
    </w:p>
    <w:p>
      <w:pPr>
        <w:tabs>
          <w:tab w:pos="9184" w:val="right" w:leader="dot"/>
        </w:tabs>
        <w:spacing w:after="200"/>
      </w:pPr>
      <w:r>
        <w:rPr/>
        <w:t>12 预期结论与论文组织</w:t>
        <w:tab/>
      </w:r>
      <w:fldSimple w:instr="PAGEREF S375485a9255a03c \h">
        <w:r>
          <w:t>20</w:t>
        </w:r>
      </w:fldSimple>
    </w:p>
    <w:p>
      <w:pPr>
        <w:tabs>
          <w:tab w:pos="9184" w:val="right" w:leader="dot"/>
        </w:tabs>
        <w:spacing w:after="200"/>
      </w:pPr>
      <w:r>
        <w:rPr/>
        <w:t>参考文献</w:t>
        <w:tab/>
      </w:r>
      <w:fldSimple w:instr="PAGEREF Se1ae4ff6a451b70 \h">
        <w:r>
          <w:t>20</w:t>
        </w:r>
      </w:fldSimple>
    </w:p>
    <w:p>
      <w:pPr>
        <w:tabs>
          <w:tab w:pos="9184" w:val="right" w:leader="dot"/>
        </w:tabs>
        <w:spacing w:after="200"/>
      </w:pPr>
      <w:r>
        <w:rPr/>
        <w:t>附录 A 记录格式与提示词规范</w:t>
        <w:tab/>
      </w:r>
      <w:fldSimple w:instr="PAGEREF S53d442a18062dbd \h">
        <w:r>
          <w:t>22</w:t>
        </w:r>
      </w:fldSimple>
    </w:p>
    <w:p>
      <w:pPr>
        <w:tabs>
          <w:tab w:pos="9184" w:val="right" w:leader="dot"/>
        </w:tabs>
        <w:spacing w:after="200"/>
      </w:pPr>
      <w:r>
        <w:rPr/>
        <w:t>附录 B 最小可行实验清单</w:t>
        <w:tab/>
      </w:r>
      <w:fldSimple w:instr="PAGEREF Se85f0b86f080d17 \h">
        <w:r>
          <w:t>23</w:t>
        </w:r>
      </w:fldSimple>
    </w:p>
    <w:p>
      <w:r>
        <w:rPr/>
        <w:t>本方案使用顺序编码引用。公开基准的官方划分与本研究拟定的训练划分分别标注；所有拟建数据、训练预算和决策阈值均需在正式测试前冻结。</w:t>
      </w:r>
    </w:p>
    <w:p>
      <w:r>
        <w:br w:type="page"/>
      </w:r>
    </w:p>
    <w:p>
      <w:pPr>
        <w:pStyle w:val="Heading1"/>
      </w:pPr>
      <w:bookmarkStart w:id="31" w:name="S00bfe36057eb3e6"/>
      <w:r>
        <w:t>1 研究动机与核心假设</w:t>
      </w:r>
      <w:bookmarkEnd w:id="31"/>
    </w:p>
    <w:p>
      <w:pPr>
        <w:pStyle w:val="Heading2"/>
      </w:pPr>
      <w:r>
        <w:t>1.1 从预测可信度到预测使用方式</w:t>
      </w:r>
    </w:p>
    <w:p>
      <w:r>
        <w:rPr/>
        <w:t>世界模型的单条预测可以具备合理的准确率和边际校准，但下游规划器仍可能错误使用这些预测。已有工作已研究模型不确定性、概率校准及面向决策的模型学习 [1–4]。本研究进一步关注预演之间的来源依赖：多个看似不同的动作后果可能继承同一个未知条件，局部评分不会自动表达这种共同依赖。</w:t>
      </w:r>
    </w:p>
    <w:p>
      <w:r>
        <w:rPr/>
        <w:t>直观例子是写入权限未知的数据库迁移。直接写入、临时表合并和批量导入是不同计划，但可能都要求同一账户拥有写权限。即使世界模型分别预测三个计划成功，这些条件后果也不能单独证明账户确有权限。如果三条计划的成功事件均等于同一前提 H，且 P(H)=0.6，则至少一条计划成功的概率仍为 0.6。错误地按独立事件计算会得到 1−(1−0.6)³=0.936。这个例子只展示统计上的可能性，并不预设实际智能体采用该计算规则。</w:t>
      </w:r>
    </w:p>
    <w:p>
      <w:pPr>
        <w:pStyle w:val="Heading2"/>
      </w:pPr>
      <w:r>
        <w:t>1.2 核心主张与可证伪假设</w:t>
      </w:r>
    </w:p>
    <w:p>
      <w:r>
        <w:rPr/>
        <w:t>核心主张是：在没有新增独立信息的条件下，增加同一假设的生成后代不应被当作支持该假设的新证据。更多预演可以改善条件价值估计，但不能仅凭条件后果的数量提高共同前提的可信度。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680"/>
        <w:gridCol w:w="4195"/>
        <w:gridCol w:w="4422"/>
      </w:tblGrid>
      <w:tr>
        <w:trPr>
          <w:cantSplit/>
          <w:tblHeader/>
        </w:trPr>
        <w:tc>
          <w:tcPr>
            <w:tcW w:type="dxa" w:w="680"/>
            <w:vAlign w:val="center"/>
            <w:shd w:fill="E6ECF2"/>
          </w:tcPr>
          <w:p>
            <w:pPr>
              <w:keepNext/>
              <w:spacing w:line="271" w:lineRule="auto" w:after="20" w:before="20"/>
              <w:jc w:val="center"/>
            </w:pPr>
            <w:r>
              <w:rPr>
                <w:b/>
                <w:sz w:val="19"/>
              </w:rPr>
              <w:t>编号</w:t>
            </w:r>
          </w:p>
        </w:tc>
        <w:tc>
          <w:tcPr>
            <w:tcW w:type="dxa" w:w="4195"/>
            <w:vAlign w:val="center"/>
            <w:shd w:fill="E6ECF2"/>
          </w:tcPr>
          <w:p>
            <w:pPr>
              <w:keepNext/>
              <w:spacing w:line="271" w:lineRule="auto" w:after="20" w:before="20"/>
            </w:pPr>
            <w:r>
              <w:rPr>
                <w:b/>
                <w:sz w:val="19"/>
              </w:rPr>
              <w:t>待检验假设</w:t>
            </w:r>
          </w:p>
        </w:tc>
        <w:tc>
          <w:tcPr>
            <w:tcW w:type="dxa" w:w="4422"/>
            <w:vAlign w:val="center"/>
            <w:shd w:fill="E6ECF2"/>
          </w:tcPr>
          <w:p>
            <w:pPr>
              <w:keepNext/>
              <w:spacing w:line="271" w:lineRule="auto" w:after="20" w:before="20"/>
            </w:pPr>
            <w:r>
              <w:rPr>
                <w:b/>
                <w:sz w:val="19"/>
              </w:rPr>
              <w:t>能够否定该假设的结果</w:t>
            </w:r>
          </w:p>
        </w:tc>
      </w:tr>
      <w:tr>
        <w:trPr>
          <w:cantSplit/>
        </w:trPr>
        <w:tc>
          <w:tcPr>
            <w:tcW w:type="dxa" w:w="680"/>
            <w:vAlign w:val="center"/>
          </w:tcPr>
          <w:p>
            <w:pPr>
              <w:keepNext/>
              <w:spacing w:line="271" w:lineRule="auto" w:after="20" w:before="20"/>
              <w:jc w:val="center"/>
            </w:pPr>
            <w:r>
              <w:rPr>
                <w:b w:val="0"/>
                <w:sz w:val="19"/>
              </w:rPr>
              <w:t>H1</w:t>
            </w:r>
          </w:p>
        </w:tc>
        <w:tc>
          <w:tcPr>
            <w:tcW w:type="dxa" w:w="4195"/>
            <w:vAlign w:val="center"/>
          </w:tcPr>
          <w:p>
            <w:pPr>
              <w:keepNext/>
              <w:spacing w:line="271" w:lineRule="auto" w:after="20" w:before="20"/>
            </w:pPr>
            <w:r>
              <w:rPr>
                <w:b w:val="0"/>
                <w:sz w:val="19"/>
              </w:rPr>
              <w:t>固定证据与动作后，同源副本或共享前提的后果呈现会提高错误前提的采纳程度。</w:t>
            </w:r>
          </w:p>
        </w:tc>
        <w:tc>
          <w:tcPr>
            <w:tcW w:type="dxa" w:w="4422"/>
            <w:vAlign w:val="center"/>
          </w:tcPr>
          <w:p>
            <w:pPr>
              <w:keepNext/>
              <w:spacing w:line="271" w:lineRule="auto" w:after="20" w:before="20"/>
            </w:pPr>
            <w:r>
              <w:rPr>
                <w:b w:val="0"/>
                <w:sz w:val="19"/>
              </w:rPr>
              <w:t>效应在等长和位置控制后消失，或不能跨模型复现。</w:t>
            </w:r>
          </w:p>
        </w:tc>
      </w:tr>
      <w:tr>
        <w:trPr>
          <w:cantSplit/>
        </w:trPr>
        <w:tc>
          <w:tcPr>
            <w:tcW w:type="dxa" w:w="680"/>
            <w:vAlign w:val="center"/>
          </w:tcPr>
          <w:p>
            <w:pPr>
              <w:keepNext w:val="0"/>
              <w:spacing w:line="271" w:lineRule="auto" w:after="20" w:before="20"/>
              <w:jc w:val="center"/>
            </w:pPr>
            <w:r>
              <w:rPr>
                <w:b w:val="0"/>
                <w:sz w:val="19"/>
              </w:rPr>
              <w:t>H2</w:t>
            </w:r>
          </w:p>
        </w:tc>
        <w:tc>
          <w:tcPr>
            <w:tcW w:type="dxa" w:w="4195"/>
            <w:vAlign w:val="center"/>
          </w:tcPr>
          <w:p>
            <w:pPr>
              <w:keepNext w:val="0"/>
              <w:spacing w:line="271" w:lineRule="auto" w:after="20" w:before="20"/>
            </w:pPr>
            <w:r>
              <w:rPr>
                <w:b w:val="0"/>
                <w:sz w:val="19"/>
              </w:rPr>
              <w:t>逐轨迹边际校准不足以消除共享来源下的信念或决策偏差。</w:t>
            </w:r>
          </w:p>
        </w:tc>
        <w:tc>
          <w:tcPr>
            <w:tcW w:type="dxa" w:w="4422"/>
            <w:vAlign w:val="center"/>
          </w:tcPr>
          <w:p>
            <w:pPr>
              <w:keepNext w:val="0"/>
              <w:spacing w:line="271" w:lineRule="auto" w:after="20" w:before="20"/>
            </w:pPr>
            <w:r>
              <w:rPr>
                <w:b w:val="0"/>
                <w:sz w:val="19"/>
              </w:rPr>
              <w:t>充分校准的逐轨迹基线已覆盖全部改善。</w:t>
            </w:r>
          </w:p>
        </w:tc>
      </w:tr>
      <w:tr>
        <w:trPr>
          <w:cantSplit/>
        </w:trPr>
        <w:tc>
          <w:tcPr>
            <w:tcW w:type="dxa" w:w="680"/>
            <w:vAlign w:val="center"/>
          </w:tcPr>
          <w:p>
            <w:pPr>
              <w:keepNext w:val="0"/>
              <w:spacing w:line="271" w:lineRule="auto" w:after="20" w:before="20"/>
              <w:jc w:val="center"/>
            </w:pPr>
            <w:r>
              <w:rPr>
                <w:b w:val="0"/>
                <w:sz w:val="19"/>
              </w:rPr>
              <w:t>H3</w:t>
            </w:r>
          </w:p>
        </w:tc>
        <w:tc>
          <w:tcPr>
            <w:tcW w:type="dxa" w:w="4195"/>
            <w:vAlign w:val="center"/>
          </w:tcPr>
          <w:p>
            <w:pPr>
              <w:keepNext w:val="0"/>
              <w:spacing w:line="271" w:lineRule="auto" w:after="20" w:before="20"/>
            </w:pPr>
            <w:r>
              <w:rPr>
                <w:b w:val="0"/>
                <w:sz w:val="19"/>
              </w:rPr>
              <w:t>来源保持可降低无信息复制导致的决策偏移，并保留真正新增模拟样本的价值。</w:t>
            </w:r>
          </w:p>
        </w:tc>
        <w:tc>
          <w:tcPr>
            <w:tcW w:type="dxa" w:w="4422"/>
            <w:vAlign w:val="center"/>
          </w:tcPr>
          <w:p>
            <w:pPr>
              <w:keepNext w:val="0"/>
              <w:spacing w:line="271" w:lineRule="auto" w:after="20" w:before="20"/>
            </w:pPr>
            <w:r>
              <w:rPr>
                <w:b w:val="0"/>
                <w:sz w:val="19"/>
              </w:rPr>
              <w:t>依赖处理仅靠忽略预演实现稳定，或破坏采样收益。</w:t>
            </w:r>
          </w:p>
        </w:tc>
      </w:tr>
      <w:tr>
        <w:trPr>
          <w:cantSplit/>
        </w:trPr>
        <w:tc>
          <w:tcPr>
            <w:tcW w:type="dxa" w:w="680"/>
            <w:vAlign w:val="center"/>
          </w:tcPr>
          <w:p>
            <w:pPr>
              <w:keepNext w:val="0"/>
              <w:spacing w:line="271" w:lineRule="auto" w:after="20" w:before="20"/>
              <w:jc w:val="center"/>
            </w:pPr>
            <w:r>
              <w:rPr>
                <w:b w:val="0"/>
                <w:sz w:val="19"/>
              </w:rPr>
              <w:t>H4</w:t>
            </w:r>
          </w:p>
        </w:tc>
        <w:tc>
          <w:tcPr>
            <w:tcW w:type="dxa" w:w="4195"/>
            <w:vAlign w:val="center"/>
          </w:tcPr>
          <w:p>
            <w:pPr>
              <w:keepNext w:val="0"/>
              <w:spacing w:line="271" w:lineRule="auto" w:after="20" w:before="20"/>
            </w:pPr>
            <w:r>
              <w:rPr>
                <w:b w:val="0"/>
                <w:sz w:val="19"/>
              </w:rPr>
              <w:t>自然任务中存在足够多的共享前提失效，使机制修复具有任务收益。</w:t>
            </w:r>
          </w:p>
        </w:tc>
        <w:tc>
          <w:tcPr>
            <w:tcW w:type="dxa" w:w="4422"/>
            <w:vAlign w:val="center"/>
          </w:tcPr>
          <w:p>
            <w:pPr>
              <w:keepNext w:val="0"/>
              <w:spacing w:line="271" w:lineRule="auto" w:after="20" w:before="20"/>
            </w:pPr>
            <w:r>
              <w:rPr>
                <w:b w:val="0"/>
                <w:sz w:val="19"/>
              </w:rPr>
              <w:t>自然发生率极低，或收益完全来自额外预算与标签。</w:t>
            </w:r>
          </w:p>
        </w:tc>
      </w:tr>
    </w:tbl>
    <w:p>
      <w:pPr>
        <w:spacing w:after="20"/>
      </w:pPr>
    </w:p>
    <w:p>
      <w:pPr>
        <w:pStyle w:val="Heading2"/>
      </w:pPr>
      <w:r>
        <w:t>1.3 研究成功的证据链</w:t>
      </w:r>
    </w:p>
    <w:p>
      <w:r>
        <w:rPr/>
        <w:t>完整证据链应依次展示：生成来源的共同性、受控呈现干预对信念的影响、信念变化与动作变化之间的联系，以及真实环境中的结果损害和修复。注意力权重变化本身只能证明内部表征的敏感性；成功率相关性也不能单独定位共享前提机制。至少需要受控干预与实际执行结果共同支持结论。</w:t>
      </w:r>
    </w:p>
    <w:p>
      <w:r>
        <w:rPr/>
        <w:t>最有说服力的结果将是在冻结世界模型后改善预测的使用方式，而非通过重新训练世界模型提高预测准确率。若实验不能分离这两种因素，则论文应缩小结论。</w:t>
      </w:r>
    </w:p>
    <w:p>
      <w:pPr>
        <w:pStyle w:val="Heading1"/>
      </w:pPr>
      <w:bookmarkStart w:id="41" w:name="Sad227f8a1a1f463"/>
      <w:r>
        <w:t>2 相关工作与创新边界</w:t>
      </w:r>
      <w:bookmarkEnd w:id="41"/>
    </w:p>
    <w:p>
      <w:pPr>
        <w:pStyle w:val="Heading2"/>
      </w:pPr>
      <w:r>
        <w:t>2.1 世界模型校准与面向决策的建模</w:t>
      </w:r>
    </w:p>
    <w:p>
      <w:r>
        <w:rPr/>
        <w:t>PETS 使用概率动力学与集成处理模型和转移不确定性 [1]；Calibrated Model-Based Deep Reinforcement Learning 研究模型预测校准对规划的作用 [2]。Value-Aware Model Learning 和 decision calibration 分别从价值函数及下游决策要求出发定义模型目标 [3,4]。因此，本方案不将不确定性分解、校准用于规划、或关注决策相关误差作为首次提出的概念。</w:t>
      </w:r>
    </w:p>
    <w:p>
      <w:r>
        <w:rPr/>
        <w:t>AD-WM 关注动作差异及反事实模型预测控制 [5]，与“模型平均误差未必反映动作选择质量”的动机接近。When to Trust Imagination 在世界动作模型中构建未来可信度验证并适配执行长度 [6]。WorldEvolver 通过真实反馈更新文本世界模型，并用生成概率进行选择性预演 [7]。这些工作使简单的“世界模型加验证器”组合缺乏充分创新性。</w:t>
      </w:r>
    </w:p>
    <w:p>
      <w:pPr>
        <w:pStyle w:val="Heading2"/>
      </w:pPr>
      <w:r>
        <w:t>2.2 依赖证据与自我确认</w:t>
      </w:r>
    </w:p>
    <w:p>
      <w:r>
        <w:rPr/>
        <w:t>数据融合领域早已研究复制来源与真值发现 [8]。Counting Copies as Evidence 是 2026 年公开的立场预印本，直接讨论 RAG 中相关证据导致的置信膨胀、来源干预及依赖感知聚合 [9]。因此，重复证据可能导致过度自信这一宽泛判断不能作为本研究的新发现。本文需要建立的差异是：来源依赖由世界模型在行动规划中内生产生，不同分支可以具有不同动作和不同后果，且必须在纠正信念聚合的同时保留条件采样的效益。</w:t>
      </w:r>
    </w:p>
    <w:p>
      <w:pPr>
        <w:pStyle w:val="Heading2"/>
      </w:pPr>
      <w:r>
        <w:t>2.3 Jev 的角色与证据限制</w:t>
      </w:r>
    </w:p>
    <w:p>
      <w:r>
        <w:rPr/>
        <w:t>TypeSafe 官方将 Jev 描述为面向结构化概率决策的模型 [10,25]。已有独立预印本考察其判别性能以及选项名称对语义判定的影响 [11,12]。接口保证与任务语义正确性是不同性质，不能据“类型安全”推断概率在本研究任务中已校准。LeJudge 项目已经尝试把 Jev 与潜在世界模型和规划器组合 [13]，进一步说明产品组合本身不是论文贡献。</w:t>
      </w:r>
    </w:p>
    <w:p>
      <w:r>
        <w:rPr/>
        <w:t>本研究只使用公开接口，不假设能够修改 Jev 内部注意力或复现 RLCD。所有主结论必须同时由开源评分器实现；Jev 的实用价值通过任务性能、校准、延迟和费用的替换实验衡量。专有服务的模型版本与请求日期应完整记录。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57"/>
        <w:gridCol w:w="2835"/>
        <w:gridCol w:w="4706"/>
      </w:tblGrid>
      <w:tr>
        <w:trPr>
          <w:cantSplit/>
          <w:tblHeader/>
        </w:trPr>
        <w:tc>
          <w:tcPr>
            <w:tcW w:type="dxa" w:w="1757"/>
            <w:vAlign w:val="center"/>
            <w:shd w:fill="E6ECF2"/>
          </w:tcPr>
          <w:p>
            <w:pPr>
              <w:keepNext/>
              <w:spacing w:line="271" w:lineRule="auto" w:after="20" w:before="20"/>
              <w:jc w:val="center"/>
            </w:pPr>
            <w:r>
              <w:rPr>
                <w:b/>
                <w:sz w:val="19"/>
              </w:rPr>
              <w:t>已有方向</w:t>
            </w:r>
          </w:p>
        </w:tc>
        <w:tc>
          <w:tcPr>
            <w:tcW w:type="dxa" w:w="2835"/>
            <w:vAlign w:val="center"/>
            <w:shd w:fill="E6ECF2"/>
          </w:tcPr>
          <w:p>
            <w:pPr>
              <w:keepNext/>
              <w:spacing w:line="271" w:lineRule="auto" w:after="20" w:before="20"/>
            </w:pPr>
            <w:r>
              <w:rPr>
                <w:b/>
                <w:sz w:val="19"/>
              </w:rPr>
              <w:t>本方案继承的部分</w:t>
            </w:r>
          </w:p>
        </w:tc>
        <w:tc>
          <w:tcPr>
            <w:tcW w:type="dxa" w:w="4706"/>
            <w:vAlign w:val="center"/>
            <w:shd w:fill="E6ECF2"/>
          </w:tcPr>
          <w:p>
            <w:pPr>
              <w:keepNext/>
              <w:spacing w:line="271" w:lineRule="auto" w:after="20" w:before="20"/>
            </w:pPr>
            <w:r>
              <w:rPr>
                <w:b/>
                <w:sz w:val="19"/>
              </w:rPr>
              <w:t>拟检验的额外问题</w:t>
            </w:r>
          </w:p>
        </w:tc>
      </w:tr>
      <w:tr>
        <w:trPr>
          <w:cantSplit/>
        </w:trPr>
        <w:tc>
          <w:tcPr>
            <w:tcW w:type="dxa" w:w="1757"/>
            <w:vAlign w:val="center"/>
          </w:tcPr>
          <w:p>
            <w:pPr>
              <w:keepNext/>
              <w:spacing w:line="271" w:lineRule="auto" w:after="20" w:before="20"/>
              <w:jc w:val="center"/>
            </w:pPr>
            <w:r>
              <w:rPr>
                <w:b w:val="0"/>
                <w:sz w:val="19"/>
              </w:rPr>
              <w:t>不确定性规划 [1,2]</w:t>
            </w:r>
          </w:p>
        </w:tc>
        <w:tc>
          <w:tcPr>
            <w:tcW w:type="dxa" w:w="2835"/>
            <w:vAlign w:val="center"/>
          </w:tcPr>
          <w:p>
            <w:pPr>
              <w:keepNext/>
              <w:spacing w:line="271" w:lineRule="auto" w:after="20" w:before="20"/>
            </w:pPr>
            <w:r>
              <w:rPr>
                <w:b w:val="0"/>
                <w:sz w:val="19"/>
              </w:rPr>
              <w:t>条件模拟与信念加权。</w:t>
            </w:r>
          </w:p>
        </w:tc>
        <w:tc>
          <w:tcPr>
            <w:tcW w:type="dxa" w:w="4706"/>
            <w:vAlign w:val="center"/>
          </w:tcPr>
          <w:p>
            <w:pPr>
              <w:keepNext/>
              <w:spacing w:line="271" w:lineRule="auto" w:after="20" w:before="20"/>
            </w:pPr>
            <w:r>
              <w:rPr>
                <w:b w:val="0"/>
                <w:sz w:val="19"/>
              </w:rPr>
              <w:t>生成后代被再次用作根前提证据时的行为后果。</w:t>
            </w:r>
          </w:p>
        </w:tc>
      </w:tr>
      <w:tr>
        <w:trPr>
          <w:cantSplit/>
        </w:trPr>
        <w:tc>
          <w:tcPr>
            <w:tcW w:type="dxa" w:w="1757"/>
            <w:vAlign w:val="center"/>
          </w:tcPr>
          <w:p>
            <w:pPr>
              <w:keepNext w:val="0"/>
              <w:spacing w:line="271" w:lineRule="auto" w:after="20" w:before="20"/>
              <w:jc w:val="center"/>
            </w:pPr>
            <w:r>
              <w:rPr>
                <w:b w:val="0"/>
                <w:sz w:val="19"/>
              </w:rPr>
              <w:t>决策相关建模 [3–5]</w:t>
            </w:r>
          </w:p>
        </w:tc>
        <w:tc>
          <w:tcPr>
            <w:tcW w:type="dxa" w:w="2835"/>
            <w:vAlign w:val="center"/>
          </w:tcPr>
          <w:p>
            <w:pPr>
              <w:keepNext w:val="0"/>
              <w:spacing w:line="271" w:lineRule="auto" w:after="20" w:before="20"/>
            </w:pPr>
            <w:r>
              <w:rPr>
                <w:b w:val="0"/>
                <w:sz w:val="19"/>
              </w:rPr>
              <w:t>最终评价以动作结果为准。</w:t>
            </w:r>
          </w:p>
        </w:tc>
        <w:tc>
          <w:tcPr>
            <w:tcW w:type="dxa" w:w="4706"/>
            <w:vAlign w:val="center"/>
          </w:tcPr>
          <w:p>
            <w:pPr>
              <w:keepNext w:val="0"/>
              <w:spacing w:line="271" w:lineRule="auto" w:after="20" w:before="20"/>
            </w:pPr>
            <w:r>
              <w:rPr>
                <w:b w:val="0"/>
                <w:sz w:val="19"/>
              </w:rPr>
              <w:t>冻结预测器后，仅聚合结构是否造成或修复失效。</w:t>
            </w:r>
          </w:p>
        </w:tc>
      </w:tr>
      <w:tr>
        <w:trPr>
          <w:cantSplit/>
        </w:trPr>
        <w:tc>
          <w:tcPr>
            <w:tcW w:type="dxa" w:w="1757"/>
            <w:vAlign w:val="center"/>
          </w:tcPr>
          <w:p>
            <w:pPr>
              <w:keepNext w:val="0"/>
              <w:spacing w:line="271" w:lineRule="auto" w:after="20" w:before="20"/>
              <w:jc w:val="center"/>
            </w:pPr>
            <w:r>
              <w:rPr>
                <w:b w:val="0"/>
                <w:sz w:val="19"/>
              </w:rPr>
              <w:t>可信预演 [6,7]</w:t>
            </w:r>
          </w:p>
        </w:tc>
        <w:tc>
          <w:tcPr>
            <w:tcW w:type="dxa" w:w="2835"/>
            <w:vAlign w:val="center"/>
          </w:tcPr>
          <w:p>
            <w:pPr>
              <w:keepNext w:val="0"/>
              <w:spacing w:line="271" w:lineRule="auto" w:after="20" w:before="20"/>
            </w:pPr>
            <w:r>
              <w:rPr>
                <w:b w:val="0"/>
                <w:sz w:val="19"/>
              </w:rPr>
              <w:t>验证器与选择性执行。</w:t>
            </w:r>
          </w:p>
        </w:tc>
        <w:tc>
          <w:tcPr>
            <w:tcW w:type="dxa" w:w="4706"/>
            <w:vAlign w:val="center"/>
          </w:tcPr>
          <w:p>
            <w:pPr>
              <w:keepNext w:val="0"/>
              <w:spacing w:line="271" w:lineRule="auto" w:after="20" w:before="20"/>
            </w:pPr>
            <w:r>
              <w:rPr>
                <w:b w:val="0"/>
                <w:sz w:val="19"/>
              </w:rPr>
              <w:t>逐条可信度无法表示的跨分支共同来源。</w:t>
            </w:r>
          </w:p>
        </w:tc>
      </w:tr>
      <w:tr>
        <w:trPr>
          <w:cantSplit/>
        </w:trPr>
        <w:tc>
          <w:tcPr>
            <w:tcW w:type="dxa" w:w="1757"/>
            <w:vAlign w:val="center"/>
          </w:tcPr>
          <w:p>
            <w:pPr>
              <w:keepNext w:val="0"/>
              <w:spacing w:line="271" w:lineRule="auto" w:after="20" w:before="20"/>
              <w:jc w:val="center"/>
            </w:pPr>
            <w:r>
              <w:rPr>
                <w:b w:val="0"/>
                <w:sz w:val="19"/>
              </w:rPr>
              <w:t>依赖证据融合 [8,9]</w:t>
            </w:r>
          </w:p>
        </w:tc>
        <w:tc>
          <w:tcPr>
            <w:tcW w:type="dxa" w:w="2835"/>
            <w:vAlign w:val="center"/>
          </w:tcPr>
          <w:p>
            <w:pPr>
              <w:keepNext w:val="0"/>
              <w:spacing w:line="271" w:lineRule="auto" w:after="20" w:before="20"/>
            </w:pPr>
            <w:r>
              <w:rPr>
                <w:b w:val="0"/>
                <w:sz w:val="19"/>
              </w:rPr>
              <w:t>避免将复制当作独立支持。</w:t>
            </w:r>
          </w:p>
        </w:tc>
        <w:tc>
          <w:tcPr>
            <w:tcW w:type="dxa" w:w="4706"/>
            <w:vAlign w:val="center"/>
          </w:tcPr>
          <w:p>
            <w:pPr>
              <w:keepNext w:val="0"/>
              <w:spacing w:line="271" w:lineRule="auto" w:after="20" w:before="20"/>
            </w:pPr>
            <w:r>
              <w:rPr>
                <w:b w:val="0"/>
                <w:sz w:val="19"/>
              </w:rPr>
              <w:t>动作条件后果、真实执行损失与合法采样收益的统一检验。</w:t>
            </w:r>
          </w:p>
        </w:tc>
      </w:tr>
      <w:tr>
        <w:trPr>
          <w:cantSplit/>
        </w:trPr>
        <w:tc>
          <w:tcPr>
            <w:tcW w:type="dxa" w:w="1757"/>
            <w:vAlign w:val="center"/>
          </w:tcPr>
          <w:p>
            <w:pPr>
              <w:keepNext w:val="0"/>
              <w:spacing w:line="271" w:lineRule="auto" w:after="20" w:before="20"/>
              <w:jc w:val="center"/>
            </w:pPr>
            <w:r>
              <w:rPr>
                <w:b w:val="0"/>
                <w:sz w:val="19"/>
              </w:rPr>
              <w:t>Jev 加规划 [13]</w:t>
            </w:r>
          </w:p>
        </w:tc>
        <w:tc>
          <w:tcPr>
            <w:tcW w:type="dxa" w:w="2835"/>
            <w:vAlign w:val="center"/>
          </w:tcPr>
          <w:p>
            <w:pPr>
              <w:keepNext w:val="0"/>
              <w:spacing w:line="271" w:lineRule="auto" w:after="20" w:before="20"/>
            </w:pPr>
            <w:r>
              <w:rPr>
                <w:b w:val="0"/>
                <w:sz w:val="19"/>
              </w:rPr>
              <w:t>结构化低成本评分接口。</w:t>
            </w:r>
          </w:p>
        </w:tc>
        <w:tc>
          <w:tcPr>
            <w:tcW w:type="dxa" w:w="4706"/>
            <w:vAlign w:val="center"/>
          </w:tcPr>
          <w:p>
            <w:pPr>
              <w:keepNext w:val="0"/>
              <w:spacing w:line="271" w:lineRule="auto" w:after="20" w:before="20"/>
            </w:pPr>
            <w:r>
              <w:rPr>
                <w:b w:val="0"/>
                <w:sz w:val="19"/>
              </w:rPr>
              <w:t>供应商无关的机制、可复现实验与可证伪假设。</w:t>
            </w:r>
          </w:p>
        </w:tc>
      </w:tr>
    </w:tbl>
    <w:p>
      <w:pPr>
        <w:spacing w:after="20"/>
      </w:pPr>
    </w:p>
    <w:p>
      <w:pPr>
        <w:pStyle w:val="Heading1"/>
      </w:pPr>
      <w:bookmarkStart w:id="51" w:name="Sa8e24eace16de4d"/>
      <w:r>
        <w:t>3 问题定义与理论约束</w:t>
      </w:r>
      <w:bookmarkEnd w:id="51"/>
    </w:p>
    <w:p>
      <w:pPr>
        <w:pStyle w:val="Heading2"/>
      </w:pPr>
      <w:r>
        <w:t>3.1 部分可观测任务与假设配置</w:t>
      </w:r>
    </w:p>
    <w:p>
      <w:r>
        <w:rPr/>
        <w:t>任务可表示为部分可观测决策过程。真实状态为 sₜ，观测为 oₜ，动作集合为 Aₜ，观测与行动历史为 Eₜ。世界模型参数 θ 在主实验中冻结。H 表示当前任务中尚未观测的离散世界配置，例如门锁状态与钥匙可用性的联合配置。第一阶段枚举少量互斥且完备的 H 取值；不能把彼此重叠的二元命题直接归一化成互斥概率。</w:t>
      </w:r>
    </w:p>
    <w:p>
      <w:pPr>
        <w:spacing w:before="100" w:after="140"/>
        <w:jc w:val="center"/>
      </w:pPr>
      <m:oMath>
        <m:sSub>
          <m:e>
            <m:r>
              <m:t>q</m:t>
            </m:r>
          </m:e>
          <m:sub>
            <m:r>
              <m:t>t</m:t>
            </m:r>
          </m:sub>
        </m:sSub>
        <m:r>
          <m:t> (h) ≈ P(H = h | </m:t>
        </m:r>
        <m:sSub>
          <m:e>
            <m:r>
              <m:t>E</m:t>
            </m:r>
          </m:e>
          <m:sub>
            <m:r>
              <m:t>t</m:t>
            </m:r>
          </m:sub>
        </m:sSub>
        <m:r>
          <m:t>, θ),   </m:t>
        </m:r>
        <m:nary>
          <m:naryPr>
            <m:chr m:val="∑"/>
            <m:limLoc m:val="undOvr"/>
          </m:naryPr>
          <m:sub>
            <m:r>
              <m:t>h∈ℋ</m:t>
            </m:r>
          </m:sub>
          <m:sup>
            <m:r>
              <m:t/>
            </m:r>
          </m:sup>
          <m:e>
            <m:sSub>
              <m:e>
                <m:r>
                  <m:t>q</m:t>
                </m:r>
              </m:e>
              <m:sub>
                <m:r>
                  <m:t>t</m:t>
                </m:r>
              </m:sub>
            </m:sSub>
            <m:r>
              <m:t>(h)</m:t>
            </m:r>
          </m:e>
        </m:nary>
        <m:r>
          <m:t> = 1</m:t>
        </m:r>
      </m:oMath>
      <w:r>
        <w:rPr>
          <w:sz w:val="20"/>
        </w:rPr>
        <w:t xml:space="preserve">   (1)</w:t>
      </w:r>
    </w:p>
    <w:p>
      <w:r>
        <w:rPr/>
        <w:t>若假设集合不能覆盖全部可能状态，需要显式残余类别 other，并报告其概率质量及条件价值估计方式。第一版最多使用 1–3 个二元根变量，对其联合状态枚举；存在相关性时不能将各变量边际概率直接相乘。公开任务中的更大状态空间采用局部假设集近似，并单独报告假设覆盖率。</w:t>
      </w:r>
    </w:p>
    <w:p>
      <w:r>
        <w:rPr/>
        <w:t>机制主集采用完备枚举，因此不需要 other。公开任务中，other 表示未建模配置的集合，不能直接视为可预演的单个状态。若其条件价值未知，对该部分使用预注册的可行价值下界并报告上下界，此时动作分数称为保守效用；若残余质量超过开发集冻结的阈值，则执行合法观察或无预演回退策略。不得删除该概率后重新归一化。</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28"/>
        <w:gridCol w:w="7370"/>
      </w:tblGrid>
      <w:tr>
        <w:trPr>
          <w:cantSplit/>
          <w:tblHeader/>
        </w:trPr>
        <w:tc>
          <w:tcPr>
            <w:tcW w:type="dxa" w:w="1928"/>
            <w:vAlign w:val="center"/>
            <w:shd w:fill="E6ECF2"/>
          </w:tcPr>
          <w:p>
            <w:pPr>
              <w:keepNext/>
              <w:spacing w:line="271" w:lineRule="auto" w:after="20" w:before="20"/>
              <w:jc w:val="center"/>
            </w:pPr>
            <w:r>
              <w:rPr>
                <w:b/>
                <w:sz w:val="19"/>
              </w:rPr>
              <w:t>符号或对象</w:t>
            </w:r>
          </w:p>
        </w:tc>
        <w:tc>
          <w:tcPr>
            <w:tcW w:type="dxa" w:w="7370"/>
            <w:vAlign w:val="center"/>
            <w:shd w:fill="E6ECF2"/>
          </w:tcPr>
          <w:p>
            <w:pPr>
              <w:keepNext/>
              <w:spacing w:line="271" w:lineRule="auto" w:after="20" w:before="20"/>
            </w:pPr>
            <w:r>
              <w:rPr>
                <w:b/>
                <w:sz w:val="19"/>
              </w:rPr>
              <w:t>含义与约束</w:t>
            </w:r>
          </w:p>
        </w:tc>
      </w:tr>
      <w:tr>
        <w:trPr>
          <w:cantSplit/>
        </w:trPr>
        <w:tc>
          <w:tcPr>
            <w:tcW w:type="dxa" w:w="1928"/>
            <w:vAlign w:val="center"/>
          </w:tcPr>
          <w:p>
            <w:pPr>
              <w:keepNext/>
              <w:spacing w:line="271" w:lineRule="auto" w:after="20" w:before="20"/>
              <w:jc w:val="center"/>
            </w:pPr>
            <w:r>
              <w:rPr>
                <w:b w:val="0"/>
                <w:sz w:val="19"/>
              </w:rPr>
              <w:t>Eₜ</w:t>
            </w:r>
          </w:p>
        </w:tc>
        <w:tc>
          <w:tcPr>
            <w:tcW w:type="dxa" w:w="7370"/>
            <w:vAlign w:val="center"/>
          </w:tcPr>
          <w:p>
            <w:pPr>
              <w:keepNext/>
              <w:spacing w:line="271" w:lineRule="auto" w:after="20" w:before="20"/>
            </w:pPr>
            <w:r>
              <w:rPr>
                <w:b w:val="0"/>
                <w:sz w:val="19"/>
              </w:rPr>
              <w:t>截至时刻 t 实际取得的观察、合法工具结果及其来源标识。</w:t>
            </w:r>
          </w:p>
        </w:tc>
      </w:tr>
      <w:tr>
        <w:trPr>
          <w:cantSplit/>
        </w:trPr>
        <w:tc>
          <w:tcPr>
            <w:tcW w:type="dxa" w:w="1928"/>
            <w:vAlign w:val="center"/>
          </w:tcPr>
          <w:p>
            <w:pPr>
              <w:keepNext w:val="0"/>
              <w:spacing w:line="271" w:lineRule="auto" w:after="20" w:before="20"/>
              <w:jc w:val="center"/>
            </w:pPr>
            <w:r>
              <w:rPr>
                <w:b w:val="0"/>
                <w:sz w:val="19"/>
              </w:rPr>
              <w:t>H 与 qₜ</w:t>
            </w:r>
          </w:p>
        </w:tc>
        <w:tc>
          <w:tcPr>
            <w:tcW w:type="dxa" w:w="7370"/>
            <w:vAlign w:val="center"/>
          </w:tcPr>
          <w:p>
            <w:pPr>
              <w:keepNext w:val="0"/>
              <w:spacing w:line="271" w:lineRule="auto" w:after="20" w:before="20"/>
            </w:pPr>
            <w:r>
              <w:rPr>
                <w:b w:val="0"/>
                <w:sz w:val="19"/>
              </w:rPr>
              <w:t>互斥世界配置与基于证据的信念分布；并非 attention 权重。</w:t>
            </w:r>
          </w:p>
        </w:tc>
      </w:tr>
      <w:tr>
        <w:trPr>
          <w:cantSplit/>
        </w:trPr>
        <w:tc>
          <w:tcPr>
            <w:tcW w:type="dxa" w:w="1928"/>
            <w:vAlign w:val="center"/>
          </w:tcPr>
          <w:p>
            <w:pPr>
              <w:keepNext w:val="0"/>
              <w:spacing w:line="271" w:lineRule="auto" w:after="20" w:before="20"/>
              <w:jc w:val="center"/>
            </w:pPr>
            <w:r>
              <w:rPr>
                <w:b w:val="0"/>
                <w:sz w:val="19"/>
              </w:rPr>
              <w:t>a 与 j</w:t>
            </w:r>
          </w:p>
        </w:tc>
        <w:tc>
          <w:tcPr>
            <w:tcW w:type="dxa" w:w="7370"/>
            <w:vAlign w:val="center"/>
          </w:tcPr>
          <w:p>
            <w:pPr>
              <w:keepNext w:val="0"/>
              <w:spacing w:line="271" w:lineRule="auto" w:after="20" w:before="20"/>
            </w:pPr>
            <w:r>
              <w:rPr>
                <w:b w:val="0"/>
                <w:sz w:val="19"/>
              </w:rPr>
              <w:t>候选动作或短动作序列；j 为独立条件模拟样本标识。</w:t>
            </w:r>
          </w:p>
        </w:tc>
      </w:tr>
      <w:tr>
        <w:trPr>
          <w:cantSplit/>
        </w:trPr>
        <w:tc>
          <w:tcPr>
            <w:tcW w:type="dxa" w:w="1928"/>
            <w:vAlign w:val="center"/>
          </w:tcPr>
          <w:p>
            <w:pPr>
              <w:keepNext w:val="0"/>
              <w:spacing w:line="271" w:lineRule="auto" w:after="20" w:before="20"/>
              <w:jc w:val="center"/>
            </w:pPr>
            <w:r>
              <w:rPr>
                <w:b w:val="0"/>
                <w:sz w:val="19"/>
              </w:rPr>
              <w:t>τₕₐⱼ</w:t>
            </w:r>
          </w:p>
        </w:tc>
        <w:tc>
          <w:tcPr>
            <w:tcW w:type="dxa" w:w="7370"/>
            <w:vAlign w:val="center"/>
          </w:tcPr>
          <w:p>
            <w:pPr>
              <w:keepNext w:val="0"/>
              <w:spacing w:line="271" w:lineRule="auto" w:after="20" w:before="20"/>
            </w:pPr>
            <w:r>
              <w:rPr>
                <w:b w:val="0"/>
                <w:sz w:val="19"/>
              </w:rPr>
              <w:t>给定配置 h 与动作 a 的生成轨迹，含唯一 sample_id 和来源关系。</w:t>
            </w:r>
          </w:p>
        </w:tc>
      </w:tr>
      <w:tr>
        <w:trPr>
          <w:cantSplit/>
        </w:trPr>
        <w:tc>
          <w:tcPr>
            <w:tcW w:type="dxa" w:w="1928"/>
            <w:vAlign w:val="center"/>
          </w:tcPr>
          <w:p>
            <w:pPr>
              <w:keepNext w:val="0"/>
              <w:spacing w:line="271" w:lineRule="auto" w:after="20" w:before="20"/>
              <w:jc w:val="center"/>
            </w:pPr>
            <w:r>
              <w:rPr>
                <w:b w:val="0"/>
                <w:sz w:val="19"/>
              </w:rPr>
              <w:t>G</w:t>
            </w:r>
          </w:p>
        </w:tc>
        <w:tc>
          <w:tcPr>
            <w:tcW w:type="dxa" w:w="7370"/>
            <w:vAlign w:val="center"/>
          </w:tcPr>
          <w:p>
            <w:pPr>
              <w:keepNext w:val="0"/>
              <w:spacing w:line="271" w:lineRule="auto" w:after="20" w:before="20"/>
            </w:pPr>
            <w:r>
              <w:rPr>
                <w:b w:val="0"/>
                <w:sz w:val="19"/>
              </w:rPr>
              <w:t>证据、假设与生成后果的来源图；不是现实物理因果图。</w:t>
            </w:r>
          </w:p>
        </w:tc>
      </w:tr>
      <w:tr>
        <w:trPr>
          <w:cantSplit/>
        </w:trPr>
        <w:tc>
          <w:tcPr>
            <w:tcW w:type="dxa" w:w="1928"/>
            <w:vAlign w:val="center"/>
          </w:tcPr>
          <w:p>
            <w:pPr>
              <w:keepNext w:val="0"/>
              <w:spacing w:line="271" w:lineRule="auto" w:after="20" w:before="20"/>
              <w:jc w:val="center"/>
            </w:pPr>
            <w:r>
              <w:rPr>
                <w:b w:val="0"/>
                <w:sz w:val="19"/>
              </w:rPr>
              <w:t>Yₕ 与 R</w:t>
            </w:r>
          </w:p>
        </w:tc>
        <w:tc>
          <w:tcPr>
            <w:tcW w:type="dxa" w:w="7370"/>
            <w:vAlign w:val="center"/>
          </w:tcPr>
          <w:p>
            <w:pPr>
              <w:keepNext w:val="0"/>
              <w:spacing w:line="271" w:lineRule="auto" w:after="20" w:before="20"/>
            </w:pPr>
            <w:r>
              <w:rPr>
                <w:b w:val="0"/>
                <w:sz w:val="19"/>
              </w:rPr>
              <w:t>由环境状态或合法验证结果产生的假设标签与真实任务回报。</w:t>
            </w:r>
          </w:p>
        </w:tc>
      </w:tr>
    </w:tbl>
    <w:p>
      <w:pPr>
        <w:spacing w:after="20"/>
      </w:pPr>
    </w:p>
    <w:p>
      <w:pPr>
        <w:pStyle w:val="Heading2"/>
      </w:pPr>
      <w:r>
        <w:t>3.2 无新信息条件与允许的更新</w:t>
      </w:r>
    </w:p>
    <w:p>
      <w:r>
        <w:rPr/>
        <w:t>设 D 是 Eₜ 与固定模型知识的确定性复制，或仅由这些信息和外生随机数生成、对真实 H 不含额外信息的内容。若满足条件独立 H ⟂ D | Eₜ,θ，则有以下标准概率恒等式。</w:t>
      </w:r>
    </w:p>
    <w:p>
      <w:pPr>
        <w:spacing w:before="100" w:after="140"/>
        <w:jc w:val="center"/>
      </w:pPr>
      <m:oMath>
        <m:r>
          <m:t>P(H | </m:t>
        </m:r>
        <m:sSub>
          <m:e>
            <m:r>
              <m:t>E</m:t>
            </m:r>
          </m:e>
          <m:sub>
            <m:r>
              <m:t>t</m:t>
            </m:r>
          </m:sub>
        </m:sSub>
        <m:r>
          <m:t>, θ, D) = P(H | </m:t>
        </m:r>
        <m:sSub>
          <m:e>
            <m:r>
              <m:t>E</m:t>
            </m:r>
          </m:e>
          <m:sub>
            <m:r>
              <m:t>t</m:t>
            </m:r>
          </m:sub>
        </m:sSub>
        <m:r>
          <m:t>, θ)</m:t>
        </m:r>
      </m:oMath>
      <w:r>
        <w:rPr>
          <w:sz w:val="20"/>
        </w:rPr>
        <w:t xml:space="preserve">   (2)</w:t>
      </w:r>
    </w:p>
    <w:p>
      <w:r>
        <w:rPr/>
        <w:t>式（2）是条件独立的直接结果，不作为新的概率论定理。它不能用来禁止近似模型因更充分计算、纠正推理错误或从已有知识中推导新结论而更新估计。实验中的严格无信息干预必须限于已知来源的复制与内容保持改写；新推导是否带来有效信息，应单独审计。</w:t>
      </w:r>
    </w:p>
    <w:p>
      <w:pPr>
        <w:pStyle w:val="Heading2"/>
      </w:pPr>
      <w:r>
        <w:t>3.3 条件采样与重复呈现的区别</w:t>
      </w:r>
    </w:p>
    <w:p>
      <w:pPr>
        <w:spacing w:before="100" w:after="140"/>
        <w:jc w:val="center"/>
      </w:pPr>
      <m:oMath>
        <m:sSub>
          <m:e>
            <m:r>
              <m:t>Q̂</m:t>
            </m:r>
          </m:e>
          <m:sub>
            <m:r>
              <m:t>t</m:t>
            </m:r>
          </m:sub>
        </m:sSub>
        <m:r>
          <m:t>(a) = </m:t>
        </m:r>
        <m:nary>
          <m:naryPr>
            <m:chr m:val="∑"/>
            <m:limLoc m:val="undOvr"/>
          </m:naryPr>
          <m:sub>
            <m:r>
              <m:t>h∈ℋ</m:t>
            </m:r>
          </m:sub>
          <m:sup>
            <m:r>
              <m:t/>
            </m:r>
          </m:sup>
          <m:e>
            <m:sSub>
              <m:e>
                <m:r>
                  <m:t>q</m:t>
                </m:r>
              </m:e>
              <m:sub>
                <m:r>
                  <m:t>t</m:t>
                </m:r>
              </m:sub>
            </m:sSub>
            <m:r>
              <m:t>(h) </m:t>
            </m:r>
            <m:sSub>
              <m:e>
                <m:r>
                  <m:t>μ̂</m:t>
                </m:r>
              </m:e>
              <m:sub>
                <m:r>
                  <m:t>h,a</m:t>
                </m:r>
              </m:sub>
            </m:sSub>
          </m:e>
        </m:nary>
        <m:r>
          <m:t>,    </m:t>
        </m:r>
        <m:sSub>
          <m:e>
            <m:r>
              <m:t>μ̂</m:t>
            </m:r>
          </m:e>
          <m:sub>
            <m:r>
              <m:t>h,a</m:t>
            </m:r>
          </m:sub>
        </m:sSub>
        <m:r>
          <m:t> = </m:t>
        </m:r>
        <m:f>
          <m:num>
            <m:r>
              <m:t>1</m:t>
            </m:r>
          </m:num>
          <m:den>
            <m:sSub>
              <m:e>
                <m:r>
                  <m:t>n</m:t>
                </m:r>
              </m:e>
              <m:sub>
                <m:r>
                  <m:t>h,a</m:t>
                </m:r>
              </m:sub>
            </m:sSub>
          </m:den>
        </m:f>
        <m:nary>
          <m:naryPr>
            <m:chr m:val="∑"/>
            <m:limLoc m:val="undOvr"/>
          </m:naryPr>
          <m:sub>
            <m:r>
              <m:t>j=1</m:t>
            </m:r>
          </m:sub>
          <m:sup>
            <m:sSub>
              <m:e>
                <m:r>
                  <m:t>n</m:t>
                </m:r>
              </m:e>
              <m:sub>
                <m:r>
                  <m:t>h,a</m:t>
                </m:r>
              </m:sub>
            </m:sSub>
          </m:sup>
          <m:e>
            <m:r>
              <m:t>R̂(</m:t>
            </m:r>
            <m:sSub>
              <m:e>
                <m:r>
                  <m:t>τ</m:t>
                </m:r>
              </m:e>
              <m:sub>
                <m:r>
                  <m:t>h,a,j</m:t>
                </m:r>
              </m:sub>
            </m:sSub>
            <m:r>
              <m:t>)</m:t>
            </m:r>
          </m:e>
        </m:nary>
      </m:oMath>
      <w:r>
        <w:rPr>
          <w:sz w:val="20"/>
        </w:rPr>
        <w:t xml:space="preserve">   (3)</w:t>
      </w:r>
    </w:p>
    <w:p>
      <w:r>
        <w:rPr/>
        <w:t>式（3）将假设权重与条件回报估计分开。独立条件样本增加时，条件均值估计可能更精确；复制某个既有 sample_id 时，样本数不增加。若从 qₜ 独立采样 H，重复出现同一类别是合法的蒙特卡洛频数，必须保留其抽样权重，不能去重后对不同类别等权。这一规则通过 sampler_type、draw_id 与 sample_id 区分实现。</w:t>
      </w:r>
    </w:p>
    <w:p>
      <w:r>
        <w:rPr/>
        <w:t>本研究使用“假设间不确定性”和“给定假设的条件随机性”作为操作性术语。前者可能来自部分可观测状态、模型参数或错误先验，不能在所有设置下均称为可由更多训练消除的认知不确定性。即使 n 增大，世界模型的系统误差仍可能存在。</w:t>
      </w:r>
    </w:p>
    <w:p>
      <w:r>
        <w:rPr/>
        <w:t>若从提议分布 r(h) 抽样配置而非完整枚举，必须使用 q(h)/r(h) 的重要性权重，并满足对所有 q(h)&gt;0 的配置都有 r(h)&gt;0。预算不足时不得对未采样配置静默赋零价值或丢弃其概率质量。第一版主实验优先使用覆盖全部配置的预算，将有限预算抽样作为单独敏感性分析。</w:t>
      </w:r>
    </w:p>
    <w:p>
      <w:pPr>
        <w:pStyle w:val="Heading2"/>
      </w:pPr>
      <w:r>
        <w:t>3.4 注意力中的数量偏置与不变性条件</w:t>
      </w:r>
    </w:p>
    <w:p>
      <w:r>
        <w:rPr/>
        <w:t>固定某一注意力层的 query、key、value，设被复制项的分数为 s，其余项指数和为 Z。将该项复制 m 次后，这组项的总注意力质量为：</w:t>
      </w:r>
    </w:p>
    <w:p>
      <w:pPr>
        <w:spacing w:before="100" w:after="140"/>
        <w:jc w:val="center"/>
      </w:pPr>
      <m:oMath>
        <m:sSub>
          <m:e>
            <m:r>
              <m:t>A</m:t>
            </m:r>
          </m:e>
          <m:sub>
            <m:r>
              <m:t>m</m:t>
            </m:r>
          </m:sub>
        </m:sSub>
        <m:r>
          <m:t> = </m:t>
        </m:r>
        <m:f>
          <m:num>
            <m:r>
              <m:t>m </m:t>
            </m:r>
            <m:sSup>
              <m:e>
                <m:r>
                  <m:t>e</m:t>
                </m:r>
              </m:e>
              <m:sup>
                <m:r>
                  <m:t>s</m:t>
                </m:r>
              </m:sup>
            </m:sSup>
          </m:num>
          <m:den>
            <m:r>
              <m:t>Z + m </m:t>
            </m:r>
            <m:sSup>
              <m:e>
                <m:r>
                  <m:t>e</m:t>
                </m:r>
              </m:e>
              <m:sup>
                <m:r>
                  <m:t>s</m:t>
                </m:r>
              </m:sup>
            </m:sSup>
          </m:den>
        </m:f>
        <m:r>
          <m:t> = </m:t>
        </m:r>
        <m:f>
          <m:num>
            <m:sSup>
              <m:e>
                <m:r>
                  <m:t>e</m:t>
                </m:r>
              </m:e>
              <m:sup>
                <m:r>
                  <m:t>s+log m</m:t>
                </m:r>
              </m:sup>
            </m:sSup>
          </m:num>
          <m:den>
            <m:r>
              <m:t>Z + </m:t>
            </m:r>
            <m:sSup>
              <m:e>
                <m:r>
                  <m:t>e</m:t>
                </m:r>
              </m:e>
              <m:sup>
                <m:r>
                  <m:t>s+log m</m:t>
                </m:r>
              </m:sup>
            </m:sSup>
          </m:den>
        </m:f>
      </m:oMath>
      <w:r>
        <w:rPr>
          <w:sz w:val="20"/>
        </w:rPr>
        <w:t xml:space="preserve">   (4)</w:t>
      </w:r>
    </w:p>
    <w:p>
      <w:r>
        <w:rPr/>
        <w:t>式（4）是标准 softmax attention 的代数性质 [26]，给出局部机制，不推出整个 Transformer 必然增加置信度。文本复制会同时改变位置与上下文表征，因此固定 KV 复制实验与文本层干预必须分别报告。层次注意力或组内平均也不自动保证任意局部复制不变。</w:t>
      </w:r>
    </w:p>
    <w:p>
      <w:r>
        <w:rPr/>
        <w:t>实现层面的不变性条件为：若复制不改变规范化节点集合、真实证据、独立样本权重和候选动作，且下游聚合是这些对象的确定性函数，那么复制前后的 q 与 Q 相同。证明只需说明规范化函数将两份输入映射到相同对象。对语义改写的保证依赖正确的来源映射；映射错误时仅能给出实证结果。</w:t>
      </w:r>
    </w:p>
    <w:p>
      <w:pPr>
        <w:pStyle w:val="Heading1"/>
      </w:pPr>
      <w:bookmarkStart w:id="72" w:name="S442ee6e099aa348"/>
      <w:r>
        <w:t>4 方法设计与 Jev 接入</w:t>
      </w:r>
      <w:bookmarkEnd w:id="72"/>
    </w:p>
    <w:p>
      <w:pPr>
        <w:pStyle w:val="Heading2"/>
      </w:pPr>
      <w:r>
        <w:t>4.1 总体结构</w:t>
      </w:r>
    </w:p>
    <w:p>
      <w:r>
        <w:rPr/>
        <w:t>方法暂命名为来源保持的假设校准规划，英文缩写 PHCP。每个决策步骤依次建立证据账本、提出局部联合假设、估计假设分布、生成带来源标识的条件轨迹、估计动作效用，并选择执行或核验。为了定位有效成分，先实现 PHCP Struct 的显式概率聚合，再实现 PHCP Attention 的条件价值适配器。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871"/>
        <w:gridCol w:w="2721"/>
        <w:gridCol w:w="4706"/>
      </w:tblGrid>
      <w:tr>
        <w:trPr>
          <w:cantSplit/>
          <w:tblHeader/>
        </w:trPr>
        <w:tc>
          <w:tcPr>
            <w:tcW w:type="dxa" w:w="1871"/>
            <w:vAlign w:val="center"/>
            <w:shd w:fill="E6ECF2"/>
          </w:tcPr>
          <w:p>
            <w:pPr>
              <w:keepNext/>
              <w:spacing w:line="271" w:lineRule="auto" w:after="20" w:before="20"/>
              <w:jc w:val="center"/>
            </w:pPr>
            <w:r>
              <w:rPr>
                <w:b/>
                <w:sz w:val="19"/>
              </w:rPr>
              <w:t>模块</w:t>
            </w:r>
          </w:p>
        </w:tc>
        <w:tc>
          <w:tcPr>
            <w:tcW w:type="dxa" w:w="2721"/>
            <w:vAlign w:val="center"/>
            <w:shd w:fill="E6ECF2"/>
          </w:tcPr>
          <w:p>
            <w:pPr>
              <w:keepNext/>
              <w:spacing w:line="271" w:lineRule="auto" w:after="20" w:before="20"/>
            </w:pPr>
            <w:r>
              <w:rPr>
                <w:b/>
                <w:sz w:val="19"/>
              </w:rPr>
              <w:t>输入</w:t>
            </w:r>
          </w:p>
        </w:tc>
        <w:tc>
          <w:tcPr>
            <w:tcW w:type="dxa" w:w="4706"/>
            <w:vAlign w:val="center"/>
            <w:shd w:fill="E6ECF2"/>
          </w:tcPr>
          <w:p>
            <w:pPr>
              <w:keepNext/>
              <w:spacing w:line="271" w:lineRule="auto" w:after="20" w:before="20"/>
            </w:pPr>
            <w:r>
              <w:rPr>
                <w:b/>
                <w:sz w:val="19"/>
              </w:rPr>
              <w:t>输出及访问边界</w:t>
            </w:r>
          </w:p>
        </w:tc>
      </w:tr>
      <w:tr>
        <w:trPr>
          <w:cantSplit/>
        </w:trPr>
        <w:tc>
          <w:tcPr>
            <w:tcW w:type="dxa" w:w="1871"/>
            <w:vAlign w:val="center"/>
          </w:tcPr>
          <w:p>
            <w:pPr>
              <w:keepNext/>
              <w:spacing w:line="271" w:lineRule="auto" w:after="20" w:before="20"/>
              <w:jc w:val="center"/>
            </w:pPr>
            <w:r>
              <w:rPr>
                <w:b w:val="0"/>
                <w:sz w:val="19"/>
              </w:rPr>
              <w:t>证据账本</w:t>
            </w:r>
          </w:p>
        </w:tc>
        <w:tc>
          <w:tcPr>
            <w:tcW w:type="dxa" w:w="2721"/>
            <w:vAlign w:val="center"/>
          </w:tcPr>
          <w:p>
            <w:pPr>
              <w:keepNext/>
              <w:spacing w:line="271" w:lineRule="auto" w:after="20" w:before="20"/>
            </w:pPr>
            <w:r>
              <w:rPr>
                <w:b w:val="0"/>
                <w:sz w:val="19"/>
              </w:rPr>
              <w:t>历史观察与合法工具反馈。</w:t>
            </w:r>
          </w:p>
        </w:tc>
        <w:tc>
          <w:tcPr>
            <w:tcW w:type="dxa" w:w="4706"/>
            <w:vAlign w:val="center"/>
          </w:tcPr>
          <w:p>
            <w:pPr>
              <w:keepNext/>
              <w:spacing w:line="271" w:lineRule="auto" w:after="20" w:before="20"/>
            </w:pPr>
            <w:r>
              <w:rPr>
                <w:b w:val="0"/>
                <w:sz w:val="19"/>
              </w:rPr>
              <w:t>evidence_id、时间、获取动作、内容；不得写入想象结果。</w:t>
            </w:r>
          </w:p>
        </w:tc>
      </w:tr>
      <w:tr>
        <w:trPr>
          <w:cantSplit/>
        </w:trPr>
        <w:tc>
          <w:tcPr>
            <w:tcW w:type="dxa" w:w="1871"/>
            <w:vAlign w:val="center"/>
          </w:tcPr>
          <w:p>
            <w:pPr>
              <w:keepNext w:val="0"/>
              <w:spacing w:line="271" w:lineRule="auto" w:after="20" w:before="20"/>
              <w:jc w:val="center"/>
            </w:pPr>
            <w:r>
              <w:rPr>
                <w:b w:val="0"/>
                <w:sz w:val="19"/>
              </w:rPr>
              <w:t>假设与依赖登记</w:t>
            </w:r>
          </w:p>
        </w:tc>
        <w:tc>
          <w:tcPr>
            <w:tcW w:type="dxa" w:w="2721"/>
            <w:vAlign w:val="center"/>
          </w:tcPr>
          <w:p>
            <w:pPr>
              <w:keepNext w:val="0"/>
              <w:spacing w:line="271" w:lineRule="auto" w:after="20" w:before="20"/>
            </w:pPr>
            <w:r>
              <w:rPr>
                <w:b w:val="0"/>
                <w:sz w:val="19"/>
              </w:rPr>
              <w:t>证据、任务和候选动作。</w:t>
            </w:r>
          </w:p>
        </w:tc>
        <w:tc>
          <w:tcPr>
            <w:tcW w:type="dxa" w:w="4706"/>
            <w:vAlign w:val="center"/>
          </w:tcPr>
          <w:p>
            <w:pPr>
              <w:keepNext w:val="0"/>
              <w:spacing w:line="271" w:lineRule="auto" w:after="20" w:before="20"/>
            </w:pPr>
            <w:r>
              <w:rPr>
                <w:b w:val="0"/>
                <w:sz w:val="19"/>
              </w:rPr>
              <w:t>互斥配置、前提节点、来源边；未知关系保留未知。</w:t>
            </w:r>
          </w:p>
        </w:tc>
      </w:tr>
      <w:tr>
        <w:trPr>
          <w:cantSplit/>
        </w:trPr>
        <w:tc>
          <w:tcPr>
            <w:tcW w:type="dxa" w:w="1871"/>
            <w:vAlign w:val="center"/>
          </w:tcPr>
          <w:p>
            <w:pPr>
              <w:keepNext w:val="0"/>
              <w:spacing w:line="271" w:lineRule="auto" w:after="20" w:before="20"/>
              <w:jc w:val="center"/>
            </w:pPr>
            <w:r>
              <w:rPr>
                <w:b w:val="0"/>
                <w:sz w:val="19"/>
              </w:rPr>
              <w:t>信念评分器</w:t>
            </w:r>
          </w:p>
        </w:tc>
        <w:tc>
          <w:tcPr>
            <w:tcW w:type="dxa" w:w="2721"/>
            <w:vAlign w:val="center"/>
          </w:tcPr>
          <w:p>
            <w:pPr>
              <w:keepNext w:val="0"/>
              <w:spacing w:line="271" w:lineRule="auto" w:after="20" w:before="20"/>
            </w:pPr>
            <w:r>
              <w:rPr>
                <w:b w:val="0"/>
                <w:sz w:val="19"/>
              </w:rPr>
              <w:t>证据和配置定义。</w:t>
            </w:r>
          </w:p>
        </w:tc>
        <w:tc>
          <w:tcPr>
            <w:tcW w:type="dxa" w:w="4706"/>
            <w:vAlign w:val="center"/>
          </w:tcPr>
          <w:p>
            <w:pPr>
              <w:keepNext w:val="0"/>
              <w:spacing w:line="271" w:lineRule="auto" w:after="20" w:before="20"/>
            </w:pPr>
            <w:r>
              <w:rPr>
                <w:b w:val="0"/>
                <w:sz w:val="19"/>
              </w:rPr>
              <w:t>qₜ 及校准状态；不以生成后代数量作为独立支持。</w:t>
            </w:r>
          </w:p>
        </w:tc>
      </w:tr>
      <w:tr>
        <w:trPr>
          <w:cantSplit/>
        </w:trPr>
        <w:tc>
          <w:tcPr>
            <w:tcW w:type="dxa" w:w="1871"/>
            <w:vAlign w:val="center"/>
          </w:tcPr>
          <w:p>
            <w:pPr>
              <w:keepNext w:val="0"/>
              <w:spacing w:line="271" w:lineRule="auto" w:after="20" w:before="20"/>
              <w:jc w:val="center"/>
            </w:pPr>
            <w:r>
              <w:rPr>
                <w:b w:val="0"/>
                <w:sz w:val="19"/>
              </w:rPr>
              <w:t>条件世界模型</w:t>
            </w:r>
          </w:p>
        </w:tc>
        <w:tc>
          <w:tcPr>
            <w:tcW w:type="dxa" w:w="2721"/>
            <w:vAlign w:val="center"/>
          </w:tcPr>
          <w:p>
            <w:pPr>
              <w:keepNext w:val="0"/>
              <w:spacing w:line="271" w:lineRule="auto" w:after="20" w:before="20"/>
            </w:pPr>
            <w:r>
              <w:rPr>
                <w:b w:val="0"/>
                <w:sz w:val="19"/>
              </w:rPr>
              <w:t>配置、候选动作与真实历史。</w:t>
            </w:r>
          </w:p>
        </w:tc>
        <w:tc>
          <w:tcPr>
            <w:tcW w:type="dxa" w:w="4706"/>
            <w:vAlign w:val="center"/>
          </w:tcPr>
          <w:p>
            <w:pPr>
              <w:keepNext w:val="0"/>
              <w:spacing w:line="271" w:lineRule="auto" w:after="20" w:before="20"/>
            </w:pPr>
            <w:r>
              <w:rPr>
                <w:b w:val="0"/>
                <w:sz w:val="19"/>
              </w:rPr>
              <w:t>轨迹、随机抽样身份、共同前提和条件后果。</w:t>
            </w:r>
          </w:p>
        </w:tc>
      </w:tr>
      <w:tr>
        <w:trPr>
          <w:cantSplit/>
        </w:trPr>
        <w:tc>
          <w:tcPr>
            <w:tcW w:type="dxa" w:w="1871"/>
            <w:vAlign w:val="center"/>
          </w:tcPr>
          <w:p>
            <w:pPr>
              <w:keepNext w:val="0"/>
              <w:spacing w:line="271" w:lineRule="auto" w:after="20" w:before="20"/>
              <w:jc w:val="center"/>
            </w:pPr>
            <w:r>
              <w:rPr>
                <w:b w:val="0"/>
                <w:sz w:val="19"/>
              </w:rPr>
              <w:t>条件价值与聚合</w:t>
            </w:r>
          </w:p>
        </w:tc>
        <w:tc>
          <w:tcPr>
            <w:tcW w:type="dxa" w:w="2721"/>
            <w:vAlign w:val="center"/>
          </w:tcPr>
          <w:p>
            <w:pPr>
              <w:keepNext w:val="0"/>
              <w:spacing w:line="271" w:lineRule="auto" w:after="20" w:before="20"/>
            </w:pPr>
            <w:r>
              <w:rPr>
                <w:b w:val="0"/>
                <w:sz w:val="19"/>
              </w:rPr>
              <w:t>规范化轨迹和来源图。</w:t>
            </w:r>
          </w:p>
        </w:tc>
        <w:tc>
          <w:tcPr>
            <w:tcW w:type="dxa" w:w="4706"/>
            <w:vAlign w:val="center"/>
          </w:tcPr>
          <w:p>
            <w:pPr>
              <w:keepNext w:val="0"/>
              <w:spacing w:line="271" w:lineRule="auto" w:after="20" w:before="20"/>
            </w:pPr>
            <w:r>
              <w:rPr>
                <w:b w:val="0"/>
                <w:sz w:val="19"/>
              </w:rPr>
              <w:t>每个配置下的动作价值，再按 qₜ 显式加权。</w:t>
            </w:r>
          </w:p>
        </w:tc>
      </w:tr>
      <w:tr>
        <w:trPr>
          <w:cantSplit/>
        </w:trPr>
        <w:tc>
          <w:tcPr>
            <w:tcW w:type="dxa" w:w="1871"/>
            <w:vAlign w:val="center"/>
          </w:tcPr>
          <w:p>
            <w:pPr>
              <w:keepNext w:val="0"/>
              <w:spacing w:line="271" w:lineRule="auto" w:after="20" w:before="20"/>
              <w:jc w:val="center"/>
            </w:pPr>
            <w:r>
              <w:rPr>
                <w:b w:val="0"/>
                <w:sz w:val="19"/>
              </w:rPr>
              <w:t>执行与核验</w:t>
            </w:r>
          </w:p>
        </w:tc>
        <w:tc>
          <w:tcPr>
            <w:tcW w:type="dxa" w:w="2721"/>
            <w:vAlign w:val="center"/>
          </w:tcPr>
          <w:p>
            <w:pPr>
              <w:keepNext w:val="0"/>
              <w:spacing w:line="271" w:lineRule="auto" w:after="20" w:before="20"/>
            </w:pPr>
            <w:r>
              <w:rPr>
                <w:b w:val="0"/>
                <w:sz w:val="19"/>
              </w:rPr>
              <w:t>动作效用、敏感假设与预算。</w:t>
            </w:r>
          </w:p>
        </w:tc>
        <w:tc>
          <w:tcPr>
            <w:tcW w:type="dxa" w:w="4706"/>
            <w:vAlign w:val="center"/>
          </w:tcPr>
          <w:p>
            <w:pPr>
              <w:keepNext w:val="0"/>
              <w:spacing w:line="271" w:lineRule="auto" w:after="20" w:before="20"/>
            </w:pPr>
            <w:r>
              <w:rPr>
                <w:b w:val="0"/>
                <w:sz w:val="19"/>
              </w:rPr>
              <w:t>真实动作或可用核验动作；结果进入证据账本。</w:t>
            </w:r>
          </w:p>
        </w:tc>
      </w:tr>
    </w:tbl>
    <w:p>
      <w:pPr>
        <w:spacing w:after="20"/>
      </w:pPr>
    </w:p>
    <w:p>
      <w:pPr>
        <w:pStyle w:val="Heading2"/>
      </w:pPr>
      <w:r>
        <w:t>4.2 来源图的建立与学习</w:t>
      </w:r>
    </w:p>
    <w:p>
      <w:r>
        <w:rPr/>
        <w:t>受控实验中，生成器在创建假设和后果时直接登记 parent_id，因而能够隔离聚合机制。公开任务中采用两种协议：显式生成协议要求世界模型声明每条预测使用的根前提；隐式恢复协议只给模型原始预演文本，由提取器识别共同前提。主结果必须包含后者或说明适用范围受结构化生成协议限制。</w:t>
      </w:r>
    </w:p>
    <w:p>
      <w:r>
        <w:rPr/>
        <w:t>提取器判断的是“哪些后果依赖同一条件”，而不仅是两个句子是否相似。两个不同动作的不同结果可以共享根前提；同一句话也可能来自两次独立真实观测。关系模型允许 unknown 类别，对不确定来源不强制合并。主实验同时报告边级精确率、召回率及误合并率，并注入可控分组噪声测试鲁棒性。</w:t>
      </w:r>
    </w:p>
    <w:p>
      <w:pPr>
        <w:pStyle w:val="Heading2"/>
      </w:pPr>
      <w:r>
        <w:t>4.3 Jev 的具体职责</w:t>
      </w:r>
    </w:p>
    <w:p>
      <w:r>
        <w:rPr/>
        <w:t>Jev 适配层使用同一证据状态并行提出结构化问题，包括互斥配置的可信程度、两个分支是否共享指定前提、以及现有证据是否足以验证该前提。关系判定可用于建立来源图，但关系分数不得直接当作世界真值标签。用于 qₜ 的请求仅包含证据、配置定义和必要背景，不包含作为额外证据的想象后代。</w:t>
      </w:r>
    </w:p>
    <w:p>
      <w:r>
        <w:rPr/>
        <w:t>若接口提供合法类别分布，直接将其作为待校准的原始分数；若只返回标量，则先通过约定的分类读出构造分数，不能宣称其天然为后验。冻结选项语义、随机化选项顺序，并在开发集做名称置换稳定性审计 [12]。原始接口参数以实施时的官方 SDK 为准，附录给出的是适配层契约，不虚构未公开的 API 字段。</w:t>
      </w:r>
    </w:p>
    <w:p>
      <w:r>
        <w:rPr/>
        <w:t>校准仅使用训练划分内独立保留的校准集。二分类使用正温度缩放或正斜率逻辑校准，多分类采用温度缩放；开发集比较 isotonic 等替代方法，但选定后冻结。校准集和测试集保持相同选择流水线。单调校准通常不改变 argmax，因此其作用应体现在概率加权、多步风险、核验门控或选择后风险，而非凭排序不变的变换声称动作改善 [14]。</w:t>
      </w:r>
    </w:p>
    <w:p>
      <w:pPr>
        <w:pStyle w:val="Heading2"/>
      </w:pPr>
      <w:r>
        <w:t>4.4 依赖保持注意力</w:t>
      </w:r>
    </w:p>
    <w:p>
      <w:r>
        <w:rPr/>
        <w:t>PHCP Attention 使用开源冻结骨干的隐藏表示，附加可训练的交叉注意力适配器。一个配置只保留一个规范化表示；每个独立条件样本保留一次；同一样本的副本或改写按来源身份规范化。适配器分别读取真实证据与条件轨迹，输出每个配置和动作的条件价值，不在所有假设后代之间做无来源区分的全局投票。</w:t>
      </w:r>
    </w:p>
    <w:p>
      <w:pPr>
        <w:spacing w:before="100" w:after="140"/>
        <w:jc w:val="center"/>
      </w:pPr>
      <m:oMath>
        <m:sSub>
          <m:e>
            <m:r>
              <m:t>z</m:t>
            </m:r>
          </m:e>
          <m:sub>
            <m:r>
              <m:t>h,a,j</m:t>
            </m:r>
          </m:sub>
        </m:sSub>
        <m:r>
          <m:t> = Attn(</m:t>
        </m:r>
        <m:sSub>
          <m:e>
            <m:r>
              <m:t>u</m:t>
            </m:r>
          </m:e>
          <m:sub>
            <m:r>
              <m:t>a</m:t>
            </m:r>
          </m:sub>
        </m:sSub>
        <m:r>
          <m:t>, </m:t>
        </m:r>
        <m:sSub>
          <m:e>
            <m:r>
              <m:t>K</m:t>
            </m:r>
          </m:e>
          <m:sub>
            <m:r>
              <m:t>E,h,j</m:t>
            </m:r>
          </m:sub>
        </m:sSub>
        <m:r>
          <m:t>, </m:t>
        </m:r>
        <m:sSub>
          <m:e>
            <m:r>
              <m:t>V</m:t>
            </m:r>
          </m:e>
          <m:sub>
            <m:r>
              <m:t>E,h,j</m:t>
            </m:r>
          </m:sub>
        </m:sSub>
        <m:r>
          <m:t>; </m:t>
        </m:r>
        <m:sSub>
          <m:e>
            <m:r>
              <m:t>M</m:t>
            </m:r>
          </m:e>
          <m:sub>
            <m:r>
              <m:t>G</m:t>
            </m:r>
          </m:sub>
        </m:sSub>
        <m:r>
          <m:t>),    </m:t>
        </m:r>
        <m:sSub>
          <m:e>
            <m:r>
              <m:t>v̂</m:t>
            </m:r>
          </m:e>
          <m:sub>
            <m:r>
              <m:t>h,a,j</m:t>
            </m:r>
          </m:sub>
        </m:sSub>
        <m:r>
          <m:t> = f(</m:t>
        </m:r>
        <m:sSub>
          <m:e>
            <m:r>
              <m:t>z</m:t>
            </m:r>
          </m:e>
          <m:sub>
            <m:r>
              <m:t>h,a,j</m:t>
            </m:r>
          </m:sub>
        </m:sSub>
        <m:r>
          <m:t>)</m:t>
        </m:r>
      </m:oMath>
      <w:r>
        <w:rPr>
          <w:sz w:val="20"/>
        </w:rPr>
        <w:t xml:space="preserve">   (5)</w:t>
      </w:r>
    </w:p>
    <w:p>
      <w:r>
        <w:rPr/>
        <w:t>其中 M_G 是来源与访问边界的掩码。注意力只负责相关内容的路由，不能把 softmax 权重解释为校准后验。特别是 αₕ∝qₕexp(scoreₕ) 会改变 q 的含义，因此不能未经说明取代式（3）的显式假设加权。真实观测路径和空信息节点应始终可访问，避免相对权重强迫策略信任不可靠的想象。</w:t>
      </w:r>
    </w:p>
    <w:p>
      <w:r>
        <w:rPr/>
        <w:t>第一版条件价值采用独立样本的算术均值。若进一步使用学习式样本加权，则单列为扩展并报告采样偏差；不得沿用均值估计的无偏或方差下降结论。PHCP Struct 直接使用冻结评分器的条件回报估计，PHCP Attention 只替换条件价值表示，从而能够分离来源结构与注意力训练各自的贡献。</w:t>
      </w:r>
    </w:p>
    <w:p>
      <w:r>
        <w:rPr/>
        <w:t>P2 相对 P1 的差异同时包含新增监督和学习式表示，因此只能解释为条件价值学习的总收益。注意力自身的贡献必须通过同输入、同标签、同损失、同参数量和同优化预算的 MLP 或均值池化读出头验证，早停及调参协议也完全一致。</w:t>
      </w:r>
    </w:p>
    <w:p>
      <w:pPr>
        <w:pStyle w:val="Heading2"/>
      </w:pPr>
      <w:r>
        <w:t>4.5 假设核验与行动选择</w:t>
      </w:r>
    </w:p>
    <w:p>
      <w:r>
        <w:rPr/>
        <w:t>先比较不同假设配置下的最优动作是否变化。如果高不确定性的前提不会改变动作选择，可直接执行；如果动作排序高度依赖该前提，且环境存在低成本核验动作，则比较核验收益与成本。第一版采用开发集冻结的敏感度阈值和核验预算，不声称精确计算完整信息价值。</w:t>
      </w:r>
    </w:p>
    <w:p>
      <w:r>
        <w:rPr/>
        <w:t>核验动作必须是智能体合法可执行的动作，例如观察容器、查询权限或测试设备，而不是读取模拟器隐藏状态。仅有调试接口可以提供标签时，该接口只能用于离线训练和诊断。核验预算为每个决策最多一次、每个 episode 不超过总行动上限的 10%，并与匹配核验次数的风险分类器及随机核验比较。比例是初始配置，需在预实验后统一冻结。</w:t>
      </w:r>
    </w:p>
    <w:p>
      <w:pPr>
        <w:pStyle w:val="Heading2"/>
      </w:pPr>
      <w:r>
        <w:t>4.6 单步规划算法</w:t>
      </w:r>
    </w:p>
    <w:p>
      <w:r>
        <w:rPr/>
        <w:t>步骤 1  读取 Eₜ，生成至多 4 个候选动作和至多 8 个局部联合配置；保留合法的停止或观察动作。</w:t>
      </w:r>
    </w:p>
    <w:p>
      <w:r>
        <w:rPr/>
        <w:t>步骤 2  在真实证据上查询 Jev 或开源头，应用冻结校准器得到 qₜ；若配置不完备，保留 other 的剩余概率。</w:t>
      </w:r>
    </w:p>
    <w:p>
      <w:r>
        <w:rPr/>
        <w:t>步骤 3  对动作与配置分配条件采样预算，记录 hypothesis_id、sample_id、draw_id 与父节点。不得以同一文本的副本补足独立采样数。</w:t>
      </w:r>
    </w:p>
    <w:p>
      <w:r>
        <w:rPr/>
        <w:t>步骤 4  按来源规范化输入；通过显式评分或注意力适配器计算条件价值，再用式（3）得到动作效用。</w:t>
      </w:r>
    </w:p>
    <w:p>
      <w:r>
        <w:rPr/>
        <w:t>步骤 5  在无核验版本中执行效用最高的合法动作；核验版本按冻结规则决定是否先取得真实新证据。</w:t>
      </w:r>
    </w:p>
    <w:p>
      <w:r>
        <w:rPr/>
        <w:t>步骤 6  将真实观察加入账本并推进环境。测试期间不更新模型参数或校准器；重规划与核验开销全部计入预算。</w:t>
      </w:r>
    </w:p>
    <w:p>
      <w:pPr>
        <w:pStyle w:val="Heading1"/>
      </w:pPr>
      <w:bookmarkStart w:id="99" w:name="Sa51530491918c7d"/>
      <w:r>
        <w:t>5 学习目标与训练协议</w:t>
      </w:r>
      <w:bookmarkEnd w:id="99"/>
    </w:p>
    <w:p>
      <w:pPr>
        <w:pStyle w:val="Heading2"/>
      </w:pPr>
      <w:r>
        <w:t>5.1 标签来源与监督边界</w:t>
      </w:r>
    </w:p>
    <w:p>
      <w:r>
        <w:rPr/>
        <w:t>假设真值标签由自建模拟器状态或公开环境中可验证的状态谓词提供。无法确定真值的假设标为未标注，不默认视为假。选择执行后的成功或失败通常只能约束部分前提，不能将失败自动归因于某一根假设。条件价值标签来自相同初始状态下的实际动作执行及固定后续策略；在可构造的反事实世界配置中，单列配置干预标签，避免与信息干预混淆。</w:t>
      </w:r>
    </w:p>
    <w:p>
      <w:r>
        <w:rPr/>
        <w:t>从真实配置 h* 执行动作只能得到该配置的价值标签，不能把同一回报复制给其他 h。L_V 只在配置匹配或存在独立合法配置干预标签时计算，其余配置屏蔽监督。P1 与 P2 的统一目标为执行候选动作后接固定后续策略 π₀、在同一评测时域内取得的回报；深度 3 的想象使用同一终点价值头估计剩余回报，终点头及其训练数据在所有方法间共享。</w:t>
      </w:r>
    </w:p>
    <w:p>
      <w:r>
        <w:rPr/>
        <w:t>开源评分器建议使用 Qwen3 4B 的冻结表征与轻量分类头，主世界模型使用 Qwen3 8B，跨架构复验使用 Llama 3.1 8B Instruct [21,22]。这些模型是可复现的起始配置，不作为最新能力上限。固定模型 revision、量化精度、模板与推理模式；自然任务的困难程度由预实验判断，必要调整必须在测试前完成。</w:t>
      </w:r>
    </w:p>
    <w:p>
      <w:pPr>
        <w:pStyle w:val="Heading2"/>
      </w:pPr>
      <w:r>
        <w:t>5.2 联合目标与模块训练顺序</w:t>
      </w:r>
    </w:p>
    <w:p>
      <w:pPr>
        <w:spacing w:before="100" w:after="140"/>
        <w:jc w:val="center"/>
      </w:pPr>
      <m:oMath>
        <m:r>
          <m:t>L = </m:t>
        </m:r>
        <m:sSub>
          <m:e>
            <m:r>
              <m:t>λ</m:t>
            </m:r>
          </m:e>
          <m:sub>
            <m:r>
              <m:t>H</m:t>
            </m:r>
          </m:sub>
        </m:sSub>
        <m:sSub>
          <m:e>
            <m:r>
              <m:t>L</m:t>
            </m:r>
          </m:e>
          <m:sub>
            <m:r>
              <m:t>H</m:t>
            </m:r>
          </m:sub>
        </m:sSub>
        <m:r>
          <m:t> + </m:t>
        </m:r>
        <m:sSub>
          <m:e>
            <m:r>
              <m:t>λ</m:t>
            </m:r>
          </m:e>
          <m:sub>
            <m:r>
              <m:t>V</m:t>
            </m:r>
          </m:sub>
        </m:sSub>
        <m:sSub>
          <m:e>
            <m:r>
              <m:t>L</m:t>
            </m:r>
          </m:e>
          <m:sub>
            <m:r>
              <m:t>V</m:t>
            </m:r>
          </m:sub>
        </m:sSub>
        <m:r>
          <m:t> + </m:t>
        </m:r>
        <m:sSub>
          <m:e>
            <m:r>
              <m:t>λ</m:t>
            </m:r>
          </m:e>
          <m:sub>
            <m:r>
              <m:t>P</m:t>
            </m:r>
          </m:sub>
        </m:sSub>
        <m:sSub>
          <m:e>
            <m:r>
              <m:t>L</m:t>
            </m:r>
          </m:e>
          <m:sub>
            <m:r>
              <m:t>pair</m:t>
            </m:r>
          </m:sub>
        </m:sSub>
        <m:r>
          <m:t> + </m:t>
        </m:r>
        <m:sSub>
          <m:e>
            <m:r>
              <m:t>λ</m:t>
            </m:r>
          </m:e>
          <m:sub>
            <m:r>
              <m:t>I</m:t>
            </m:r>
          </m:sub>
        </m:sSub>
        <m:sSub>
          <m:e>
            <m:r>
              <m:t>L</m:t>
            </m:r>
          </m:e>
          <m:sub>
            <m:r>
              <m:t>inv</m:t>
            </m:r>
          </m:sub>
        </m:sSub>
      </m:oMath>
      <w:r>
        <w:rPr>
          <w:sz w:val="20"/>
        </w:rPr>
        <w:t xml:space="preserve">   (6)</w:t>
      </w:r>
    </w:p>
    <w:p>
      <w:r>
        <w:rPr/>
        <w:t>L_H 为配置真值的交叉熵；L_V 为条件回报的 Huber 损失或有界成功事件的交叉熵；L_pair 为同一状态下候选动作真实回报次序的监督损失；L_inv 为来源保持改写前后输出分布的 Jensen–Shannon 散度。存在并列或统计无法区分的动作时，不制造严格偏序。价值和排序标签的环境调用量应单列。</w:t>
      </w:r>
    </w:p>
    <w:p>
      <w:r>
        <w:rPr/>
        <w:t>先训练来源提取器和条件价值模块，再冻结二者，最后在独立校准集拟合 q 与最终成功率的校准器。若策略或聚合器改变，需要重新校准最终输出。Jev 为冻结服务，L_H 不反向传播至其内部，仅用于训练开源替代头；不能把外部校准过程描述为复现 Jev 的 RLCD。</w:t>
      </w:r>
    </w:p>
    <w:p>
      <w:r>
        <w:rPr/>
        <w:t>精确 ID 复制已由架构消除时，不必重复施加一致性损失。L_inv 主要处理近似来源恢复与语义改写；训练中必须同时加入真实新证据和新的独立样本对照，防止模型学会对所有信息变化不敏感。不得用“保持不变”的损失约束真实环境变化。</w:t>
      </w:r>
    </w:p>
    <w:p>
      <w:pPr>
        <w:pStyle w:val="Heading2"/>
      </w:pPr>
      <w:r>
        <w:t>5.3 初始超参数与数据隔离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1"/>
        <w:gridCol w:w="3969"/>
        <w:gridCol w:w="3628"/>
      </w:tblGrid>
      <w:tr>
        <w:trPr>
          <w:cantSplit/>
          <w:tblHeader/>
        </w:trPr>
        <w:tc>
          <w:tcPr>
            <w:tcW w:type="dxa" w:w="1701"/>
            <w:vAlign w:val="center"/>
            <w:shd w:fill="E6ECF2"/>
          </w:tcPr>
          <w:p>
            <w:pPr>
              <w:keepNext/>
              <w:spacing w:line="271" w:lineRule="auto" w:after="20" w:before="20"/>
              <w:jc w:val="center"/>
            </w:pPr>
            <w:r>
              <w:rPr>
                <w:b/>
                <w:sz w:val="19"/>
              </w:rPr>
              <w:t>项目</w:t>
            </w:r>
          </w:p>
        </w:tc>
        <w:tc>
          <w:tcPr>
            <w:tcW w:type="dxa" w:w="3969"/>
            <w:vAlign w:val="center"/>
            <w:shd w:fill="E6ECF2"/>
          </w:tcPr>
          <w:p>
            <w:pPr>
              <w:keepNext/>
              <w:spacing w:line="271" w:lineRule="auto" w:after="20" w:before="20"/>
            </w:pPr>
            <w:r>
              <w:rPr>
                <w:b/>
                <w:sz w:val="19"/>
              </w:rPr>
              <w:t>预实验起始配置</w:t>
            </w:r>
          </w:p>
        </w:tc>
        <w:tc>
          <w:tcPr>
            <w:tcW w:type="dxa" w:w="3628"/>
            <w:vAlign w:val="center"/>
            <w:shd w:fill="E6ECF2"/>
          </w:tcPr>
          <w:p>
            <w:pPr>
              <w:keepNext/>
              <w:spacing w:line="271" w:lineRule="auto" w:after="20" w:before="20"/>
            </w:pPr>
            <w:r>
              <w:rPr>
                <w:b/>
                <w:sz w:val="19"/>
              </w:rPr>
              <w:t>最终冻结规则</w:t>
            </w:r>
          </w:p>
        </w:tc>
      </w:tr>
      <w:tr>
        <w:trPr>
          <w:cantSplit/>
        </w:trPr>
        <w:tc>
          <w:tcPr>
            <w:tcW w:type="dxa" w:w="1701"/>
            <w:vAlign w:val="center"/>
          </w:tcPr>
          <w:p>
            <w:pPr>
              <w:keepNext/>
              <w:spacing w:line="271" w:lineRule="auto" w:after="20" w:before="20"/>
              <w:jc w:val="center"/>
            </w:pPr>
            <w:r>
              <w:rPr>
                <w:b w:val="0"/>
                <w:sz w:val="19"/>
              </w:rPr>
              <w:t>候选动作与深度</w:t>
            </w:r>
          </w:p>
        </w:tc>
        <w:tc>
          <w:tcPr>
            <w:tcW w:type="dxa" w:w="3969"/>
            <w:vAlign w:val="center"/>
          </w:tcPr>
          <w:p>
            <w:pPr>
              <w:keepNext/>
              <w:spacing w:line="271" w:lineRule="auto" w:after="20" w:before="20"/>
            </w:pPr>
            <w:r>
              <w:rPr>
                <w:b w:val="0"/>
                <w:sz w:val="19"/>
              </w:rPr>
              <w:t>4 个动作，想象深度 3；预算设为 32、64、128 条条件轨迹。</w:t>
            </w:r>
          </w:p>
        </w:tc>
        <w:tc>
          <w:tcPr>
            <w:tcW w:type="dxa" w:w="3628"/>
            <w:vAlign w:val="center"/>
          </w:tcPr>
          <w:p>
            <w:pPr>
              <w:keepNext/>
              <w:spacing w:line="271" w:lineRule="auto" w:after="20" w:before="20"/>
            </w:pPr>
            <w:r>
              <w:rPr>
                <w:b w:val="0"/>
                <w:sz w:val="19"/>
              </w:rPr>
              <w:t>枚举主实验确保每个动作与配置至少有 1 条轨迹；更低预算另用带权抽样。</w:t>
            </w:r>
          </w:p>
        </w:tc>
      </w:tr>
      <w:tr>
        <w:trPr>
          <w:cantSplit/>
        </w:trPr>
        <w:tc>
          <w:tcPr>
            <w:tcW w:type="dxa" w:w="1701"/>
            <w:vAlign w:val="center"/>
          </w:tcPr>
          <w:p>
            <w:pPr>
              <w:keepNext w:val="0"/>
              <w:spacing w:line="271" w:lineRule="auto" w:after="20" w:before="20"/>
              <w:jc w:val="center"/>
            </w:pPr>
            <w:r>
              <w:rPr>
                <w:b w:val="0"/>
                <w:sz w:val="19"/>
              </w:rPr>
              <w:t>可训练模块</w:t>
            </w:r>
          </w:p>
        </w:tc>
        <w:tc>
          <w:tcPr>
            <w:tcW w:type="dxa" w:w="3969"/>
            <w:vAlign w:val="center"/>
          </w:tcPr>
          <w:p>
            <w:pPr>
              <w:keepNext w:val="0"/>
              <w:spacing w:line="271" w:lineRule="auto" w:after="20" w:before="20"/>
            </w:pPr>
            <w:r>
              <w:rPr>
                <w:b w:val="0"/>
                <w:sz w:val="19"/>
              </w:rPr>
              <w:t>2 层交叉注意力，隐藏维 512，8 头，dropout 0.1；骨干冻结。</w:t>
            </w:r>
          </w:p>
        </w:tc>
        <w:tc>
          <w:tcPr>
            <w:tcW w:type="dxa" w:w="3628"/>
            <w:vAlign w:val="center"/>
          </w:tcPr>
          <w:p>
            <w:pPr>
              <w:keepNext w:val="0"/>
              <w:spacing w:line="271" w:lineRule="auto" w:after="20" w:before="20"/>
            </w:pPr>
            <w:r>
              <w:rPr>
                <w:b w:val="0"/>
                <w:sz w:val="19"/>
              </w:rPr>
              <w:t>均值池化和同参数量 MLP 为必需对照。</w:t>
            </w:r>
          </w:p>
        </w:tc>
      </w:tr>
      <w:tr>
        <w:trPr>
          <w:cantSplit/>
        </w:trPr>
        <w:tc>
          <w:tcPr>
            <w:tcW w:type="dxa" w:w="1701"/>
            <w:vAlign w:val="center"/>
          </w:tcPr>
          <w:p>
            <w:pPr>
              <w:keepNext w:val="0"/>
              <w:spacing w:line="271" w:lineRule="auto" w:after="20" w:before="20"/>
              <w:jc w:val="center"/>
            </w:pPr>
            <w:r>
              <w:rPr>
                <w:b w:val="0"/>
                <w:sz w:val="19"/>
              </w:rPr>
              <w:t>优化器</w:t>
            </w:r>
          </w:p>
        </w:tc>
        <w:tc>
          <w:tcPr>
            <w:tcW w:type="dxa" w:w="3969"/>
            <w:vAlign w:val="center"/>
          </w:tcPr>
          <w:p>
            <w:pPr>
              <w:keepNext w:val="0"/>
              <w:spacing w:line="271" w:lineRule="auto" w:after="20" w:before="20"/>
            </w:pPr>
            <w:r>
              <w:rPr>
                <w:b w:val="0"/>
                <w:sz w:val="19"/>
              </w:rPr>
              <w:t>AdamW，学习率 10⁻⁴，batch 32，最多 10 epoch。</w:t>
            </w:r>
          </w:p>
        </w:tc>
        <w:tc>
          <w:tcPr>
            <w:tcW w:type="dxa" w:w="3628"/>
            <w:vAlign w:val="center"/>
          </w:tcPr>
          <w:p>
            <w:pPr>
              <w:keepNext w:val="0"/>
              <w:spacing w:line="271" w:lineRule="auto" w:after="20" w:before="20"/>
            </w:pPr>
            <w:r>
              <w:rPr>
                <w:b w:val="0"/>
                <w:sz w:val="19"/>
              </w:rPr>
              <w:t>开发集早停；搜索范围 3×10⁻⁵、10⁻⁴、3×10⁻⁴。</w:t>
            </w:r>
          </w:p>
        </w:tc>
      </w:tr>
      <w:tr>
        <w:trPr>
          <w:cantSplit/>
        </w:trPr>
        <w:tc>
          <w:tcPr>
            <w:tcW w:type="dxa" w:w="1701"/>
            <w:vAlign w:val="center"/>
          </w:tcPr>
          <w:p>
            <w:pPr>
              <w:keepNext w:val="0"/>
              <w:spacing w:line="271" w:lineRule="auto" w:after="20" w:before="20"/>
              <w:jc w:val="center"/>
            </w:pPr>
            <w:r>
              <w:rPr>
                <w:b w:val="0"/>
                <w:sz w:val="19"/>
              </w:rPr>
              <w:t>损失系数</w:t>
            </w:r>
          </w:p>
        </w:tc>
        <w:tc>
          <w:tcPr>
            <w:tcW w:type="dxa" w:w="3969"/>
            <w:vAlign w:val="center"/>
          </w:tcPr>
          <w:p>
            <w:pPr>
              <w:keepNext w:val="0"/>
              <w:spacing w:line="271" w:lineRule="auto" w:after="20" w:before="20"/>
            </w:pPr>
            <w:r>
              <w:rPr>
                <w:b w:val="0"/>
                <w:sz w:val="19"/>
              </w:rPr>
              <w:t>λ_H=λ_V=1；λ_P、λ_I 取 0、0.1、1。</w:t>
            </w:r>
          </w:p>
        </w:tc>
        <w:tc>
          <w:tcPr>
            <w:tcW w:type="dxa" w:w="3628"/>
            <w:vAlign w:val="center"/>
          </w:tcPr>
          <w:p>
            <w:pPr>
              <w:keepNext w:val="0"/>
              <w:spacing w:line="271" w:lineRule="auto" w:after="20" w:before="20"/>
            </w:pPr>
            <w:r>
              <w:rPr>
                <w:b w:val="0"/>
                <w:sz w:val="19"/>
              </w:rPr>
              <w:t>所有方法匹配调参次数；报告最终设置。</w:t>
            </w:r>
          </w:p>
        </w:tc>
      </w:tr>
      <w:tr>
        <w:trPr>
          <w:cantSplit/>
        </w:trPr>
        <w:tc>
          <w:tcPr>
            <w:tcW w:type="dxa" w:w="1701"/>
            <w:vAlign w:val="center"/>
          </w:tcPr>
          <w:p>
            <w:pPr>
              <w:keepNext w:val="0"/>
              <w:spacing w:line="271" w:lineRule="auto" w:after="20" w:before="20"/>
              <w:jc w:val="center"/>
            </w:pPr>
            <w:r>
              <w:rPr>
                <w:b w:val="0"/>
                <w:sz w:val="19"/>
              </w:rPr>
              <w:t>随机重复</w:t>
            </w:r>
          </w:p>
        </w:tc>
        <w:tc>
          <w:tcPr>
            <w:tcW w:type="dxa" w:w="3969"/>
            <w:vAlign w:val="center"/>
          </w:tcPr>
          <w:p>
            <w:pPr>
              <w:keepNext w:val="0"/>
              <w:spacing w:line="271" w:lineRule="auto" w:after="20" w:before="20"/>
            </w:pPr>
            <w:r>
              <w:rPr>
                <w:b w:val="0"/>
                <w:sz w:val="19"/>
              </w:rPr>
              <w:t>预实验 3 个种子；主结果原则上 5 个训练种子。</w:t>
            </w:r>
          </w:p>
        </w:tc>
        <w:tc>
          <w:tcPr>
            <w:tcW w:type="dxa" w:w="3628"/>
            <w:vAlign w:val="center"/>
          </w:tcPr>
          <w:p>
            <w:pPr>
              <w:keepNext w:val="0"/>
              <w:spacing w:line="271" w:lineRule="auto" w:after="20" w:before="20"/>
            </w:pPr>
            <w:r>
              <w:rPr>
                <w:b w:val="0"/>
                <w:sz w:val="19"/>
              </w:rPr>
              <w:t>环境种子与模型种子分开记录，不作为新增任务数。</w:t>
            </w:r>
          </w:p>
        </w:tc>
      </w:tr>
    </w:tbl>
    <w:p>
      <w:pPr>
        <w:spacing w:after="20"/>
      </w:pPr>
    </w:p>
    <w:p>
      <w:r>
        <w:rPr/>
        <w:t>训练、开发、校准和测试必须按原始任务实例或场景组划分。一个场景的全部副本、改写、分支、纠正版本与多个 seed 运行必须属于同一组，防止语义泄漏和伪重复。公开测试集不得用于确定阈值、选择模型或挖掘最有利的提示词。</w:t>
      </w:r>
    </w:p>
    <w:p>
      <w:pPr>
        <w:pStyle w:val="Heading1"/>
      </w:pPr>
      <w:bookmarkStart w:id="112" w:name="S577176788e1c9b4"/>
      <w:r>
        <w:t>6 数据集与数据划分</w:t>
      </w:r>
      <w:bookmarkEnd w:id="112"/>
    </w:p>
    <w:p>
      <w:pPr>
        <w:pStyle w:val="Heading2"/>
      </w:pPr>
      <w:r>
        <w:t>6.1 数据体系总览</w:t>
      </w:r>
    </w:p>
    <w:p>
      <w:r>
        <w:rPr/>
        <w:t>本研究同时使用交互环境与离线派生数据。“数据集”包括环境任务清单、采样快照、带来源的预演和真实执行标签。SharedPremiseBench 是本研究拟建立的受控基准；ALFWorld 和 ScienceWorld 是已有公开环境；基于其提取的共享前提诊断集是本研究派生数据，不能以官方基准名称直接替代原始任务结果。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814"/>
        <w:gridCol w:w="2721"/>
        <w:gridCol w:w="2891"/>
        <w:gridCol w:w="1871"/>
      </w:tblGrid>
      <w:tr>
        <w:trPr>
          <w:cantSplit/>
          <w:tblHeader/>
        </w:trPr>
        <w:tc>
          <w:tcPr>
            <w:tcW w:type="dxa" w:w="1814"/>
            <w:vAlign w:val="center"/>
            <w:shd w:fill="E6ECF2"/>
          </w:tcPr>
          <w:p>
            <w:pPr>
              <w:keepNext/>
              <w:spacing w:line="271" w:lineRule="auto" w:after="20" w:before="20"/>
              <w:jc w:val="center"/>
            </w:pPr>
            <w:r>
              <w:rPr>
                <w:b/>
                <w:sz w:val="19"/>
              </w:rPr>
              <w:t>数据或环境</w:t>
            </w:r>
          </w:p>
        </w:tc>
        <w:tc>
          <w:tcPr>
            <w:tcW w:type="dxa" w:w="2721"/>
            <w:vAlign w:val="center"/>
            <w:shd w:fill="E6ECF2"/>
          </w:tcPr>
          <w:p>
            <w:pPr>
              <w:keepNext/>
              <w:spacing w:line="271" w:lineRule="auto" w:after="20" w:before="20"/>
            </w:pPr>
            <w:r>
              <w:rPr>
                <w:b/>
                <w:sz w:val="19"/>
              </w:rPr>
              <w:t>用途与任务</w:t>
            </w:r>
          </w:p>
        </w:tc>
        <w:tc>
          <w:tcPr>
            <w:tcW w:type="dxa" w:w="2891"/>
            <w:vAlign w:val="center"/>
            <w:shd w:fill="E6ECF2"/>
          </w:tcPr>
          <w:p>
            <w:pPr>
              <w:keepNext/>
              <w:spacing w:line="271" w:lineRule="auto" w:after="20" w:before="20"/>
            </w:pPr>
            <w:r>
              <w:rPr>
                <w:b/>
                <w:sz w:val="19"/>
              </w:rPr>
              <w:t>官方规模或属性</w:t>
            </w:r>
          </w:p>
        </w:tc>
        <w:tc>
          <w:tcPr>
            <w:tcW w:type="dxa" w:w="1871"/>
            <w:vAlign w:val="center"/>
            <w:shd w:fill="E6ECF2"/>
          </w:tcPr>
          <w:p>
            <w:pPr>
              <w:keepNext/>
              <w:spacing w:line="271" w:lineRule="auto" w:after="20" w:before="20"/>
            </w:pPr>
            <w:r>
              <w:rPr>
                <w:b/>
                <w:sz w:val="19"/>
              </w:rPr>
              <w:t>本研究地位</w:t>
            </w:r>
          </w:p>
        </w:tc>
      </w:tr>
      <w:tr>
        <w:trPr>
          <w:cantSplit/>
        </w:trPr>
        <w:tc>
          <w:tcPr>
            <w:tcW w:type="dxa" w:w="1814"/>
            <w:vAlign w:val="center"/>
          </w:tcPr>
          <w:p>
            <w:pPr>
              <w:keepNext/>
              <w:spacing w:line="271" w:lineRule="auto" w:after="20" w:before="20"/>
            </w:pPr>
            <w:r>
              <w:rPr>
                <w:b w:val="0"/>
                <w:sz w:val="19"/>
              </w:rPr>
              <w:t>SharedPremise</w:t>
              <w:br/>
              <w:t>Bench</w:t>
            </w:r>
          </w:p>
        </w:tc>
        <w:tc>
          <w:tcPr>
            <w:tcW w:type="dxa" w:w="2721"/>
            <w:vAlign w:val="center"/>
          </w:tcPr>
          <w:p>
            <w:pPr>
              <w:keepNext/>
              <w:spacing w:line="271" w:lineRule="auto" w:after="20" w:before="20"/>
            </w:pPr>
            <w:r>
              <w:rPr>
                <w:b w:val="0"/>
                <w:sz w:val="19"/>
              </w:rPr>
              <w:t>访问权限、门锁路径、设备供能、对象属性等可控隐藏条件。</w:t>
            </w:r>
          </w:p>
        </w:tc>
        <w:tc>
          <w:tcPr>
            <w:tcW w:type="dxa" w:w="2891"/>
            <w:vAlign w:val="center"/>
          </w:tcPr>
          <w:p>
            <w:pPr>
              <w:keepNext/>
              <w:spacing w:line="271" w:lineRule="auto" w:after="20" w:before="20"/>
            </w:pPr>
            <w:r>
              <w:rPr>
                <w:b w:val="0"/>
                <w:sz w:val="19"/>
              </w:rPr>
              <w:t>拟建，不存在可直接下载的官方版本。</w:t>
            </w:r>
          </w:p>
        </w:tc>
        <w:tc>
          <w:tcPr>
            <w:tcW w:type="dxa" w:w="1871"/>
            <w:vAlign w:val="center"/>
          </w:tcPr>
          <w:p>
            <w:pPr>
              <w:keepNext/>
              <w:spacing w:line="271" w:lineRule="auto" w:after="20" w:before="20"/>
            </w:pPr>
            <w:r>
              <w:rPr>
                <w:b w:val="0"/>
                <w:sz w:val="19"/>
              </w:rPr>
              <w:t>机制主实验与精确 regret 评测。</w:t>
            </w:r>
          </w:p>
        </w:tc>
      </w:tr>
      <w:tr>
        <w:trPr>
          <w:cantSplit/>
        </w:trPr>
        <w:tc>
          <w:tcPr>
            <w:tcW w:type="dxa" w:w="1814"/>
            <w:vAlign w:val="center"/>
          </w:tcPr>
          <w:p>
            <w:pPr>
              <w:keepNext w:val="0"/>
              <w:spacing w:line="271" w:lineRule="auto" w:after="20" w:before="20"/>
              <w:jc w:val="center"/>
            </w:pPr>
            <w:r>
              <w:rPr>
                <w:b w:val="0"/>
                <w:sz w:val="19"/>
              </w:rPr>
              <w:t>ALFWorld [15]</w:t>
            </w:r>
          </w:p>
        </w:tc>
        <w:tc>
          <w:tcPr>
            <w:tcW w:type="dxa" w:w="2721"/>
            <w:vAlign w:val="center"/>
          </w:tcPr>
          <w:p>
            <w:pPr>
              <w:keepNext w:val="0"/>
              <w:spacing w:line="271" w:lineRule="auto" w:after="20" w:before="20"/>
            </w:pPr>
            <w:r>
              <w:rPr>
                <w:b w:val="0"/>
                <w:sz w:val="19"/>
              </w:rPr>
              <w:t>文本化家庭任务，观察、移动、查找和对象操作。</w:t>
            </w:r>
          </w:p>
        </w:tc>
        <w:tc>
          <w:tcPr>
            <w:tcW w:type="dxa" w:w="2891"/>
            <w:vAlign w:val="center"/>
          </w:tcPr>
          <w:p>
            <w:pPr>
              <w:keepNext w:val="0"/>
              <w:spacing w:line="271" w:lineRule="auto" w:after="20" w:before="20"/>
            </w:pPr>
            <w:r>
              <w:rPr>
                <w:b w:val="0"/>
                <w:sz w:val="19"/>
              </w:rPr>
              <w:t>原论文 6 类任务；3553 train、140 seen、134 unseen。</w:t>
            </w:r>
          </w:p>
        </w:tc>
        <w:tc>
          <w:tcPr>
            <w:tcW w:type="dxa" w:w="1871"/>
            <w:vAlign w:val="center"/>
          </w:tcPr>
          <w:p>
            <w:pPr>
              <w:keepNext w:val="0"/>
              <w:spacing w:line="271" w:lineRule="auto" w:after="20" w:before="20"/>
            </w:pPr>
            <w:r>
              <w:rPr>
                <w:b w:val="0"/>
                <w:sz w:val="19"/>
              </w:rPr>
              <w:t>自然任务主评测；本研究采用文本接口。</w:t>
            </w:r>
          </w:p>
        </w:tc>
      </w:tr>
      <w:tr>
        <w:trPr>
          <w:cantSplit/>
        </w:trPr>
        <w:tc>
          <w:tcPr>
            <w:tcW w:type="dxa" w:w="1814"/>
            <w:vAlign w:val="center"/>
          </w:tcPr>
          <w:p>
            <w:pPr>
              <w:keepNext w:val="0"/>
              <w:spacing w:line="271" w:lineRule="auto" w:after="20" w:before="20"/>
            </w:pPr>
            <w:r>
              <w:rPr>
                <w:b w:val="0"/>
                <w:sz w:val="19"/>
              </w:rPr>
              <w:t>ScienceWorld [16]</w:t>
            </w:r>
          </w:p>
        </w:tc>
        <w:tc>
          <w:tcPr>
            <w:tcW w:type="dxa" w:w="2721"/>
            <w:vAlign w:val="center"/>
          </w:tcPr>
          <w:p>
            <w:pPr>
              <w:keepNext w:val="0"/>
              <w:spacing w:line="271" w:lineRule="auto" w:after="20" w:before="20"/>
            </w:pPr>
            <w:r>
              <w:rPr>
                <w:b w:val="0"/>
                <w:sz w:val="19"/>
              </w:rPr>
              <w:t>科学实验与环境交互，包含隐藏条件和多步操作。</w:t>
            </w:r>
          </w:p>
        </w:tc>
        <w:tc>
          <w:tcPr>
            <w:tcW w:type="dxa" w:w="2891"/>
            <w:vAlign w:val="center"/>
          </w:tcPr>
          <w:p>
            <w:pPr>
              <w:keepNext w:val="0"/>
              <w:spacing w:line="271" w:lineRule="auto" w:after="20" w:before="20"/>
            </w:pPr>
            <w:r>
              <w:rPr>
                <w:b w:val="0"/>
                <w:sz w:val="19"/>
              </w:rPr>
              <w:t>原论文 30 类任务，使用官方 train/dev/test variation IDs。</w:t>
            </w:r>
          </w:p>
        </w:tc>
        <w:tc>
          <w:tcPr>
            <w:tcW w:type="dxa" w:w="1871"/>
            <w:vAlign w:val="center"/>
          </w:tcPr>
          <w:p>
            <w:pPr>
              <w:keepNext w:val="0"/>
              <w:spacing w:line="271" w:lineRule="auto" w:after="20" w:before="20"/>
            </w:pPr>
            <w:r>
              <w:rPr>
                <w:b w:val="0"/>
                <w:sz w:val="19"/>
              </w:rPr>
              <w:t>跨领域主评测；完整清单在版本冻结时导出。</w:t>
            </w:r>
          </w:p>
        </w:tc>
      </w:tr>
      <w:tr>
        <w:trPr>
          <w:cantSplit/>
        </w:trPr>
        <w:tc>
          <w:tcPr>
            <w:tcW w:type="dxa" w:w="1814"/>
            <w:vAlign w:val="center"/>
          </w:tcPr>
          <w:p>
            <w:pPr>
              <w:keepNext w:val="0"/>
              <w:spacing w:line="271" w:lineRule="auto" w:after="20" w:before="20"/>
              <w:jc w:val="center"/>
            </w:pPr>
            <w:r>
              <w:rPr>
                <w:b w:val="0"/>
                <w:sz w:val="19"/>
              </w:rPr>
              <w:t>MiniGrid [17]</w:t>
            </w:r>
          </w:p>
        </w:tc>
        <w:tc>
          <w:tcPr>
            <w:tcW w:type="dxa" w:w="2721"/>
            <w:vAlign w:val="center"/>
          </w:tcPr>
          <w:p>
            <w:pPr>
              <w:keepNext w:val="0"/>
              <w:spacing w:line="271" w:lineRule="auto" w:after="20" w:before="20"/>
            </w:pPr>
            <w:r>
              <w:rPr>
                <w:b w:val="0"/>
                <w:sz w:val="19"/>
              </w:rPr>
              <w:t>DoorKey 等部分可观测网格环境。</w:t>
            </w:r>
          </w:p>
        </w:tc>
        <w:tc>
          <w:tcPr>
            <w:tcW w:type="dxa" w:w="2891"/>
            <w:vAlign w:val="center"/>
          </w:tcPr>
          <w:p>
            <w:pPr>
              <w:keepNext w:val="0"/>
              <w:spacing w:line="271" w:lineRule="auto" w:after="20" w:before="20"/>
            </w:pPr>
            <w:r>
              <w:rPr>
                <w:b w:val="0"/>
                <w:sz w:val="19"/>
              </w:rPr>
              <w:t>程序生成环境，无统一的本研究 train/test 样本数。</w:t>
            </w:r>
          </w:p>
        </w:tc>
        <w:tc>
          <w:tcPr>
            <w:tcW w:type="dxa" w:w="1871"/>
            <w:vAlign w:val="center"/>
          </w:tcPr>
          <w:p>
            <w:pPr>
              <w:keepNext w:val="0"/>
              <w:spacing w:line="271" w:lineRule="auto" w:after="20" w:before="20"/>
            </w:pPr>
            <w:r>
              <w:rPr>
                <w:b w:val="0"/>
                <w:sz w:val="19"/>
              </w:rPr>
              <w:t>可选扩展；用于精确状态与随机性控制。</w:t>
            </w:r>
          </w:p>
        </w:tc>
      </w:tr>
    </w:tbl>
    <w:p>
      <w:pPr>
        <w:spacing w:after="20"/>
      </w:pPr>
    </w:p>
    <w:p>
      <w:pPr>
        <w:pStyle w:val="Heading2"/>
      </w:pPr>
      <w:r>
        <w:t>6.2 SharedPremiseBench 的构建</w:t>
      </w:r>
    </w:p>
    <w:p>
      <w:r>
        <w:rPr/>
        <w:t>设计六类可执行场景：权限依赖、门锁与钥匙、供能与设备、对象属性、资源容量、工具返回状态。每个场景包含 1–3 个隐藏二元变量、4 个候选动作、有限步长与明确回报。生成器允许相同隐藏配置影响多个不同动作，并提供穷举的任务真值与最优动作。自然语言表述与逻辑状态分开产生，先固定状态，再采样表达。</w:t>
      </w:r>
    </w:p>
    <w:p>
      <w:r>
        <w:rPr/>
        <w:t>规划建立 12,000 个基础场景，而不是把其增强版本算作独立样本。分为训练 6,000、开发 1,500、校准 1,500、分布内测试 1,500、组合泛化测试 1,500。按场景生成模板和根变量组合分组，保留未见过的组合结构与词汇映射；各 split 按六类场景分层。正式发布需记录生成器版本与各组哈希，不将只更换随机 seed 的近重复场景分到训练和测试两侧。</w:t>
      </w:r>
    </w:p>
    <w:p>
      <w:r>
        <w:rPr/>
        <w:t>在机制测试子集中，从分布内和组合泛化测试各取 300 个场景，共 600 个基础场景。为每个场景生成 m∈{1,2,4,8,16} 的干预，并交叉比较精确副本、语义改写、文本不同但共同前提已固定的后果呈现。独立条件随机样本、新假设和真实新观测单独成为对照，不纳入无信息复制集合。真假前提与决策相关性分层汇报。</w:t>
      </w:r>
    </w:p>
    <w:p>
      <w:r>
        <w:rPr/>
        <w:t>不同后果若改变了实际条件价值估计，就包含新的计算信息，不能直接要求最终动作保持不变。最严格实验将条件价值统计与动作集合固定，只改变后果的序列化表示；更自然的“增加不同后果”实验只约束根信念的证据含义，并允许动作因更准确的条件价值而变化。</w:t>
      </w:r>
    </w:p>
    <w:p>
      <w:pPr>
        <w:pStyle w:val="Heading2"/>
      </w:pPr>
      <w:r>
        <w:t>6.3 ALFWorld 的使用</w:t>
      </w:r>
    </w:p>
    <w:p>
      <w:r>
        <w:rPr/>
        <w:t>ALFWorld 原论文给出 3,553 个训练任务、140 个 seen 验证任务和134 个 unseen 验证任务 [15]。本研究保留官方 unseen 集作为预注册主测试，seen 集作为独立补充评测，不用于调参。将官方训练清单按 task_id 的固定哈希和任务类型分层，按 70%/15%/15% 划分模型训练、开发、校准；具体整数按冻结后的可加载任务清单计算并随代码发布。</w:t>
      </w:r>
    </w:p>
    <w:p>
      <w:r>
        <w:rPr/>
        <w:t>主评测报告完整可加载清单上的 episode success、完成步数、核验动作数及调用成本，行动上限初始设为 50 步。不同版本可能过滤缺失或不可解实例，因此论文中的官方数量用于说明来源，实际运行数量必须另报，并提供排除规则与 task_id。不能将运行异常的失败实例静默删除。</w:t>
      </w:r>
    </w:p>
    <w:p>
      <w:r>
        <w:rPr/>
        <w:t>来源恢复诊断集从固定行为策略的轨迹中按预定时间步抽取快照，每个 episode 最多 3 个；不能根据模型是否失败才抽样。前提可包括目标位置、容器状态或设备可用性。标签来自离线状态谓词，但模型输入仅含当时实际可见的观察。对无法稳定读取或验证的谓词，保留未标注状态。</w:t>
      </w:r>
    </w:p>
    <w:p>
      <w:pPr>
        <w:pStyle w:val="Heading2"/>
      </w:pPr>
      <w:r>
        <w:t>6.4 ScienceWorld 的使用</w:t>
      </w:r>
    </w:p>
    <w:p>
      <w:r>
        <w:rPr/>
        <w:t>ScienceWorld 原论文包含 10 个主题下的 30 类任务和约 7,200 个参数变体，按任务保留 50%/25%/25% 的官方训练、开发与测试划分，并包含未见物质或对象的泛化设计 [16]。本研究直接使用官方 API 给出的 variation IDs，从官方 train 中按任务类型分层留出 15% 用于校准，剩余用于训练；官方 dev 负责调参，官方 test 只运行冻结方案。各版本实际数量由清单统计，不用近似总量反推整数。</w:t>
      </w:r>
    </w:p>
    <w:p>
      <w:r>
        <w:rPr/>
        <w:t>当前官方仓库的 1.3.0 版本说明调整了仿真中的确定性顺序，可能改变旧版本物理行为与 gold path [24]。实施时应冻结一个完整版本和 JAR 校验和，重新验证每个任务的 reset 与动作历史重放。不能混合不同版本的训练轨迹与测试标签，也不能直接将不同版本分数作数值排名。</w:t>
      </w:r>
    </w:p>
    <w:p>
      <w:r>
        <w:rPr/>
        <w:t>正式主评测优先使用全部官方测试 variation；资源受限时，可预注册每类最多 10 个 variation 的均衡子集，按固定哈希选取，并明确标为 subset。行动上限初始设为 100 步，官方 reward/score 保持原定义；成功率若以最大官方得分为标准，应在代码中固定该判定。深度预演和观察简化设置对全部方法一致。</w:t>
      </w:r>
    </w:p>
    <w:p>
      <w:r>
        <w:rPr/>
        <w:t>ScienceWorld 的 done 也可能由超步数或负分触发，不能直接作为成功标签。主表保留官方原始得分，包括负失败分；单独以达到满分为成功标准，并在预实验核对其与目标完成标记的一致性。reset 内部的 look around 与后续 agent 动作计数应明确区分。各任务先独立求平均，再做 30 类宏平均，并同时报告总体平均。</w:t>
      </w:r>
    </w:p>
    <w:p>
      <w:pPr>
        <w:pStyle w:val="Heading2"/>
      </w:pPr>
      <w:r>
        <w:t>6.5 重放能力与状态干预</w:t>
      </w:r>
    </w:p>
    <w:p>
      <w:r>
        <w:rPr/>
        <w:t>本方案不预设 ALFWorld 或 ScienceWorld 具有通用 clone API。配对实验采用“重置同一任务实例并重放同一行动前缀”恢复快照；通过观测、可验证状态谓词和 RNG 状态摘要检查等价性。若某实例不可稳定重放，则不进行声称精确配对的因果分析，改用独立重复估计并标注适用范围。自建模拟器支持显式状态序列化，是严格因果实验的主要载体。</w:t>
      </w:r>
    </w:p>
    <w:p>
      <w:r>
        <w:rPr/>
        <w:t>MiniGrid 扩展拟使用 DoorKey 及局部观察变体，按生成 seed 和布局模板建立本研究划分。额外加入的传感噪声或随机转移必须标为自定义变体；不得把这些性质归给原始环境。其作用是区分部分可观测状态的不确定性与给定状态后的随机转移。</w:t>
      </w:r>
    </w:p>
    <w:p>
      <w:r>
        <w:rPr/>
        <w:t>可选配置为 MiniGrid-DoorKey-8x8-v0 和 BabyAI-UnlockPickup-v0；每个环境拟用 seed 0–1999 训练、2000–2199 开发、2200–2399 校准、10000–10499 测试。生成后按完整初始状态与 mission 去重并冻结清单，避免不同 seed 生成同一任务跨 split 泄漏。状态审计包括 carrying、step_count、mission 与 RNG，不能只依赖内置 hash。</w:t>
      </w:r>
    </w:p>
    <w:p>
      <w:pPr>
        <w:pStyle w:val="Heading2"/>
      </w:pPr>
      <w:r>
        <w:t>6.6 数据许可与可复现发布</w:t>
      </w:r>
    </w:p>
    <w:p>
      <w:r>
        <w:rPr/>
        <w:t>ALFWorld 仓库使用 MIT 许可，ScienceWorld 与当前 MiniGrid 仓库使用 Apache 2.0；ALFWorld 的 Fast Downward 依赖使用 GPLv3，底层数据也需分别核对条款 [17,23,24]。发布派生记录时保留来源、许可证与版本清单。可公开生成器、任务 ID、来源图和评测脚本；涉及专有服务的原始响应是否可再分发，以使用时条款为准，至少发布请求模板和去标识化统计。</w:t>
      </w:r>
    </w:p>
    <w:p>
      <w:pPr>
        <w:pStyle w:val="Heading1"/>
      </w:pPr>
      <w:bookmarkStart w:id="136" w:name="Saacca857002bcfb"/>
      <w:r>
        <w:t>7 Baseline 与公平比较</w:t>
      </w:r>
      <w:bookmarkEnd w:id="136"/>
    </w:p>
    <w:p>
      <w:pPr>
        <w:pStyle w:val="Heading2"/>
      </w:pPr>
      <w:r>
        <w:t>7.1 两层比较原则</w:t>
      </w:r>
    </w:p>
    <w:p>
      <w:r>
        <w:rPr/>
        <w:t>主机制表采用同一冻结世界模型、候选动作、真实观测、rollout bank 和评分器，仅改变聚合方式。系统表另外比较具代表性的完整规划方法，采用相同模型能力层级和分档预算。前者用于归因，后者用于评估实际价值；不能将原论文在不同模型和环境版本上的分数直接搬入主表。</w:t>
      </w:r>
    </w:p>
    <w:p>
      <w:r>
        <w:rPr/>
        <w:t>主实验有预算相同与原生开销两种视角。预算相同视角匹配总生成 token、调用次数、实际环境核验数与调参预算；原生开销视角报告本方法减少冗余后的真实速度与费用。语义去重所节省的 token 可在系统实验中重新投入合法独立采样，但机制实验中应固定 rollout bank。</w:t>
      </w:r>
    </w:p>
    <w:p>
      <w:pPr>
        <w:pStyle w:val="Heading2"/>
      </w:pPr>
      <w:r>
        <w:t>7.2 主机制表的必需基线</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041"/>
        <w:gridCol w:w="4082"/>
        <w:gridCol w:w="3175"/>
      </w:tblGrid>
      <w:tr>
        <w:trPr>
          <w:cantSplit/>
          <w:tblHeader/>
        </w:trPr>
        <w:tc>
          <w:tcPr>
            <w:tcW w:type="dxa" w:w="2041"/>
            <w:vAlign w:val="center"/>
            <w:shd w:fill="E6ECF2"/>
          </w:tcPr>
          <w:p>
            <w:pPr>
              <w:keepNext/>
              <w:spacing w:line="271" w:lineRule="auto" w:after="20" w:before="20"/>
              <w:jc w:val="center"/>
            </w:pPr>
            <w:r>
              <w:rPr>
                <w:b/>
                <w:sz w:val="19"/>
              </w:rPr>
              <w:t>编号与方法</w:t>
            </w:r>
          </w:p>
        </w:tc>
        <w:tc>
          <w:tcPr>
            <w:tcW w:type="dxa" w:w="4082"/>
            <w:vAlign w:val="center"/>
            <w:shd w:fill="E6ECF2"/>
          </w:tcPr>
          <w:p>
            <w:pPr>
              <w:keepNext/>
              <w:spacing w:line="271" w:lineRule="auto" w:after="20" w:before="20"/>
            </w:pPr>
            <w:r>
              <w:rPr>
                <w:b/>
                <w:sz w:val="19"/>
              </w:rPr>
              <w:t>具体实现</w:t>
            </w:r>
          </w:p>
        </w:tc>
        <w:tc>
          <w:tcPr>
            <w:tcW w:type="dxa" w:w="3175"/>
            <w:vAlign w:val="center"/>
            <w:shd w:fill="E6ECF2"/>
          </w:tcPr>
          <w:p>
            <w:pPr>
              <w:keepNext/>
              <w:spacing w:line="271" w:lineRule="auto" w:after="20" w:before="20"/>
            </w:pPr>
            <w:r>
              <w:rPr>
                <w:b/>
                <w:sz w:val="19"/>
              </w:rPr>
              <w:t>要排除的替代解释</w:t>
            </w:r>
          </w:p>
        </w:tc>
      </w:tr>
      <w:tr>
        <w:trPr>
          <w:cantSplit/>
        </w:trPr>
        <w:tc>
          <w:tcPr>
            <w:tcW w:type="dxa" w:w="2041"/>
            <w:vAlign w:val="center"/>
          </w:tcPr>
          <w:p>
            <w:pPr>
              <w:keepNext/>
              <w:spacing w:line="271" w:lineRule="auto" w:after="20" w:before="20"/>
              <w:jc w:val="center"/>
            </w:pPr>
            <w:r>
              <w:rPr>
                <w:b w:val="0"/>
                <w:sz w:val="19"/>
              </w:rPr>
              <w:t>B0  无预演 ReAct</w:t>
            </w:r>
          </w:p>
        </w:tc>
        <w:tc>
          <w:tcPr>
            <w:tcW w:type="dxa" w:w="4082"/>
            <w:vAlign w:val="center"/>
          </w:tcPr>
          <w:p>
            <w:pPr>
              <w:keepNext/>
              <w:spacing w:line="271" w:lineRule="auto" w:after="20" w:before="20"/>
            </w:pPr>
            <w:r>
              <w:rPr>
                <w:b w:val="0"/>
                <w:sz w:val="19"/>
              </w:rPr>
              <w:t>同一骨干交替读取真实观察并选择动作，不提供想象未来。</w:t>
            </w:r>
          </w:p>
        </w:tc>
        <w:tc>
          <w:tcPr>
            <w:tcW w:type="dxa" w:w="3175"/>
            <w:vAlign w:val="center"/>
          </w:tcPr>
          <w:p>
            <w:pPr>
              <w:keepNext/>
              <w:spacing w:line="271" w:lineRule="auto" w:after="20" w:before="20"/>
            </w:pPr>
            <w:r>
              <w:rPr>
                <w:b w:val="0"/>
                <w:sz w:val="19"/>
              </w:rPr>
              <w:t>预演是否本身有用；稳定是否来自完全忽略未来。</w:t>
            </w:r>
          </w:p>
        </w:tc>
      </w:tr>
      <w:tr>
        <w:trPr>
          <w:cantSplit/>
        </w:trPr>
        <w:tc>
          <w:tcPr>
            <w:tcW w:type="dxa" w:w="2041"/>
            <w:vAlign w:val="center"/>
          </w:tcPr>
          <w:p>
            <w:pPr>
              <w:keepNext w:val="0"/>
              <w:spacing w:line="271" w:lineRule="auto" w:after="20" w:before="20"/>
              <w:jc w:val="center"/>
            </w:pPr>
            <w:r>
              <w:rPr>
                <w:b w:val="0"/>
                <w:sz w:val="19"/>
              </w:rPr>
              <w:t>B1  平面聚合</w:t>
            </w:r>
          </w:p>
        </w:tc>
        <w:tc>
          <w:tcPr>
            <w:tcW w:type="dxa" w:w="4082"/>
            <w:vAlign w:val="center"/>
          </w:tcPr>
          <w:p>
            <w:pPr>
              <w:keepNext w:val="0"/>
              <w:spacing w:line="271" w:lineRule="auto" w:after="20" w:before="20"/>
            </w:pPr>
            <w:r>
              <w:rPr>
                <w:b w:val="0"/>
                <w:sz w:val="19"/>
              </w:rPr>
              <w:t>同一组轨迹拼接后由统一策略读出动作与成功率；不提供来源关系。</w:t>
            </w:r>
          </w:p>
        </w:tc>
        <w:tc>
          <w:tcPr>
            <w:tcW w:type="dxa" w:w="3175"/>
            <w:vAlign w:val="center"/>
          </w:tcPr>
          <w:p>
            <w:pPr>
              <w:keepNext w:val="0"/>
              <w:spacing w:line="271" w:lineRule="auto" w:after="20" w:before="20"/>
            </w:pPr>
            <w:r>
              <w:rPr>
                <w:b w:val="0"/>
                <w:sz w:val="19"/>
              </w:rPr>
              <w:t>共同出发点。不得故意采用错误独立公式制造弱基线。</w:t>
            </w:r>
          </w:p>
        </w:tc>
      </w:tr>
      <w:tr>
        <w:trPr>
          <w:cantSplit/>
        </w:trPr>
        <w:tc>
          <w:tcPr>
            <w:tcW w:type="dxa" w:w="2041"/>
            <w:vAlign w:val="center"/>
          </w:tcPr>
          <w:p>
            <w:pPr>
              <w:keepNext w:val="0"/>
              <w:spacing w:line="271" w:lineRule="auto" w:after="20" w:before="20"/>
              <w:jc w:val="center"/>
            </w:pPr>
            <w:r>
              <w:rPr>
                <w:b w:val="0"/>
                <w:sz w:val="19"/>
              </w:rPr>
              <w:t>B2  逐轨迹校准</w:t>
            </w:r>
          </w:p>
        </w:tc>
        <w:tc>
          <w:tcPr>
            <w:tcW w:type="dxa" w:w="4082"/>
            <w:vAlign w:val="center"/>
          </w:tcPr>
          <w:p>
            <w:pPr>
              <w:keepNext w:val="0"/>
              <w:spacing w:line="271" w:lineRule="auto" w:after="20" w:before="20"/>
            </w:pPr>
            <w:r>
              <w:rPr>
                <w:b w:val="0"/>
                <w:sz w:val="19"/>
              </w:rPr>
              <w:t>每条轨迹独立预测动作成功概率并校准；同一动作内取均值后选优。</w:t>
            </w:r>
          </w:p>
        </w:tc>
        <w:tc>
          <w:tcPr>
            <w:tcW w:type="dxa" w:w="3175"/>
            <w:vAlign w:val="center"/>
          </w:tcPr>
          <w:p>
            <w:pPr>
              <w:keepNext w:val="0"/>
              <w:spacing w:line="271" w:lineRule="auto" w:after="20" w:before="20"/>
            </w:pPr>
            <w:r>
              <w:rPr>
                <w:b w:val="0"/>
                <w:sz w:val="19"/>
              </w:rPr>
              <w:t>仅提高边际校准是否已经足够；均值基线也可能抵御均匀复制。</w:t>
            </w:r>
          </w:p>
        </w:tc>
      </w:tr>
      <w:tr>
        <w:trPr>
          <w:cantSplit/>
        </w:trPr>
        <w:tc>
          <w:tcPr>
            <w:tcW w:type="dxa" w:w="2041"/>
            <w:vAlign w:val="center"/>
          </w:tcPr>
          <w:p>
            <w:pPr>
              <w:keepNext w:val="0"/>
              <w:spacing w:line="271" w:lineRule="auto" w:after="20" w:before="20"/>
              <w:jc w:val="center"/>
            </w:pPr>
            <w:r>
              <w:rPr>
                <w:b w:val="0"/>
                <w:sz w:val="19"/>
              </w:rPr>
              <w:t>B3  风险分类器</w:t>
            </w:r>
          </w:p>
        </w:tc>
        <w:tc>
          <w:tcPr>
            <w:tcW w:type="dxa" w:w="4082"/>
            <w:vAlign w:val="center"/>
          </w:tcPr>
          <w:p>
            <w:pPr>
              <w:keepNext w:val="0"/>
              <w:spacing w:line="271" w:lineRule="auto" w:after="20" w:before="20"/>
            </w:pPr>
            <w:r>
              <w:rPr>
                <w:b w:val="0"/>
                <w:sz w:val="19"/>
              </w:rPr>
              <w:t>输入证据、动作、轨迹分数摘要和预算；MLP 或逻辑回归预测失败。</w:t>
            </w:r>
          </w:p>
        </w:tc>
        <w:tc>
          <w:tcPr>
            <w:tcW w:type="dxa" w:w="3175"/>
            <w:vAlign w:val="center"/>
          </w:tcPr>
          <w:p>
            <w:pPr>
              <w:keepNext w:val="0"/>
              <w:spacing w:line="271" w:lineRule="auto" w:after="20" w:before="20"/>
            </w:pPr>
            <w:r>
              <w:rPr>
                <w:b w:val="0"/>
                <w:sz w:val="19"/>
              </w:rPr>
              <w:t>简单监督模型能否替代来源结构。</w:t>
            </w:r>
          </w:p>
        </w:tc>
      </w:tr>
      <w:tr>
        <w:trPr>
          <w:cantSplit/>
        </w:trPr>
        <w:tc>
          <w:tcPr>
            <w:tcW w:type="dxa" w:w="2041"/>
            <w:vAlign w:val="center"/>
          </w:tcPr>
          <w:p>
            <w:pPr>
              <w:keepNext w:val="0"/>
              <w:spacing w:line="271" w:lineRule="auto" w:after="20" w:before="20"/>
              <w:jc w:val="center"/>
            </w:pPr>
            <w:r>
              <w:rPr>
                <w:b w:val="0"/>
                <w:sz w:val="19"/>
              </w:rPr>
              <w:t>B4  精确去重</w:t>
            </w:r>
          </w:p>
        </w:tc>
        <w:tc>
          <w:tcPr>
            <w:tcW w:type="dxa" w:w="4082"/>
            <w:vAlign w:val="center"/>
          </w:tcPr>
          <w:p>
            <w:pPr>
              <w:keepNext w:val="0"/>
              <w:spacing w:line="271" w:lineRule="auto" w:after="20" w:before="20"/>
            </w:pPr>
            <w:r>
              <w:rPr>
                <w:b w:val="0"/>
                <w:sz w:val="19"/>
              </w:rPr>
              <w:t>按文本哈希删除完全相同的表述，其余采用 B1。</w:t>
            </w:r>
          </w:p>
        </w:tc>
        <w:tc>
          <w:tcPr>
            <w:tcW w:type="dxa" w:w="3175"/>
            <w:vAlign w:val="center"/>
          </w:tcPr>
          <w:p>
            <w:pPr>
              <w:keepNext w:val="0"/>
              <w:spacing w:line="271" w:lineRule="auto" w:after="20" w:before="20"/>
            </w:pPr>
            <w:r>
              <w:rPr>
                <w:b w:val="0"/>
                <w:sz w:val="19"/>
              </w:rPr>
              <w:t>收益是否只是节省重复 token。</w:t>
            </w:r>
          </w:p>
        </w:tc>
      </w:tr>
      <w:tr>
        <w:trPr>
          <w:cantSplit/>
        </w:trPr>
        <w:tc>
          <w:tcPr>
            <w:tcW w:type="dxa" w:w="2041"/>
            <w:vAlign w:val="center"/>
          </w:tcPr>
          <w:p>
            <w:pPr>
              <w:keepNext w:val="0"/>
              <w:spacing w:line="271" w:lineRule="auto" w:after="20" w:before="20"/>
              <w:jc w:val="center"/>
            </w:pPr>
            <w:r>
              <w:rPr>
                <w:b w:val="0"/>
                <w:sz w:val="19"/>
              </w:rPr>
              <w:t>B5  语义去重</w:t>
            </w:r>
          </w:p>
        </w:tc>
        <w:tc>
          <w:tcPr>
            <w:tcW w:type="dxa" w:w="4082"/>
            <w:vAlign w:val="center"/>
          </w:tcPr>
          <w:p>
            <w:pPr>
              <w:keepNext w:val="0"/>
              <w:spacing w:line="271" w:lineRule="auto" w:after="20" w:before="20"/>
            </w:pPr>
            <w:r>
              <w:rPr>
                <w:b w:val="0"/>
                <w:sz w:val="19"/>
              </w:rPr>
              <w:t>同一冻结编码器做阈值聚类，每簇代表或均值聚合；阈值只在 dev 选。</w:t>
            </w:r>
          </w:p>
        </w:tc>
        <w:tc>
          <w:tcPr>
            <w:tcW w:type="dxa" w:w="3175"/>
            <w:vAlign w:val="center"/>
          </w:tcPr>
          <w:p>
            <w:pPr>
              <w:keepNext w:val="0"/>
              <w:spacing w:line="271" w:lineRule="auto" w:after="20" w:before="20"/>
            </w:pPr>
            <w:r>
              <w:rPr>
                <w:b w:val="0"/>
                <w:sz w:val="19"/>
              </w:rPr>
              <w:t>表面语义相似性处理能否解释全部收益。</w:t>
            </w:r>
          </w:p>
        </w:tc>
      </w:tr>
      <w:tr>
        <w:trPr>
          <w:cantSplit/>
        </w:trPr>
        <w:tc>
          <w:tcPr>
            <w:tcW w:type="dxa" w:w="2041"/>
            <w:vAlign w:val="center"/>
          </w:tcPr>
          <w:p>
            <w:pPr>
              <w:keepNext w:val="0"/>
              <w:spacing w:line="271" w:lineRule="auto" w:after="20" w:before="20"/>
              <w:jc w:val="center"/>
            </w:pPr>
            <w:r>
              <w:rPr>
                <w:b w:val="0"/>
                <w:sz w:val="19"/>
              </w:rPr>
              <w:t>B6  来源分组平均</w:t>
            </w:r>
          </w:p>
        </w:tc>
        <w:tc>
          <w:tcPr>
            <w:tcW w:type="dxa" w:w="4082"/>
            <w:vAlign w:val="center"/>
          </w:tcPr>
          <w:p>
            <w:pPr>
              <w:keepNext w:val="0"/>
              <w:spacing w:line="271" w:lineRule="auto" w:after="20" w:before="20"/>
            </w:pPr>
            <w:r>
              <w:rPr>
                <w:b w:val="0"/>
                <w:sz w:val="19"/>
              </w:rPr>
              <w:t>使用与本方法相同的学习来源图，组内均值或层次 attention；不设独立信念账本。</w:t>
            </w:r>
          </w:p>
        </w:tc>
        <w:tc>
          <w:tcPr>
            <w:tcW w:type="dxa" w:w="3175"/>
            <w:vAlign w:val="center"/>
          </w:tcPr>
          <w:p>
            <w:pPr>
              <w:keepNext w:val="0"/>
              <w:spacing w:line="271" w:lineRule="auto" w:after="20" w:before="20"/>
            </w:pPr>
            <w:r>
              <w:rPr>
                <w:b w:val="0"/>
                <w:sz w:val="19"/>
              </w:rPr>
              <w:t>仅分组是否足够；分离信念与条件价值是否必要。</w:t>
            </w:r>
          </w:p>
        </w:tc>
      </w:tr>
      <w:tr>
        <w:trPr>
          <w:cantSplit/>
        </w:trPr>
        <w:tc>
          <w:tcPr>
            <w:tcW w:type="dxa" w:w="2041"/>
            <w:vAlign w:val="center"/>
          </w:tcPr>
          <w:p>
            <w:pPr>
              <w:keepNext w:val="0"/>
              <w:spacing w:line="271" w:lineRule="auto" w:after="20" w:before="20"/>
              <w:jc w:val="center"/>
            </w:pPr>
            <w:r>
              <w:rPr>
                <w:b w:val="0"/>
                <w:sz w:val="19"/>
              </w:rPr>
              <w:t>B7  显式信念混合</w:t>
            </w:r>
          </w:p>
        </w:tc>
        <w:tc>
          <w:tcPr>
            <w:tcW w:type="dxa" w:w="4082"/>
            <w:vAlign w:val="center"/>
          </w:tcPr>
          <w:p>
            <w:pPr>
              <w:keepNext w:val="0"/>
              <w:spacing w:line="271" w:lineRule="auto" w:after="20" w:before="20"/>
            </w:pPr>
            <w:r>
              <w:rPr>
                <w:b w:val="0"/>
                <w:sz w:val="19"/>
              </w:rPr>
              <w:t>标准有限假设规划，按 q 混合条件均值，保留独立样本身份。</w:t>
            </w:r>
          </w:p>
        </w:tc>
        <w:tc>
          <w:tcPr>
            <w:tcW w:type="dxa" w:w="3175"/>
            <w:vAlign w:val="center"/>
          </w:tcPr>
          <w:p>
            <w:pPr>
              <w:keepNext w:val="0"/>
              <w:spacing w:line="271" w:lineRule="auto" w:after="20" w:before="20"/>
            </w:pPr>
            <w:r>
              <w:rPr>
                <w:b w:val="0"/>
                <w:sz w:val="19"/>
              </w:rPr>
              <w:t>既有概率规划原则能否解决问题；正确来源已知时应与 P1 一致。</w:t>
            </w:r>
          </w:p>
        </w:tc>
      </w:tr>
      <w:tr>
        <w:trPr>
          <w:cantSplit/>
        </w:trPr>
        <w:tc>
          <w:tcPr>
            <w:tcW w:type="dxa" w:w="2041"/>
            <w:vAlign w:val="center"/>
          </w:tcPr>
          <w:p>
            <w:pPr>
              <w:keepNext w:val="0"/>
              <w:spacing w:line="271" w:lineRule="auto" w:after="20" w:before="20"/>
              <w:jc w:val="center"/>
            </w:pPr>
            <w:r>
              <w:rPr>
                <w:b w:val="0"/>
                <w:sz w:val="19"/>
              </w:rPr>
              <w:t>B8  调用来源分组</w:t>
            </w:r>
          </w:p>
        </w:tc>
        <w:tc>
          <w:tcPr>
            <w:tcW w:type="dxa" w:w="4082"/>
            <w:vAlign w:val="center"/>
          </w:tcPr>
          <w:p>
            <w:pPr>
              <w:keepNext w:val="0"/>
              <w:spacing w:line="271" w:lineRule="auto" w:after="20" w:before="20"/>
            </w:pPr>
            <w:r>
              <w:rPr>
                <w:b w:val="0"/>
                <w:sz w:val="19"/>
              </w:rPr>
              <w:t>仅按生成调用或分支 ID 聚合，不恢复跨调用的共同前提。</w:t>
            </w:r>
          </w:p>
        </w:tc>
        <w:tc>
          <w:tcPr>
            <w:tcW w:type="dxa" w:w="3175"/>
            <w:vAlign w:val="center"/>
          </w:tcPr>
          <w:p>
            <w:pPr>
              <w:keepNext w:val="0"/>
              <w:spacing w:line="271" w:lineRule="auto" w:after="20" w:before="20"/>
            </w:pPr>
            <w:r>
              <w:rPr>
                <w:b w:val="0"/>
                <w:sz w:val="19"/>
              </w:rPr>
              <w:t>廉价日志元数据是否已足够。</w:t>
            </w:r>
          </w:p>
        </w:tc>
      </w:tr>
      <w:tr>
        <w:trPr>
          <w:cantSplit/>
        </w:trPr>
        <w:tc>
          <w:tcPr>
            <w:tcW w:type="dxa" w:w="2041"/>
            <w:vAlign w:val="center"/>
          </w:tcPr>
          <w:p>
            <w:pPr>
              <w:keepNext w:val="0"/>
              <w:spacing w:line="271" w:lineRule="auto" w:after="20" w:before="20"/>
              <w:jc w:val="center"/>
            </w:pPr>
            <w:r>
              <w:rPr>
                <w:b w:val="0"/>
                <w:sz w:val="19"/>
              </w:rPr>
              <w:t>P1  PHCP Struct</w:t>
            </w:r>
          </w:p>
        </w:tc>
        <w:tc>
          <w:tcPr>
            <w:tcW w:type="dxa" w:w="4082"/>
            <w:vAlign w:val="center"/>
          </w:tcPr>
          <w:p>
            <w:pPr>
              <w:keepNext w:val="0"/>
              <w:spacing w:line="271" w:lineRule="auto" w:after="20" w:before="20"/>
            </w:pPr>
            <w:r>
              <w:rPr>
                <w:b w:val="0"/>
                <w:sz w:val="19"/>
              </w:rPr>
              <w:t>相同 q 与条件评分器，唯一来源与样本身份规范化后显式加权。</w:t>
            </w:r>
          </w:p>
        </w:tc>
        <w:tc>
          <w:tcPr>
            <w:tcW w:type="dxa" w:w="3175"/>
            <w:vAlign w:val="center"/>
          </w:tcPr>
          <w:p>
            <w:pPr>
              <w:keepNext w:val="0"/>
              <w:spacing w:line="271" w:lineRule="auto" w:after="20" w:before="20"/>
            </w:pPr>
            <w:r>
              <w:rPr>
                <w:b w:val="0"/>
                <w:sz w:val="19"/>
              </w:rPr>
              <w:t>来源保持机制的最小实现。</w:t>
            </w:r>
          </w:p>
        </w:tc>
      </w:tr>
      <w:tr>
        <w:trPr>
          <w:cantSplit/>
        </w:trPr>
        <w:tc>
          <w:tcPr>
            <w:tcW w:type="dxa" w:w="2041"/>
            <w:vAlign w:val="center"/>
          </w:tcPr>
          <w:p>
            <w:pPr>
              <w:keepNext w:val="0"/>
              <w:spacing w:line="271" w:lineRule="auto" w:after="20" w:before="20"/>
            </w:pPr>
            <w:r>
              <w:rPr>
                <w:b w:val="0"/>
                <w:sz w:val="19"/>
              </w:rPr>
              <w:t>P2  PHCP Attention</w:t>
            </w:r>
          </w:p>
        </w:tc>
        <w:tc>
          <w:tcPr>
            <w:tcW w:type="dxa" w:w="4082"/>
            <w:vAlign w:val="center"/>
          </w:tcPr>
          <w:p>
            <w:pPr>
              <w:keepNext w:val="0"/>
              <w:spacing w:line="271" w:lineRule="auto" w:after="20" w:before="20"/>
            </w:pPr>
            <w:r>
              <w:rPr>
                <w:b w:val="0"/>
                <w:sz w:val="19"/>
              </w:rPr>
              <w:t>在 P1 上加入同预算的条件价值注意力适配器。</w:t>
            </w:r>
          </w:p>
        </w:tc>
        <w:tc>
          <w:tcPr>
            <w:tcW w:type="dxa" w:w="3175"/>
            <w:vAlign w:val="center"/>
          </w:tcPr>
          <w:p>
            <w:pPr>
              <w:keepNext w:val="0"/>
              <w:spacing w:line="271" w:lineRule="auto" w:after="20" w:before="20"/>
            </w:pPr>
            <w:r>
              <w:rPr>
                <w:b w:val="0"/>
                <w:sz w:val="19"/>
              </w:rPr>
              <w:t>attention 是否带来超出显式结构的增益。</w:t>
            </w:r>
          </w:p>
        </w:tc>
      </w:tr>
    </w:tbl>
    <w:p>
      <w:pPr>
        <w:spacing w:after="20"/>
      </w:pPr>
    </w:p>
    <w:p>
      <w:r>
        <w:rPr/>
        <w:t>B2 对每个动作 a 的所有轨迹分别计算校准后的成功概率 c(a,j)，默认动作分数为这些概率的算术均值，并按分数选动作；另设将 c 作为 token 特征提供给平面 attention 的适配版本。B2 至少运行同骨干语言判断、Jev 和开源头中的共同可用配置。B3 匹配监督标签数与调参预算，并增加同来源统计特征版本。B5 的局限必须由实验显示，不能故意剥夺其可用信息。</w:t>
      </w:r>
    </w:p>
    <w:p>
      <w:r>
        <w:rPr/>
        <w:t>B7 是必需的原则性强基线：在根配置与样本身份完全正确时，P1 不应声称优于同一数学计算。方法增量必须来自自然语言来源的恢复、保持信息身份的接口或条件表征，而非将标准概率混合重新命名。若 B7 在自然任务中已解决全部问题，则新贡献应限于机制诊断与可复现评测。B0 单列为系统参照，不参与“仅改变聚合”的因果归因。</w:t>
      </w:r>
    </w:p>
    <w:p>
      <w:pPr>
        <w:pStyle w:val="Heading2"/>
      </w:pPr>
      <w:r>
        <w:t>7.3 既有规划方法的系统比较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268"/>
        <w:gridCol w:w="2041"/>
        <w:gridCol w:w="4989"/>
      </w:tblGrid>
      <w:tr>
        <w:trPr>
          <w:cantSplit/>
          <w:tblHeader/>
        </w:trPr>
        <w:tc>
          <w:tcPr>
            <w:tcW w:type="dxa" w:w="2268"/>
            <w:vAlign w:val="center"/>
            <w:shd w:fill="E6ECF2"/>
          </w:tcPr>
          <w:p>
            <w:pPr>
              <w:keepNext/>
              <w:spacing w:line="271" w:lineRule="auto" w:after="20" w:before="20"/>
              <w:jc w:val="center"/>
            </w:pPr>
            <w:r>
              <w:rPr>
                <w:b/>
                <w:sz w:val="19"/>
              </w:rPr>
              <w:t>方法与出处</w:t>
            </w:r>
          </w:p>
        </w:tc>
        <w:tc>
          <w:tcPr>
            <w:tcW w:type="dxa" w:w="2041"/>
            <w:vAlign w:val="center"/>
            <w:shd w:fill="E6ECF2"/>
          </w:tcPr>
          <w:p>
            <w:pPr>
              <w:keepNext/>
              <w:spacing w:line="271" w:lineRule="auto" w:after="20" w:before="20"/>
            </w:pPr>
            <w:r>
              <w:rPr>
                <w:b/>
                <w:sz w:val="19"/>
              </w:rPr>
              <w:t>是否进入主系统表</w:t>
            </w:r>
          </w:p>
        </w:tc>
        <w:tc>
          <w:tcPr>
            <w:tcW w:type="dxa" w:w="4989"/>
            <w:vAlign w:val="center"/>
            <w:shd w:fill="E6ECF2"/>
          </w:tcPr>
          <w:p>
            <w:pPr>
              <w:keepNext/>
              <w:spacing w:line="271" w:lineRule="auto" w:after="20" w:before="20"/>
            </w:pPr>
            <w:r>
              <w:rPr>
                <w:b/>
                <w:sz w:val="19"/>
              </w:rPr>
              <w:t>复现与适配要求</w:t>
            </w:r>
          </w:p>
        </w:tc>
      </w:tr>
      <w:tr>
        <w:trPr>
          <w:cantSplit/>
        </w:trPr>
        <w:tc>
          <w:tcPr>
            <w:tcW w:type="dxa" w:w="2268"/>
            <w:vAlign w:val="center"/>
          </w:tcPr>
          <w:p>
            <w:pPr>
              <w:keepNext/>
              <w:spacing w:line="271" w:lineRule="auto" w:after="20" w:before="20"/>
            </w:pPr>
            <w:r>
              <w:rPr>
                <w:b w:val="0"/>
                <w:sz w:val="19"/>
              </w:rPr>
              <w:t>ReAct  ICLR 2023 [18]</w:t>
            </w:r>
          </w:p>
        </w:tc>
        <w:tc>
          <w:tcPr>
            <w:tcW w:type="dxa" w:w="2041"/>
            <w:vAlign w:val="center"/>
          </w:tcPr>
          <w:p>
            <w:pPr>
              <w:keepNext/>
              <w:spacing w:line="271" w:lineRule="auto" w:after="20" w:before="20"/>
            </w:pPr>
            <w:r>
              <w:rPr>
                <w:b w:val="0"/>
                <w:sz w:val="19"/>
              </w:rPr>
              <w:t>必需。</w:t>
            </w:r>
          </w:p>
        </w:tc>
        <w:tc>
          <w:tcPr>
            <w:tcW w:type="dxa" w:w="4989"/>
            <w:vAlign w:val="center"/>
          </w:tcPr>
          <w:p>
            <w:pPr>
              <w:keepNext/>
              <w:spacing w:line="271" w:lineRule="auto" w:after="20" w:before="20"/>
            </w:pPr>
            <w:r>
              <w:rPr>
                <w:b w:val="0"/>
                <w:sz w:val="19"/>
              </w:rPr>
              <w:t>使用官方提示范式与同一 backbone；报告本研究重跑结果。</w:t>
            </w:r>
          </w:p>
        </w:tc>
      </w:tr>
      <w:tr>
        <w:trPr>
          <w:cantSplit/>
        </w:trPr>
        <w:tc>
          <w:tcPr>
            <w:tcW w:type="dxa" w:w="2268"/>
            <w:vAlign w:val="center"/>
          </w:tcPr>
          <w:p>
            <w:pPr>
              <w:keepNext w:val="0"/>
              <w:spacing w:line="271" w:lineRule="auto" w:after="20" w:before="20"/>
            </w:pPr>
            <w:r>
              <w:rPr>
                <w:b w:val="0"/>
                <w:sz w:val="19"/>
              </w:rPr>
              <w:t>RAP  EMNLP 2023 [19]</w:t>
            </w:r>
          </w:p>
        </w:tc>
        <w:tc>
          <w:tcPr>
            <w:tcW w:type="dxa" w:w="2041"/>
            <w:vAlign w:val="center"/>
          </w:tcPr>
          <w:p>
            <w:pPr>
              <w:keepNext w:val="0"/>
              <w:spacing w:line="271" w:lineRule="auto" w:after="20" w:before="20"/>
            </w:pPr>
            <w:r>
              <w:rPr>
                <w:b w:val="0"/>
                <w:sz w:val="19"/>
              </w:rPr>
              <w:t>受控符号环境的搜索对照。</w:t>
            </w:r>
          </w:p>
        </w:tc>
        <w:tc>
          <w:tcPr>
            <w:tcW w:type="dxa" w:w="4989"/>
            <w:vAlign w:val="center"/>
          </w:tcPr>
          <w:p>
            <w:pPr>
              <w:keepNext w:val="0"/>
              <w:spacing w:line="271" w:lineRule="auto" w:after="20" w:before="20"/>
            </w:pPr>
            <w:r>
              <w:rPr>
                <w:b w:val="0"/>
                <w:sz w:val="19"/>
              </w:rPr>
              <w:t>实现世界模型加 MCTS；迁到新文本环境时标为 RAP style adaptation。</w:t>
            </w:r>
          </w:p>
        </w:tc>
      </w:tr>
      <w:tr>
        <w:trPr>
          <w:cantSplit/>
        </w:trPr>
        <w:tc>
          <w:tcPr>
            <w:tcW w:type="dxa" w:w="2268"/>
            <w:vAlign w:val="center"/>
          </w:tcPr>
          <w:p>
            <w:pPr>
              <w:keepNext w:val="0"/>
              <w:spacing w:line="271" w:lineRule="auto" w:after="20" w:before="20"/>
            </w:pPr>
            <w:r>
              <w:rPr>
                <w:b w:val="0"/>
                <w:sz w:val="19"/>
              </w:rPr>
              <w:t>LATS  ICML 2024 [20]</w:t>
            </w:r>
          </w:p>
        </w:tc>
        <w:tc>
          <w:tcPr>
            <w:tcW w:type="dxa" w:w="2041"/>
            <w:vAlign w:val="center"/>
          </w:tcPr>
          <w:p>
            <w:pPr>
              <w:keepNext w:val="0"/>
              <w:spacing w:line="271" w:lineRule="auto" w:after="20" w:before="20"/>
            </w:pPr>
            <w:r>
              <w:rPr>
                <w:b w:val="0"/>
                <w:sz w:val="19"/>
              </w:rPr>
              <w:t>资源允许时纳入强对照。</w:t>
            </w:r>
          </w:p>
        </w:tc>
        <w:tc>
          <w:tcPr>
            <w:tcW w:type="dxa" w:w="4989"/>
            <w:vAlign w:val="center"/>
          </w:tcPr>
          <w:p>
            <w:pPr>
              <w:keepNext w:val="0"/>
              <w:spacing w:line="271" w:lineRule="auto" w:after="20" w:before="20"/>
            </w:pPr>
            <w:r>
              <w:rPr>
                <w:b w:val="0"/>
                <w:sz w:val="19"/>
              </w:rPr>
              <w:t>保留搜索、反思与价值评估，并标明真实反馈访问和预算；移植环境后标为适配。</w:t>
            </w:r>
          </w:p>
        </w:tc>
      </w:tr>
      <w:tr>
        <w:trPr>
          <w:cantSplit/>
        </w:trPr>
        <w:tc>
          <w:tcPr>
            <w:tcW w:type="dxa" w:w="2268"/>
            <w:vAlign w:val="center"/>
          </w:tcPr>
          <w:p>
            <w:pPr>
              <w:keepNext w:val="0"/>
              <w:spacing w:line="271" w:lineRule="auto" w:after="20" w:before="20"/>
            </w:pPr>
            <w:r>
              <w:rPr>
                <w:b w:val="0"/>
                <w:sz w:val="19"/>
              </w:rPr>
              <w:t>WorldEvolver  2026 预印本 [7]</w:t>
            </w:r>
          </w:p>
        </w:tc>
        <w:tc>
          <w:tcPr>
            <w:tcW w:type="dxa" w:w="2041"/>
            <w:vAlign w:val="center"/>
          </w:tcPr>
          <w:p>
            <w:pPr>
              <w:keepNext w:val="0"/>
              <w:spacing w:line="271" w:lineRule="auto" w:after="20" w:before="20"/>
            </w:pPr>
            <w:r>
              <w:rPr>
                <w:b w:val="0"/>
                <w:sz w:val="19"/>
              </w:rPr>
              <w:t>公开文本环境的主要近期对照。</w:t>
            </w:r>
          </w:p>
        </w:tc>
        <w:tc>
          <w:tcPr>
            <w:tcW w:type="dxa" w:w="4989"/>
            <w:vAlign w:val="center"/>
          </w:tcPr>
          <w:p>
            <w:pPr>
              <w:keepNext w:val="0"/>
              <w:spacing w:line="271" w:lineRule="auto" w:after="20" w:before="20"/>
            </w:pPr>
            <w:r>
              <w:rPr>
                <w:b w:val="0"/>
                <w:sz w:val="19"/>
              </w:rPr>
              <w:t>按公开算法与提示词重实现，注明 paper reimplementation；冻结记忆来源和经验数据范围。</w:t>
            </w:r>
          </w:p>
        </w:tc>
      </w:tr>
      <w:tr>
        <w:trPr>
          <w:cantSplit/>
        </w:trPr>
        <w:tc>
          <w:tcPr>
            <w:tcW w:type="dxa" w:w="2268"/>
            <w:vAlign w:val="center"/>
          </w:tcPr>
          <w:p>
            <w:pPr>
              <w:keepNext w:val="0"/>
              <w:spacing w:line="271" w:lineRule="auto" w:after="20" w:before="20"/>
            </w:pPr>
            <w:r>
              <w:rPr>
                <w:b w:val="0"/>
                <w:sz w:val="19"/>
              </w:rPr>
              <w:t>FFDC  2026 预印本 [6]</w:t>
            </w:r>
          </w:p>
        </w:tc>
        <w:tc>
          <w:tcPr>
            <w:tcW w:type="dxa" w:w="2041"/>
            <w:vAlign w:val="center"/>
          </w:tcPr>
          <w:p>
            <w:pPr>
              <w:keepNext w:val="0"/>
              <w:spacing w:line="271" w:lineRule="auto" w:after="20" w:before="20"/>
            </w:pPr>
            <w:r>
              <w:rPr>
                <w:b w:val="0"/>
                <w:sz w:val="19"/>
              </w:rPr>
              <w:t>相关工作及可选启发式对照。</w:t>
            </w:r>
          </w:p>
        </w:tc>
        <w:tc>
          <w:tcPr>
            <w:tcW w:type="dxa" w:w="4989"/>
            <w:vAlign w:val="center"/>
          </w:tcPr>
          <w:p>
            <w:pPr>
              <w:keepNext w:val="0"/>
              <w:spacing w:line="271" w:lineRule="auto" w:after="20" w:before="20"/>
            </w:pPr>
            <w:r>
              <w:rPr>
                <w:b w:val="0"/>
                <w:sz w:val="19"/>
              </w:rPr>
              <w:t>原设定依赖视觉与动作 latent；文本 gating 不能冒充原方法复现。</w:t>
            </w:r>
          </w:p>
        </w:tc>
      </w:tr>
      <w:tr>
        <w:trPr>
          <w:cantSplit/>
        </w:trPr>
        <w:tc>
          <w:tcPr>
            <w:tcW w:type="dxa" w:w="2268"/>
            <w:vAlign w:val="center"/>
          </w:tcPr>
          <w:p>
            <w:pPr>
              <w:keepNext w:val="0"/>
              <w:spacing w:line="271" w:lineRule="auto" w:after="20" w:before="20"/>
            </w:pPr>
            <w:r>
              <w:rPr>
                <w:b w:val="0"/>
                <w:sz w:val="19"/>
              </w:rPr>
              <w:t>LeJudge  项目技术报告 [13]</w:t>
            </w:r>
          </w:p>
        </w:tc>
        <w:tc>
          <w:tcPr>
            <w:tcW w:type="dxa" w:w="2041"/>
            <w:vAlign w:val="center"/>
          </w:tcPr>
          <w:p>
            <w:pPr>
              <w:keepNext w:val="0"/>
              <w:spacing w:line="271" w:lineRule="auto" w:after="20" w:before="20"/>
            </w:pPr>
            <w:r>
              <w:rPr>
                <w:b w:val="0"/>
                <w:sz w:val="19"/>
              </w:rPr>
              <w:t>相关工作与组件对照。</w:t>
            </w:r>
          </w:p>
        </w:tc>
        <w:tc>
          <w:tcPr>
            <w:tcW w:type="dxa" w:w="4989"/>
            <w:vAlign w:val="center"/>
          </w:tcPr>
          <w:p>
            <w:pPr>
              <w:keepNext w:val="0"/>
              <w:spacing w:line="271" w:lineRule="auto" w:after="20" w:before="20"/>
            </w:pPr>
            <w:r>
              <w:rPr>
                <w:b w:val="0"/>
                <w:sz w:val="19"/>
              </w:rPr>
              <w:t>其 Jev 轨迹约束评分可启发 B2；不能将本方案文本移植命名为原项目结果。</w:t>
            </w:r>
          </w:p>
        </w:tc>
      </w:tr>
      <w:tr>
        <w:trPr>
          <w:cantSplit/>
        </w:trPr>
        <w:tc>
          <w:tcPr>
            <w:tcW w:type="dxa" w:w="2268"/>
            <w:vAlign w:val="center"/>
          </w:tcPr>
          <w:p>
            <w:pPr>
              <w:keepNext w:val="0"/>
              <w:spacing w:line="271" w:lineRule="auto" w:after="20" w:before="20"/>
            </w:pPr>
            <w:r>
              <w:rPr>
                <w:b w:val="0"/>
                <w:sz w:val="19"/>
              </w:rPr>
              <w:t>PETS 与 AD WM [1,5]</w:t>
            </w:r>
          </w:p>
        </w:tc>
        <w:tc>
          <w:tcPr>
            <w:tcW w:type="dxa" w:w="2041"/>
            <w:vAlign w:val="center"/>
          </w:tcPr>
          <w:p>
            <w:pPr>
              <w:keepNext w:val="0"/>
              <w:spacing w:line="271" w:lineRule="auto" w:after="20" w:before="20"/>
            </w:pPr>
            <w:r>
              <w:rPr>
                <w:b w:val="0"/>
                <w:sz w:val="19"/>
              </w:rPr>
              <w:t>原则性参照。</w:t>
            </w:r>
          </w:p>
        </w:tc>
        <w:tc>
          <w:tcPr>
            <w:tcW w:type="dxa" w:w="4989"/>
            <w:vAlign w:val="center"/>
          </w:tcPr>
          <w:p>
            <w:pPr>
              <w:keepNext w:val="0"/>
              <w:spacing w:line="271" w:lineRule="auto" w:after="20" w:before="20"/>
            </w:pPr>
            <w:r>
              <w:rPr>
                <w:b w:val="0"/>
                <w:sz w:val="19"/>
              </w:rPr>
              <w:t>原连续控制动力学与本任务不直接同域，除非增加对应环境，不强行入主表。</w:t>
            </w:r>
          </w:p>
        </w:tc>
      </w:tr>
    </w:tbl>
    <w:p>
      <w:pPr>
        <w:spacing w:after="20"/>
      </w:pPr>
    </w:p>
    <w:p>
      <w:pPr>
        <w:pStyle w:val="Heading2"/>
      </w:pPr>
      <w:r>
        <w:t>7.4 诊断对照与消融的身份</w:t>
      </w:r>
    </w:p>
    <w:p>
      <w:r>
        <w:rPr/>
        <w:t>已知来源分组使用真实来源 ID，但仍使用学习的 q 和世界模型；已知假设概率使用模拟器给出的正确分布；已知状态执行器使用隐藏状态。三者应单独标记为诊断对照，最后一种具有额外信息，不能列为公平可部署 baseline。随机分组与打乱来源边保持组大小分布，用于检验提升是否来自任意分块或长度压缩。</w:t>
      </w:r>
    </w:p>
    <w:p>
      <w:r>
        <w:rPr/>
        <w:t>实际真值为确定状态并不意味着 agent 的 q 应为 0 或 1；诊断中“正确分布”指给定允许信息后的数据生成后验，而非直接暴露隐藏状态。自建环境可以精确计算这一分布，公开环境通常只能测事件校准，不能声称获得完整贝叶斯后验。</w:t>
      </w:r>
    </w:p>
    <w:p>
      <w:r>
        <w:rPr/>
        <w:t>WorldEvolver 的生成概率过滤单列为启发式子模块，其完整方法还含经验记忆；测试任务顺序、记忆是否重置、允许哪些已取得反馈必须预注册。LATS 中的真实试错与环境查询全部计入交互预算，不允许免费访问隐藏模拟器。共同 backbone 只能控制模型能力，不能替代对可用证据与监督量的控制。</w:t>
      </w:r>
    </w:p>
    <w:p>
      <w:pPr>
        <w:pStyle w:val="Heading1"/>
      </w:pPr>
      <w:bookmarkStart w:id="150" w:name="S3a5de9ba0304811"/>
      <w:r>
        <w:t>8 实验流程与干预设计</w:t>
      </w:r>
      <w:bookmarkEnd w:id="150"/>
    </w:p>
    <w:p>
      <w:pPr>
        <w:pStyle w:val="Heading2"/>
      </w:pPr>
      <w:r>
        <w:t>8.1 实验一 固定输入下的数量效应</w:t>
      </w:r>
    </w:p>
    <w:p>
      <w:r>
        <w:rPr/>
        <w:t>对每个测试场景缓存相同真实观察、候选动作和条件价值统计，依次应用 m=1、2、4、8、16 的无信息复制。分别运行固定 KV 克隆和文本层干预：前者定位式（4）的局部效应，后者测整体行为。只干预一个已预先选定的前提组，其余内容固定；候选项顺序随机化并做等长无关填充对照。</w:t>
      </w:r>
    </w:p>
    <w:p>
      <w:r>
        <w:rPr/>
        <w:t>主要终点为根前提置信变化、固定目标动作的采纳概率变化、实际回报变化。固定目标动作以未干预版本预先选定，避免每个 m 重新选目标后产生选择偏差。前提真假、是否改变最优动作及不同复制方式作为预注册分层变量。全部增强版本按基础场景聚类统计。</w:t>
      </w:r>
    </w:p>
    <w:p>
      <w:r>
        <w:rPr/>
        <w:t>各基线采用统一且冻结的结构化读出契约，在同一上下文下报告指定根前提的概率。该指标称为“被询问时报告的根置信度”，不直接等同于不可观测的内部信念，并同时核对动作和真实结果。H1 首先在接收同一后代输入的平面规划器上检验；PHCP 的账本 q 对副本不变属于实现性质，不能单独作为 H1 成立的证据。</w:t>
      </w:r>
    </w:p>
    <w:p>
      <w:pPr>
        <w:pStyle w:val="Heading2"/>
      </w:pPr>
      <w:r>
        <w:t>8.2 实验二 区分复制与有效计算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2324"/>
        <w:gridCol w:w="2948"/>
        <w:gridCol w:w="4025"/>
      </w:tblGrid>
      <w:tr>
        <w:trPr>
          <w:cantSplit/>
          <w:tblHeader/>
        </w:trPr>
        <w:tc>
          <w:tcPr>
            <w:tcW w:type="dxa" w:w="2324"/>
            <w:vAlign w:val="center"/>
            <w:shd w:fill="E6ECF2"/>
          </w:tcPr>
          <w:p>
            <w:pPr>
              <w:keepNext/>
              <w:spacing w:line="271" w:lineRule="auto" w:after="20" w:before="20"/>
              <w:jc w:val="center"/>
            </w:pPr>
            <w:r>
              <w:rPr>
                <w:b/>
                <w:sz w:val="19"/>
              </w:rPr>
              <w:t>干预</w:t>
            </w:r>
          </w:p>
        </w:tc>
        <w:tc>
          <w:tcPr>
            <w:tcW w:type="dxa" w:w="2948"/>
            <w:vAlign w:val="center"/>
            <w:shd w:fill="E6ECF2"/>
          </w:tcPr>
          <w:p>
            <w:pPr>
              <w:keepNext/>
              <w:spacing w:line="271" w:lineRule="auto" w:after="20" w:before="20"/>
            </w:pPr>
            <w:r>
              <w:rPr>
                <w:b/>
                <w:sz w:val="19"/>
              </w:rPr>
              <w:t>新增了什么</w:t>
            </w:r>
          </w:p>
        </w:tc>
        <w:tc>
          <w:tcPr>
            <w:tcW w:type="dxa" w:w="4025"/>
            <w:vAlign w:val="center"/>
            <w:shd w:fill="E6ECF2"/>
          </w:tcPr>
          <w:p>
            <w:pPr>
              <w:keepNext/>
              <w:spacing w:line="271" w:lineRule="auto" w:after="20" w:before="20"/>
            </w:pPr>
            <w:r>
              <w:rPr>
                <w:b/>
                <w:sz w:val="19"/>
              </w:rPr>
              <w:t>应保持或允许变化的量</w:t>
            </w:r>
          </w:p>
        </w:tc>
      </w:tr>
      <w:tr>
        <w:trPr>
          <w:cantSplit/>
        </w:trPr>
        <w:tc>
          <w:tcPr>
            <w:tcW w:type="dxa" w:w="2324"/>
            <w:vAlign w:val="center"/>
          </w:tcPr>
          <w:p>
            <w:pPr>
              <w:keepNext/>
              <w:spacing w:line="271" w:lineRule="auto" w:after="20" w:before="20"/>
              <w:jc w:val="center"/>
            </w:pPr>
            <w:r>
              <w:rPr>
                <w:b w:val="0"/>
                <w:sz w:val="19"/>
              </w:rPr>
              <w:t>原文或同义副本</w:t>
            </w:r>
          </w:p>
        </w:tc>
        <w:tc>
          <w:tcPr>
            <w:tcW w:type="dxa" w:w="2948"/>
            <w:vAlign w:val="center"/>
          </w:tcPr>
          <w:p>
            <w:pPr>
              <w:keepNext/>
              <w:spacing w:line="271" w:lineRule="auto" w:after="20" w:before="20"/>
            </w:pPr>
            <w:r>
              <w:rPr>
                <w:b w:val="0"/>
                <w:sz w:val="19"/>
              </w:rPr>
              <w:t>仅呈现次数，没有新抽样身份。</w:t>
            </w:r>
          </w:p>
        </w:tc>
        <w:tc>
          <w:tcPr>
            <w:tcW w:type="dxa" w:w="4025"/>
            <w:vAlign w:val="center"/>
          </w:tcPr>
          <w:p>
            <w:pPr>
              <w:keepNext/>
              <w:spacing w:line="271" w:lineRule="auto" w:after="20" w:before="20"/>
            </w:pPr>
            <w:r>
              <w:rPr>
                <w:b w:val="0"/>
                <w:sz w:val="19"/>
              </w:rPr>
              <w:t>q 和规范化后的 Q 应不变；实证测近似识别误差。</w:t>
            </w:r>
          </w:p>
        </w:tc>
      </w:tr>
      <w:tr>
        <w:trPr>
          <w:cantSplit/>
        </w:trPr>
        <w:tc>
          <w:tcPr>
            <w:tcW w:type="dxa" w:w="2324"/>
            <w:vAlign w:val="center"/>
          </w:tcPr>
          <w:p>
            <w:pPr>
              <w:keepNext w:val="0"/>
              <w:spacing w:line="271" w:lineRule="auto" w:after="20" w:before="20"/>
              <w:jc w:val="center"/>
            </w:pPr>
            <w:r>
              <w:rPr>
                <w:b w:val="0"/>
                <w:sz w:val="19"/>
              </w:rPr>
              <w:t>同一配置下独立模拟</w:t>
            </w:r>
          </w:p>
        </w:tc>
        <w:tc>
          <w:tcPr>
            <w:tcW w:type="dxa" w:w="2948"/>
            <w:vAlign w:val="center"/>
          </w:tcPr>
          <w:p>
            <w:pPr>
              <w:keepNext w:val="0"/>
              <w:spacing w:line="271" w:lineRule="auto" w:after="20" w:before="20"/>
            </w:pPr>
            <w:r>
              <w:rPr>
                <w:b w:val="0"/>
                <w:sz w:val="19"/>
              </w:rPr>
              <w:t>新的条件随机样本。</w:t>
            </w:r>
          </w:p>
        </w:tc>
        <w:tc>
          <w:tcPr>
            <w:tcW w:type="dxa" w:w="4025"/>
            <w:vAlign w:val="center"/>
          </w:tcPr>
          <w:p>
            <w:pPr>
              <w:keepNext w:val="0"/>
              <w:spacing w:line="271" w:lineRule="auto" w:after="20" w:before="20"/>
            </w:pPr>
            <w:r>
              <w:rPr>
                <w:b w:val="0"/>
                <w:sz w:val="19"/>
              </w:rPr>
              <w:t>q 不因后代票数变化；条件均值与动作可以改善。</w:t>
            </w:r>
          </w:p>
        </w:tc>
      </w:tr>
      <w:tr>
        <w:trPr>
          <w:cantSplit/>
        </w:trPr>
        <w:tc>
          <w:tcPr>
            <w:tcW w:type="dxa" w:w="2324"/>
            <w:vAlign w:val="center"/>
          </w:tcPr>
          <w:p>
            <w:pPr>
              <w:keepNext w:val="0"/>
              <w:spacing w:line="271" w:lineRule="auto" w:after="20" w:before="20"/>
              <w:jc w:val="center"/>
            </w:pPr>
            <w:r>
              <w:rPr>
                <w:b w:val="0"/>
                <w:sz w:val="19"/>
              </w:rPr>
              <w:t>新增动作或不同后果</w:t>
            </w:r>
          </w:p>
        </w:tc>
        <w:tc>
          <w:tcPr>
            <w:tcW w:type="dxa" w:w="2948"/>
            <w:vAlign w:val="center"/>
          </w:tcPr>
          <w:p>
            <w:pPr>
              <w:keepNext w:val="0"/>
              <w:spacing w:line="271" w:lineRule="auto" w:after="20" w:before="20"/>
            </w:pPr>
            <w:r>
              <w:rPr>
                <w:b w:val="0"/>
                <w:sz w:val="19"/>
              </w:rPr>
              <w:t>更丰富的行动与条件价值信息。</w:t>
            </w:r>
          </w:p>
        </w:tc>
        <w:tc>
          <w:tcPr>
            <w:tcW w:type="dxa" w:w="4025"/>
            <w:vAlign w:val="center"/>
          </w:tcPr>
          <w:p>
            <w:pPr>
              <w:keepNext w:val="0"/>
              <w:spacing w:line="271" w:lineRule="auto" w:after="20" w:before="20"/>
            </w:pPr>
            <w:r>
              <w:rPr>
                <w:b w:val="0"/>
                <w:sz w:val="19"/>
              </w:rPr>
              <w:t>允许动作变化；不能由此宣称前提得到独立证据。</w:t>
            </w:r>
          </w:p>
        </w:tc>
      </w:tr>
      <w:tr>
        <w:trPr>
          <w:cantSplit/>
        </w:trPr>
        <w:tc>
          <w:tcPr>
            <w:tcW w:type="dxa" w:w="2324"/>
            <w:vAlign w:val="center"/>
          </w:tcPr>
          <w:p>
            <w:pPr>
              <w:keepNext w:val="0"/>
              <w:spacing w:line="271" w:lineRule="auto" w:after="20" w:before="20"/>
              <w:jc w:val="center"/>
            </w:pPr>
            <w:r>
              <w:rPr>
                <w:b w:val="0"/>
                <w:sz w:val="19"/>
              </w:rPr>
              <w:t>新增互斥假设</w:t>
            </w:r>
          </w:p>
        </w:tc>
        <w:tc>
          <w:tcPr>
            <w:tcW w:type="dxa" w:w="2948"/>
            <w:vAlign w:val="center"/>
          </w:tcPr>
          <w:p>
            <w:pPr>
              <w:keepNext w:val="0"/>
              <w:spacing w:line="271" w:lineRule="auto" w:after="20" w:before="20"/>
            </w:pPr>
            <w:r>
              <w:rPr>
                <w:b w:val="0"/>
                <w:sz w:val="19"/>
              </w:rPr>
              <w:t>更丰富的世界解释。</w:t>
            </w:r>
          </w:p>
        </w:tc>
        <w:tc>
          <w:tcPr>
            <w:tcW w:type="dxa" w:w="4025"/>
            <w:vAlign w:val="center"/>
          </w:tcPr>
          <w:p>
            <w:pPr>
              <w:keepNext w:val="0"/>
              <w:spacing w:line="271" w:lineRule="auto" w:after="20" w:before="20"/>
            </w:pPr>
            <w:r>
              <w:rPr>
                <w:b w:val="0"/>
                <w:sz w:val="19"/>
              </w:rPr>
              <w:t>重建完备配置集合并重新估计 q；报告覆盖变化。</w:t>
            </w:r>
          </w:p>
        </w:tc>
      </w:tr>
      <w:tr>
        <w:trPr>
          <w:cantSplit/>
        </w:trPr>
        <w:tc>
          <w:tcPr>
            <w:tcW w:type="dxa" w:w="2324"/>
            <w:vAlign w:val="center"/>
          </w:tcPr>
          <w:p>
            <w:pPr>
              <w:keepNext w:val="0"/>
              <w:spacing w:line="271" w:lineRule="auto" w:after="20" w:before="20"/>
              <w:jc w:val="center"/>
            </w:pPr>
            <w:r>
              <w:rPr>
                <w:b w:val="0"/>
                <w:sz w:val="19"/>
              </w:rPr>
              <w:t>新增真实观测</w:t>
            </w:r>
          </w:p>
        </w:tc>
        <w:tc>
          <w:tcPr>
            <w:tcW w:type="dxa" w:w="2948"/>
            <w:vAlign w:val="center"/>
          </w:tcPr>
          <w:p>
            <w:pPr>
              <w:keepNext w:val="0"/>
              <w:spacing w:line="271" w:lineRule="auto" w:after="20" w:before="20"/>
            </w:pPr>
            <w:r>
              <w:rPr>
                <w:b w:val="0"/>
                <w:sz w:val="19"/>
              </w:rPr>
              <w:t>带明确来源的环境证据。</w:t>
            </w:r>
          </w:p>
        </w:tc>
        <w:tc>
          <w:tcPr>
            <w:tcW w:type="dxa" w:w="4025"/>
            <w:vAlign w:val="center"/>
          </w:tcPr>
          <w:p>
            <w:pPr>
              <w:keepNext w:val="0"/>
              <w:spacing w:line="271" w:lineRule="auto" w:after="20" w:before="20"/>
            </w:pPr>
            <w:r>
              <w:rPr>
                <w:b w:val="0"/>
                <w:sz w:val="19"/>
              </w:rPr>
              <w:t>q 应随证据更新；重复同一次观测不应重复计数。</w:t>
            </w:r>
          </w:p>
        </w:tc>
      </w:tr>
    </w:tbl>
    <w:p>
      <w:pPr>
        <w:spacing w:after="20"/>
      </w:pPr>
    </w:p>
    <w:p>
      <w:r>
        <w:rPr/>
        <w:t>独立观测也可能具有共同噪声源，因此只有数据生成过程保证条件独立的对照，才可按独立似然更新。不同来源名称、不同模型或不同时间戳均不自动保证独立。</w:t>
      </w:r>
    </w:p>
    <w:p>
      <w:pPr>
        <w:pStyle w:val="Heading2"/>
      </w:pPr>
      <w:r>
        <w:t>8.3 实验三 自然发生的共享前提</w:t>
      </w:r>
    </w:p>
    <w:p>
      <w:r>
        <w:rPr/>
        <w:t>在 ALFWorld 与 ScienceWorld 先运行固定策略收集自然预演，不注入错误。由独立标注流程抽取共享前提及其证据来源，至少双人核查随机样本；分歧通过环境证据裁决。报告共同前提发生率、错误率、决策相关比例和无法判断比例，避免只展示精选失败案例。人工标注 200 个 episode 快照作为起始预算，并报告一致性及置信区间。</w:t>
      </w:r>
    </w:p>
    <w:p>
      <w:r>
        <w:rPr/>
        <w:t>随后在完整测试清单上比较 B0–B8、P1、P2，分别给出来源生成记录可用与来源需自动恢复的结果。候选动作与 rollout bank 固定的离线比较用于归因；闭环执行结果用于系统评估。离线选择改善不等价于闭环长期收益，两者不得混写。</w:t>
      </w:r>
    </w:p>
    <w:p>
      <w:pPr>
        <w:pStyle w:val="Heading2"/>
      </w:pPr>
      <w:r>
        <w:t>8.4 实验四 纠正根假设的行动后果</w:t>
      </w:r>
    </w:p>
    <w:p>
      <w:r>
        <w:rPr/>
        <w:t>在可重放快照中保持真实世界状态不变，分别运行原始 agent 信息、删除错误前提组、纠正根前提并一致重生成后代三个版本。设后续策略、环境随机数和行动预算相同，评价真实执行回报差。随机环境使用共同随机数配对并重复估计。</w:t>
      </w:r>
    </w:p>
    <w:p>
      <w:pPr>
        <w:spacing w:before="100" w:after="140"/>
        <w:jc w:val="center"/>
      </w:pPr>
      <m:oMath>
        <m:sSub>
          <m:e>
            <m:r>
              <m:t>Δ</m:t>
            </m:r>
          </m:e>
          <m:sub>
            <m:r>
              <m:t>g</m:t>
            </m:r>
          </m:sub>
        </m:sSub>
        <m:r>
          <m:t> = J(</m:t>
        </m:r>
        <m:sSub>
          <m:e>
            <m:r>
              <m:t>π</m:t>
            </m:r>
          </m:e>
          <m:sub>
            <m:r>
              <m:t>correct(g)</m:t>
            </m:r>
          </m:sub>
        </m:sSub>
        <m:r>
          <m:t>; s) − J(</m:t>
        </m:r>
        <m:sSub>
          <m:e>
            <m:r>
              <m:t>π</m:t>
            </m:r>
          </m:e>
          <m:sub>
            <m:r>
              <m:t>original</m:t>
            </m:r>
          </m:sub>
        </m:sSub>
        <m:r>
          <m:t>; s)</m:t>
        </m:r>
      </m:oMath>
      <w:r>
        <w:rPr>
          <w:sz w:val="20"/>
        </w:rPr>
        <w:t xml:space="preserve">   (7)</w:t>
      </w:r>
    </w:p>
    <w:p>
      <w:r>
        <w:rPr/>
        <w:t>式（7）是对 agent 信息的干预，不是对真实世界条件的干预。纠正时必须重生成依赖后果，不能留下相互矛盾的轨迹。Δ_g 为正仅表示整套纠正操作带来总收益，根前提的归因还需要以下等预算对照。遮蔽 token 导致动作变化也不足以证明行动损害。纠正版本使用隐藏标签，属于离线诊断，不能计入可部署方法的主性能。</w:t>
      </w:r>
    </w:p>
    <w:p>
      <w:r>
        <w:rPr/>
        <w:t>为分离纠正信息与额外计算，再增加伪纠正对照：保留原来的错误根前提，使用与纠正组相同的重生成次数、token 预算和随机种子安排生成后代。主要归因比较“正确根重生成”与“原根等预算重生成”；式（7）作为相对于原始系统的总效果单独报告。</w:t>
      </w:r>
    </w:p>
    <w:p>
      <w:pPr>
        <w:pStyle w:val="Heading2"/>
      </w:pPr>
      <w:r>
        <w:t>8.5 实验五 想象预算与泛化</w:t>
      </w:r>
    </w:p>
    <w:p>
      <w:r>
        <w:rPr/>
        <w:t>将预算拆为独立假设数、每个假设下的条件采样数、每个样本的呈现次数，以及真实观察次数。分别绘制成功率与校准误差对各预算的曲线，再报告固定总 token 下的效果。不能把自然增加的独立样本和纯复制混合到单一“rollout 数量”横轴中。</w:t>
      </w:r>
    </w:p>
    <w:p>
      <w:r>
        <w:rPr/>
        <w:t>跨模型采用至少两个骨干家族；跨任务采用两个公开环境与组合泛化集。来源提取器、评分器与策略可以同源也可以异源，比较时保持可见信息与预算相同。若只在单一模型或单一任务上成立，应将结论限定于该范围。</w:t>
      </w:r>
    </w:p>
    <w:p>
      <w:pPr>
        <w:pStyle w:val="Heading1"/>
      </w:pPr>
      <w:bookmarkStart w:id="169" w:name="Sf75db85d73f9f33"/>
      <w:r>
        <w:t>9 评价指标与统计分析</w:t>
      </w:r>
      <w:bookmarkEnd w:id="169"/>
    </w:p>
    <w:p>
      <w:pPr>
        <w:pStyle w:val="Heading2"/>
      </w:pPr>
      <w:r>
        <w:t>9.1 四个层面的指标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1"/>
        <w:gridCol w:w="3969"/>
        <w:gridCol w:w="3628"/>
      </w:tblGrid>
      <w:tr>
        <w:trPr>
          <w:cantSplit/>
          <w:tblHeader/>
        </w:trPr>
        <w:tc>
          <w:tcPr>
            <w:tcW w:type="dxa" w:w="1701"/>
            <w:vAlign w:val="center"/>
            <w:shd w:fill="E6ECF2"/>
          </w:tcPr>
          <w:p>
            <w:pPr>
              <w:keepNext/>
              <w:spacing w:line="271" w:lineRule="auto" w:after="20" w:before="20"/>
              <w:jc w:val="center"/>
            </w:pPr>
            <w:r>
              <w:rPr>
                <w:b/>
                <w:sz w:val="19"/>
              </w:rPr>
              <w:t>层面</w:t>
            </w:r>
          </w:p>
        </w:tc>
        <w:tc>
          <w:tcPr>
            <w:tcW w:type="dxa" w:w="3969"/>
            <w:vAlign w:val="center"/>
            <w:shd w:fill="E6ECF2"/>
          </w:tcPr>
          <w:p>
            <w:pPr>
              <w:keepNext/>
              <w:spacing w:line="271" w:lineRule="auto" w:after="20" w:before="20"/>
            </w:pPr>
            <w:r>
              <w:rPr>
                <w:b/>
                <w:sz w:val="19"/>
              </w:rPr>
              <w:t>主要指标</w:t>
            </w:r>
          </w:p>
        </w:tc>
        <w:tc>
          <w:tcPr>
            <w:tcW w:type="dxa" w:w="3628"/>
            <w:vAlign w:val="center"/>
            <w:shd w:fill="E6ECF2"/>
          </w:tcPr>
          <w:p>
            <w:pPr>
              <w:keepNext/>
              <w:spacing w:line="271" w:lineRule="auto" w:after="20" w:before="20"/>
            </w:pPr>
            <w:r>
              <w:rPr>
                <w:b/>
                <w:sz w:val="19"/>
              </w:rPr>
              <w:t>解释边界</w:t>
            </w:r>
          </w:p>
        </w:tc>
      </w:tr>
      <w:tr>
        <w:trPr>
          <w:cantSplit/>
        </w:trPr>
        <w:tc>
          <w:tcPr>
            <w:tcW w:type="dxa" w:w="1701"/>
            <w:vAlign w:val="center"/>
          </w:tcPr>
          <w:p>
            <w:pPr>
              <w:keepNext/>
              <w:spacing w:line="271" w:lineRule="auto" w:after="20" w:before="20"/>
              <w:jc w:val="center"/>
            </w:pPr>
            <w:r>
              <w:rPr>
                <w:b w:val="0"/>
                <w:sz w:val="19"/>
              </w:rPr>
              <w:t>假设信念</w:t>
            </w:r>
          </w:p>
        </w:tc>
        <w:tc>
          <w:tcPr>
            <w:tcW w:type="dxa" w:w="3969"/>
            <w:vAlign w:val="center"/>
          </w:tcPr>
          <w:p>
            <w:pPr>
              <w:keepNext/>
              <w:spacing w:line="271" w:lineRule="auto" w:after="20" w:before="20"/>
            </w:pPr>
            <w:r>
              <w:rPr>
                <w:b w:val="0"/>
                <w:sz w:val="19"/>
              </w:rPr>
              <w:t>Brier score、负对数似然、类别校准曲线、分层 ECE。</w:t>
            </w:r>
          </w:p>
        </w:tc>
        <w:tc>
          <w:tcPr>
            <w:tcW w:type="dxa" w:w="3628"/>
            <w:vAlign w:val="center"/>
          </w:tcPr>
          <w:p>
            <w:pPr>
              <w:keepNext/>
              <w:spacing w:line="271" w:lineRule="auto" w:after="20" w:before="20"/>
            </w:pPr>
            <w:r>
              <w:rPr>
                <w:b w:val="0"/>
                <w:sz w:val="19"/>
              </w:rPr>
              <w:t>AUROC 衡量区分能力，不能替代校准；ECE 受分箱与样本量影响。</w:t>
            </w:r>
          </w:p>
        </w:tc>
      </w:tr>
      <w:tr>
        <w:trPr>
          <w:cantSplit/>
        </w:trPr>
        <w:tc>
          <w:tcPr>
            <w:tcW w:type="dxa" w:w="1701"/>
            <w:vAlign w:val="center"/>
          </w:tcPr>
          <w:p>
            <w:pPr>
              <w:keepNext w:val="0"/>
              <w:spacing w:line="271" w:lineRule="auto" w:after="20" w:before="20"/>
              <w:jc w:val="center"/>
            </w:pPr>
            <w:r>
              <w:rPr>
                <w:b w:val="0"/>
                <w:sz w:val="19"/>
              </w:rPr>
              <w:t>来源恢复</w:t>
            </w:r>
          </w:p>
        </w:tc>
        <w:tc>
          <w:tcPr>
            <w:tcW w:type="dxa" w:w="3969"/>
            <w:vAlign w:val="center"/>
          </w:tcPr>
          <w:p>
            <w:pPr>
              <w:keepNext w:val="0"/>
              <w:spacing w:line="271" w:lineRule="auto" w:after="20" w:before="20"/>
            </w:pPr>
            <w:r>
              <w:rPr>
                <w:b w:val="0"/>
                <w:sz w:val="19"/>
              </w:rPr>
              <w:t>边级 precision/recall/F1、误合并率、未解析比例。</w:t>
            </w:r>
          </w:p>
        </w:tc>
        <w:tc>
          <w:tcPr>
            <w:tcW w:type="dxa" w:w="3628"/>
            <w:vAlign w:val="center"/>
          </w:tcPr>
          <w:p>
            <w:pPr>
              <w:keepNext w:val="0"/>
              <w:spacing w:line="271" w:lineRule="auto" w:after="20" w:before="20"/>
            </w:pPr>
            <w:r>
              <w:rPr>
                <w:b w:val="0"/>
                <w:sz w:val="19"/>
              </w:rPr>
              <w:t>分组 oracle 结果不能代替真实恢复性能。</w:t>
            </w:r>
          </w:p>
        </w:tc>
      </w:tr>
      <w:tr>
        <w:trPr>
          <w:cantSplit/>
        </w:trPr>
        <w:tc>
          <w:tcPr>
            <w:tcW w:type="dxa" w:w="1701"/>
            <w:vAlign w:val="center"/>
          </w:tcPr>
          <w:p>
            <w:pPr>
              <w:keepNext w:val="0"/>
              <w:spacing w:line="271" w:lineRule="auto" w:after="20" w:before="20"/>
              <w:jc w:val="center"/>
            </w:pPr>
            <w:r>
              <w:rPr>
                <w:b w:val="0"/>
                <w:sz w:val="19"/>
              </w:rPr>
              <w:t>决策结果</w:t>
            </w:r>
          </w:p>
        </w:tc>
        <w:tc>
          <w:tcPr>
            <w:tcW w:type="dxa" w:w="3969"/>
            <w:vAlign w:val="center"/>
          </w:tcPr>
          <w:p>
            <w:pPr>
              <w:keepNext w:val="0"/>
              <w:spacing w:line="271" w:lineRule="auto" w:after="20" w:before="20"/>
            </w:pPr>
            <w:r>
              <w:rPr>
                <w:b w:val="0"/>
                <w:sz w:val="19"/>
              </w:rPr>
              <w:t>episode success、官方得分、实际回报、候选集合内 regret。</w:t>
            </w:r>
          </w:p>
        </w:tc>
        <w:tc>
          <w:tcPr>
            <w:tcW w:type="dxa" w:w="3628"/>
            <w:vAlign w:val="center"/>
          </w:tcPr>
          <w:p>
            <w:pPr>
              <w:keepNext w:val="0"/>
              <w:spacing w:line="271" w:lineRule="auto" w:after="20" w:before="20"/>
            </w:pPr>
            <w:r>
              <w:rPr>
                <w:b w:val="0"/>
                <w:sz w:val="19"/>
              </w:rPr>
              <w:t>公开环境不能穷举时，不使用“全局最优 regret”称谓。</w:t>
            </w:r>
          </w:p>
        </w:tc>
      </w:tr>
      <w:tr>
        <w:trPr>
          <w:cantSplit/>
        </w:trPr>
        <w:tc>
          <w:tcPr>
            <w:tcW w:type="dxa" w:w="1701"/>
            <w:vAlign w:val="center"/>
          </w:tcPr>
          <w:p>
            <w:pPr>
              <w:keepNext w:val="0"/>
              <w:spacing w:line="271" w:lineRule="auto" w:after="20" w:before="20"/>
              <w:jc w:val="center"/>
            </w:pPr>
            <w:r>
              <w:rPr>
                <w:b w:val="0"/>
                <w:sz w:val="19"/>
              </w:rPr>
              <w:t>计算与核验</w:t>
            </w:r>
          </w:p>
        </w:tc>
        <w:tc>
          <w:tcPr>
            <w:tcW w:type="dxa" w:w="3969"/>
            <w:vAlign w:val="center"/>
          </w:tcPr>
          <w:p>
            <w:pPr>
              <w:keepNext w:val="0"/>
              <w:spacing w:line="271" w:lineRule="auto" w:after="20" w:before="20"/>
            </w:pPr>
            <w:r>
              <w:rPr>
                <w:b w:val="0"/>
                <w:sz w:val="19"/>
              </w:rPr>
              <w:t>总 token、请求数、GPU 时间、端到端延迟、真实动作数和费用。</w:t>
            </w:r>
          </w:p>
        </w:tc>
        <w:tc>
          <w:tcPr>
            <w:tcW w:type="dxa" w:w="3628"/>
            <w:vAlign w:val="center"/>
          </w:tcPr>
          <w:p>
            <w:pPr>
              <w:keepNext w:val="0"/>
              <w:spacing w:line="271" w:lineRule="auto" w:after="20" w:before="20"/>
            </w:pPr>
            <w:r>
              <w:rPr>
                <w:b w:val="0"/>
                <w:sz w:val="19"/>
              </w:rPr>
              <w:t>缓存命中、离线标签生成、超时和重试均需披露。</w:t>
            </w:r>
          </w:p>
        </w:tc>
      </w:tr>
    </w:tbl>
    <w:p>
      <w:pPr>
        <w:spacing w:after="20"/>
      </w:pPr>
    </w:p>
    <w:p>
      <w:pPr>
        <w:spacing w:before="100" w:after="140"/>
        <w:jc w:val="center"/>
      </w:pPr>
      <m:oMath>
        <m:r>
          <m:t>Brier = </m:t>
        </m:r>
        <m:f>
          <m:num>
            <m:r>
              <m:t>1</m:t>
            </m:r>
          </m:num>
          <m:den>
            <m:r>
              <m:t>N</m:t>
            </m:r>
          </m:den>
        </m:f>
        <m:nary>
          <m:naryPr>
            <m:chr m:val="∑"/>
            <m:limLoc m:val="undOvr"/>
          </m:naryPr>
          <m:sub>
            <m:r>
              <m:t>i=1</m:t>
            </m:r>
          </m:sub>
          <m:sup>
            <m:r>
              <m:t>N</m:t>
            </m:r>
          </m:sup>
          <m:e>
            <m:sSup>
              <m:e>
                <m:r>
                  <m:t>(</m:t>
                </m:r>
                <m:sSub>
                  <m:e>
                    <m:r>
                      <m:t>q</m:t>
                    </m:r>
                  </m:e>
                  <m:sub>
                    <m:r>
                      <m:t>i</m:t>
                    </m:r>
                  </m:sub>
                </m:sSub>
                <m:r>
                  <m:t> − </m:t>
                </m:r>
                <m:sSub>
                  <m:e>
                    <m:r>
                      <m:t>y</m:t>
                    </m:r>
                  </m:e>
                  <m:sub>
                    <m:r>
                      <m:t>i</m:t>
                    </m:r>
                  </m:sub>
                </m:sSub>
                <m:r>
                  <m:t>)</m:t>
                </m:r>
              </m:e>
              <m:sup>
                <m:r>
                  <m:t>2</m:t>
                </m:r>
              </m:sup>
            </m:sSup>
          </m:e>
        </m:nary>
      </m:oMath>
      <w:r>
        <w:rPr>
          <w:sz w:val="20"/>
        </w:rPr>
        <w:t xml:space="preserve">   (8)</w:t>
      </w:r>
    </w:p>
    <w:p>
      <w:r>
        <w:rPr/>
        <w:t>式（8）写出二分类形式；多分类使用各互斥类别概率误差的平方和并固定归一化约定。根信念校准与最终动作成功率校准分开报告。成功率事件定义为给定动作选择和后续策略下是否达到任务目标，不能把动作选项的 softmax 概率直接作为该事件的成功概率。</w:t>
      </w:r>
    </w:p>
    <w:p>
      <w:pPr>
        <w:pStyle w:val="Heading2"/>
      </w:pPr>
      <w:r>
        <w:t>9.2 复制干预的专用指标</w:t>
      </w:r>
    </w:p>
    <w:p>
      <w:pPr>
        <w:spacing w:before="100" w:after="140"/>
        <w:jc w:val="center"/>
      </w:pPr>
      <m:oMath>
        <m:sSub>
          <m:e>
            <m:r>
              <m:t>CIG</m:t>
            </m:r>
          </m:e>
          <m:sub>
            <m:r>
              <m:t>m</m:t>
            </m:r>
          </m:sub>
        </m:sSub>
        <m:r>
          <m:t> = </m:t>
        </m:r>
        <m:f>
          <m:num>
            <m:r>
              <m:t>1</m:t>
            </m:r>
          </m:num>
          <m:den>
            <m:r>
              <m:t>N</m:t>
            </m:r>
          </m:den>
        </m:f>
        <m:nary>
          <m:naryPr>
            <m:chr m:val="∑"/>
            <m:limLoc m:val="undOvr"/>
          </m:naryPr>
          <m:sub>
            <m:r>
              <m:t>i=1</m:t>
            </m:r>
          </m:sub>
          <m:sup>
            <m:r>
              <m:t>N</m:t>
            </m:r>
          </m:sup>
          <m:e>
            <m:r>
              <m:t>(</m:t>
            </m:r>
            <m:sSub>
              <m:e>
                <m:r>
                  <m:t>c</m:t>
                </m:r>
              </m:e>
              <m:sub>
                <m:r>
                  <m:t>i,m</m:t>
                </m:r>
              </m:sub>
            </m:sSub>
            <m:r>
              <m:t> − </m:t>
            </m:r>
            <m:sSub>
              <m:e>
                <m:r>
                  <m:t>c</m:t>
                </m:r>
              </m:e>
              <m:sub>
                <m:r>
                  <m:t>i,1</m:t>
                </m:r>
              </m:sub>
            </m:sSub>
            <m:r>
              <m:t>)</m:t>
            </m:r>
          </m:e>
        </m:nary>
      </m:oMath>
      <w:r>
        <w:rPr>
          <w:sz w:val="20"/>
        </w:rPr>
        <w:t xml:space="preserve">   (9)</w:t>
      </w:r>
    </w:p>
    <w:p>
      <w:r>
        <w:rPr/>
        <w:t>c_i,m 表示同一预先指定根前提的概率或同一固定目标动作的独立成功率预测，二者分别报告。除有方向的 CIG 外，还报告绝对变化、行动翻转率、错误关键前提上的置信上升比例及真实回报差，防止正负效应互相抵消。对完全正确的根信念，复制不变性仍应成立；本研究不把所有置信变化自动称为置信膨胀。</w:t>
      </w:r>
    </w:p>
    <w:p>
      <w:r>
        <w:rPr/>
        <w:t>选择后风险使用最终实际选中动作的失败率、risk–coverage 曲线及选择后校准图，并报告各预算、任务类型和来源错误程度下的子群结果。若采用 conformal 扩展，应明确其交换性与固定流水线假设；边际误差控制不能冒充给定“选择执行”条件下的风险保证。主方案不依赖未经验证的分布自由安全承诺。</w:t>
      </w:r>
    </w:p>
    <w:p>
      <w:pPr>
        <w:pStyle w:val="Heading2"/>
      </w:pPr>
      <w:r>
        <w:t>9.3 配对分析与功效规划</w:t>
      </w:r>
    </w:p>
    <w:p>
      <w:r>
        <w:rPr/>
        <w:t>统计单位是独立基础场景或 episode，不是副本、轨迹、步骤或模型随机种子。主比较使用按任务类别分层的配对 bootstrap，重复 10,000 次估计 95% 置信区间。多个训练 seed 作为额外随机来源分层汇总，不将同一任务的不同 seed 伪装成独立新样本。可补充使用混合效应模型分析 m 的剂量效应。</w:t>
      </w:r>
    </w:p>
    <w:p>
      <w:r>
        <w:rPr/>
        <w:t>预先指定 P1 对 B2、P1 对 B5、P2 对 P1 三个主比较，在各自预注册终点内使用 Holm 校正。报告效应量与区间，不只报告显著性；完整次要比较放入补充材料。自然任务样本量由官方测试集决定，不能承诺能够检测任意微小增益。</w:t>
      </w:r>
    </w:p>
    <w:p>
      <w:r>
        <w:rPr/>
        <w:t>差异不显著不能证明复制不变性。精确 ID 路径采用数值一致性检查；随机行为使用预先指定的等价界限，例如根概率平均绝对偏移不超过 0.02，并给出等价性区间检验。0.02 为待开发阶段确定的实际容忍度，不是理论保证；正式测试后不得放宽界限。</w:t>
      </w:r>
    </w:p>
    <w:p>
      <w:r>
        <w:rPr/>
        <w:t>600 个独立场景用于主机制检验。在独立单比例的最保守近似下，其 95% 区间半宽约为 4 个百分点；这一数值不是配对效应检验的功效保证。先用与正式测试隔离的 100 个开发场景估计配对差方差，再预注册最小可检测效应和样本量。若要检验更小差异，应增加独立场景而非增加同一场景的副本。</w:t>
      </w:r>
    </w:p>
    <w:p>
      <w:pPr>
        <w:pStyle w:val="Heading1"/>
      </w:pPr>
      <w:bookmarkStart w:id="183" w:name="S454501723cbe646"/>
      <w:r>
        <w:t>10 消融实验与有效性威胁</w:t>
      </w:r>
      <w:bookmarkEnd w:id="183"/>
    </w:p>
    <w:p>
      <w:pPr>
        <w:pStyle w:val="Heading2"/>
      </w:pPr>
      <w:r>
        <w:t>10.1 必需消融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701"/>
        <w:gridCol w:w="4195"/>
        <w:gridCol w:w="3402"/>
      </w:tblGrid>
      <w:tr>
        <w:trPr>
          <w:cantSplit/>
          <w:tblHeader/>
        </w:trPr>
        <w:tc>
          <w:tcPr>
            <w:tcW w:type="dxa" w:w="1701"/>
            <w:vAlign w:val="center"/>
            <w:shd w:fill="E6ECF2"/>
          </w:tcPr>
          <w:p>
            <w:pPr>
              <w:keepNext/>
              <w:spacing w:line="271" w:lineRule="auto" w:after="20" w:before="20"/>
              <w:jc w:val="center"/>
            </w:pPr>
            <w:r>
              <w:rPr>
                <w:b/>
                <w:sz w:val="19"/>
              </w:rPr>
              <w:t>消融因素</w:t>
            </w:r>
          </w:p>
        </w:tc>
        <w:tc>
          <w:tcPr>
            <w:tcW w:type="dxa" w:w="4195"/>
            <w:vAlign w:val="center"/>
            <w:shd w:fill="E6ECF2"/>
          </w:tcPr>
          <w:p>
            <w:pPr>
              <w:keepNext/>
              <w:spacing w:line="271" w:lineRule="auto" w:after="20" w:before="20"/>
            </w:pPr>
            <w:r>
              <w:rPr>
                <w:b/>
                <w:sz w:val="19"/>
              </w:rPr>
              <w:t>具体版本</w:t>
            </w:r>
          </w:p>
        </w:tc>
        <w:tc>
          <w:tcPr>
            <w:tcW w:type="dxa" w:w="3402"/>
            <w:vAlign w:val="center"/>
            <w:shd w:fill="E6ECF2"/>
          </w:tcPr>
          <w:p>
            <w:pPr>
              <w:keepNext/>
              <w:spacing w:line="271" w:lineRule="auto" w:after="20" w:before="20"/>
            </w:pPr>
            <w:r>
              <w:rPr>
                <w:b/>
                <w:sz w:val="19"/>
              </w:rPr>
              <w:t>回答的问题</w:t>
            </w:r>
          </w:p>
        </w:tc>
      </w:tr>
      <w:tr>
        <w:trPr>
          <w:cantSplit/>
        </w:trPr>
        <w:tc>
          <w:tcPr>
            <w:tcW w:type="dxa" w:w="1701"/>
            <w:vAlign w:val="center"/>
          </w:tcPr>
          <w:p>
            <w:pPr>
              <w:keepNext/>
              <w:spacing w:line="271" w:lineRule="auto" w:after="20" w:before="20"/>
              <w:jc w:val="center"/>
            </w:pPr>
            <w:r>
              <w:rPr>
                <w:b w:val="0"/>
                <w:sz w:val="19"/>
              </w:rPr>
              <w:t>评分器</w:t>
            </w:r>
          </w:p>
        </w:tc>
        <w:tc>
          <w:tcPr>
            <w:tcW w:type="dxa" w:w="4195"/>
            <w:vAlign w:val="center"/>
          </w:tcPr>
          <w:p>
            <w:pPr>
              <w:keepNext/>
              <w:spacing w:line="271" w:lineRule="auto" w:after="20" w:before="20"/>
            </w:pPr>
            <w:r>
              <w:rPr>
                <w:b w:val="0"/>
                <w:sz w:val="19"/>
              </w:rPr>
              <w:t>Jev、Qwen3 4B 分类头、同骨干口头概率、环境真值诊断。</w:t>
            </w:r>
          </w:p>
        </w:tc>
        <w:tc>
          <w:tcPr>
            <w:tcW w:type="dxa" w:w="3402"/>
            <w:vAlign w:val="center"/>
          </w:tcPr>
          <w:p>
            <w:pPr>
              <w:keepNext/>
              <w:spacing w:line="271" w:lineRule="auto" w:after="20" w:before="20"/>
            </w:pPr>
            <w:r>
              <w:rPr>
                <w:b w:val="0"/>
                <w:sz w:val="19"/>
              </w:rPr>
              <w:t>收益是否依赖专有评分器或更强模型。</w:t>
            </w:r>
          </w:p>
        </w:tc>
      </w:tr>
      <w:tr>
        <w:trPr>
          <w:cantSplit/>
        </w:trPr>
        <w:tc>
          <w:tcPr>
            <w:tcW w:type="dxa" w:w="1701"/>
            <w:vAlign w:val="center"/>
          </w:tcPr>
          <w:p>
            <w:pPr>
              <w:keepNext w:val="0"/>
              <w:spacing w:line="271" w:lineRule="auto" w:after="20" w:before="20"/>
              <w:jc w:val="center"/>
            </w:pPr>
            <w:r>
              <w:rPr>
                <w:b w:val="0"/>
                <w:sz w:val="19"/>
              </w:rPr>
              <w:t>概率校准</w:t>
            </w:r>
          </w:p>
        </w:tc>
        <w:tc>
          <w:tcPr>
            <w:tcW w:type="dxa" w:w="4195"/>
            <w:vAlign w:val="center"/>
          </w:tcPr>
          <w:p>
            <w:pPr>
              <w:keepNext w:val="0"/>
              <w:spacing w:line="271" w:lineRule="auto" w:after="20" w:before="20"/>
            </w:pPr>
            <w:r>
              <w:rPr>
                <w:b w:val="0"/>
                <w:sz w:val="19"/>
              </w:rPr>
              <w:t>原始 q、温度校准、随机 q、正确后验诊断。</w:t>
            </w:r>
          </w:p>
        </w:tc>
        <w:tc>
          <w:tcPr>
            <w:tcW w:type="dxa" w:w="3402"/>
            <w:vAlign w:val="center"/>
          </w:tcPr>
          <w:p>
            <w:pPr>
              <w:keepNext w:val="0"/>
              <w:spacing w:line="271" w:lineRule="auto" w:after="20" w:before="20"/>
            </w:pPr>
            <w:r>
              <w:rPr>
                <w:b w:val="0"/>
                <w:sz w:val="19"/>
              </w:rPr>
              <w:t>来源结构与概率质量分别贡献多少。</w:t>
            </w:r>
          </w:p>
        </w:tc>
      </w:tr>
      <w:tr>
        <w:trPr>
          <w:cantSplit/>
        </w:trPr>
        <w:tc>
          <w:tcPr>
            <w:tcW w:type="dxa" w:w="1701"/>
            <w:vAlign w:val="center"/>
          </w:tcPr>
          <w:p>
            <w:pPr>
              <w:keepNext w:val="0"/>
              <w:spacing w:line="271" w:lineRule="auto" w:after="20" w:before="20"/>
              <w:jc w:val="center"/>
            </w:pPr>
            <w:r>
              <w:rPr>
                <w:b w:val="0"/>
                <w:sz w:val="19"/>
              </w:rPr>
              <w:t>来源结构</w:t>
            </w:r>
          </w:p>
        </w:tc>
        <w:tc>
          <w:tcPr>
            <w:tcW w:type="dxa" w:w="4195"/>
            <w:vAlign w:val="center"/>
          </w:tcPr>
          <w:p>
            <w:pPr>
              <w:keepNext w:val="0"/>
              <w:spacing w:line="271" w:lineRule="auto" w:after="20" w:before="20"/>
            </w:pPr>
            <w:r>
              <w:rPr>
                <w:b w:val="0"/>
                <w:sz w:val="19"/>
              </w:rPr>
              <w:t>学习来源、生成 ID、oracle、随机分组、边扰动。</w:t>
            </w:r>
          </w:p>
        </w:tc>
        <w:tc>
          <w:tcPr>
            <w:tcW w:type="dxa" w:w="3402"/>
            <w:vAlign w:val="center"/>
          </w:tcPr>
          <w:p>
            <w:pPr>
              <w:keepNext w:val="0"/>
              <w:spacing w:line="271" w:lineRule="auto" w:after="20" w:before="20"/>
            </w:pPr>
            <w:r>
              <w:rPr>
                <w:b w:val="0"/>
                <w:sz w:val="19"/>
              </w:rPr>
              <w:t>方法对来源可恢复性及错误分组的依赖。</w:t>
            </w:r>
          </w:p>
        </w:tc>
      </w:tr>
      <w:tr>
        <w:trPr>
          <w:cantSplit/>
        </w:trPr>
        <w:tc>
          <w:tcPr>
            <w:tcW w:type="dxa" w:w="1701"/>
            <w:vAlign w:val="center"/>
          </w:tcPr>
          <w:p>
            <w:pPr>
              <w:keepNext w:val="0"/>
              <w:spacing w:line="271" w:lineRule="auto" w:after="20" w:before="20"/>
              <w:jc w:val="center"/>
            </w:pPr>
            <w:r>
              <w:rPr>
                <w:b w:val="0"/>
                <w:sz w:val="19"/>
              </w:rPr>
              <w:t>聚合器</w:t>
            </w:r>
          </w:p>
        </w:tc>
        <w:tc>
          <w:tcPr>
            <w:tcW w:type="dxa" w:w="4195"/>
            <w:vAlign w:val="center"/>
          </w:tcPr>
          <w:p>
            <w:pPr>
              <w:keepNext w:val="0"/>
              <w:spacing w:line="271" w:lineRule="auto" w:after="20" w:before="20"/>
            </w:pPr>
            <w:r>
              <w:rPr>
                <w:b w:val="0"/>
                <w:sz w:val="19"/>
              </w:rPr>
              <w:t>平面 attention、组均值、同参数 MLP、P1、P2。</w:t>
            </w:r>
          </w:p>
        </w:tc>
        <w:tc>
          <w:tcPr>
            <w:tcW w:type="dxa" w:w="3402"/>
            <w:vAlign w:val="center"/>
          </w:tcPr>
          <w:p>
            <w:pPr>
              <w:keepNext w:val="0"/>
              <w:spacing w:line="271" w:lineRule="auto" w:after="20" w:before="20"/>
            </w:pPr>
            <w:r>
              <w:rPr>
                <w:b w:val="0"/>
                <w:sz w:val="19"/>
              </w:rPr>
              <w:t>注意力设计是否优于简单规范化与平均。</w:t>
            </w:r>
          </w:p>
        </w:tc>
      </w:tr>
      <w:tr>
        <w:trPr>
          <w:cantSplit/>
        </w:trPr>
        <w:tc>
          <w:tcPr>
            <w:tcW w:type="dxa" w:w="1701"/>
            <w:vAlign w:val="center"/>
          </w:tcPr>
          <w:p>
            <w:pPr>
              <w:keepNext w:val="0"/>
              <w:spacing w:line="271" w:lineRule="auto" w:after="20" w:before="20"/>
              <w:jc w:val="center"/>
            </w:pPr>
            <w:r>
              <w:rPr>
                <w:b w:val="0"/>
                <w:sz w:val="19"/>
              </w:rPr>
              <w:t>核验模块</w:t>
            </w:r>
          </w:p>
        </w:tc>
        <w:tc>
          <w:tcPr>
            <w:tcW w:type="dxa" w:w="4195"/>
            <w:vAlign w:val="center"/>
          </w:tcPr>
          <w:p>
            <w:pPr>
              <w:keepNext w:val="0"/>
              <w:spacing w:line="271" w:lineRule="auto" w:after="20" w:before="20"/>
            </w:pPr>
            <w:r>
              <w:rPr>
                <w:b w:val="0"/>
                <w:sz w:val="19"/>
              </w:rPr>
              <w:t>关闭、随机核验、风险分类器门控、假设敏感门控。</w:t>
            </w:r>
          </w:p>
        </w:tc>
        <w:tc>
          <w:tcPr>
            <w:tcW w:type="dxa" w:w="3402"/>
            <w:vAlign w:val="center"/>
          </w:tcPr>
          <w:p>
            <w:pPr>
              <w:keepNext w:val="0"/>
              <w:spacing w:line="271" w:lineRule="auto" w:after="20" w:before="20"/>
            </w:pPr>
            <w:r>
              <w:rPr>
                <w:b w:val="0"/>
                <w:sz w:val="19"/>
              </w:rPr>
              <w:t>收益是否来自额外真实观察。</w:t>
            </w:r>
          </w:p>
        </w:tc>
      </w:tr>
      <w:tr>
        <w:trPr>
          <w:cantSplit/>
        </w:trPr>
        <w:tc>
          <w:tcPr>
            <w:tcW w:type="dxa" w:w="1701"/>
            <w:vAlign w:val="center"/>
          </w:tcPr>
          <w:p>
            <w:pPr>
              <w:keepNext w:val="0"/>
              <w:spacing w:line="271" w:lineRule="auto" w:after="20" w:before="20"/>
              <w:jc w:val="center"/>
            </w:pPr>
            <w:r>
              <w:rPr>
                <w:b w:val="0"/>
                <w:sz w:val="19"/>
              </w:rPr>
              <w:t>合法采样</w:t>
            </w:r>
          </w:p>
        </w:tc>
        <w:tc>
          <w:tcPr>
            <w:tcW w:type="dxa" w:w="4195"/>
            <w:vAlign w:val="center"/>
          </w:tcPr>
          <w:p>
            <w:pPr>
              <w:keepNext w:val="0"/>
              <w:spacing w:line="271" w:lineRule="auto" w:after="20" w:before="20"/>
            </w:pPr>
            <w:r>
              <w:rPr>
                <w:b w:val="0"/>
                <w:sz w:val="19"/>
              </w:rPr>
              <w:t>纯复制、同条件独立样本、从 q 独立采样配置。</w:t>
            </w:r>
          </w:p>
        </w:tc>
        <w:tc>
          <w:tcPr>
            <w:tcW w:type="dxa" w:w="3402"/>
            <w:vAlign w:val="center"/>
          </w:tcPr>
          <w:p>
            <w:pPr>
              <w:keepNext w:val="0"/>
              <w:spacing w:line="271" w:lineRule="auto" w:after="20" w:before="20"/>
            </w:pPr>
            <w:r>
              <w:rPr>
                <w:b w:val="0"/>
                <w:sz w:val="19"/>
              </w:rPr>
              <w:t>是否保留蒙特卡洛估计的正确频数。</w:t>
            </w:r>
          </w:p>
        </w:tc>
      </w:tr>
    </w:tbl>
    <w:p>
      <w:pPr>
        <w:spacing w:after="20"/>
      </w:pPr>
    </w:p>
    <w:p>
      <w:pPr>
        <w:pStyle w:val="Heading2"/>
      </w:pPr>
      <w:r>
        <w:t>10.2 主要有效性威胁</w:t>
      </w:r>
    </w:p>
    <w:p>
      <w:r>
        <w:rPr/>
        <w:t>第一，oracle 来源可能把解决方案作为额外信息提供给模型。主表必须同时展示来源需要自动恢复的条件，并将带真实 ID 的结果标为机制诊断。第二，等长填充不必然控制语义相关性，需要多种无关填充与位置随机化，并单独考察文本截断。第三，纠正根前提可能同时改变轨迹质量，应将删除、纠正和等长度重写分开比较。</w:t>
      </w:r>
    </w:p>
    <w:p>
      <w:r>
        <w:rPr/>
        <w:t>第四，开放环境中的世界模型误差并不都能归因于共享前提。应报告漏检、错误行动因果链及残余失效，避免把所有失败归入一个机制。第五，校准可能在任务、预算或模型变化后失效，跨分布结果必须独立展示。第六，假设数量增长导致组合爆炸；第一阶段的少量配置限定必须在论文中明确，不能推广为一般 POMDP 的可扩展解法。</w:t>
      </w:r>
    </w:p>
    <w:p>
      <w:r>
        <w:rPr/>
        <w:t>第七，不可恢复的隐含前提会限制来源方法覆盖率，未解析部分应通过保守的 unknown 策略保留，并测量误合并的损失。第八，真实新证据来自同一噪声源时仍可能相关；证据账本记录出处并不自动解决全部统计依赖。第九，专有 API 更新与缓存差异可能影响结果，因此主要可重复结论应基于冻结的开源设置。</w:t>
      </w:r>
    </w:p>
    <w:p>
      <w:pPr>
        <w:pStyle w:val="Heading2"/>
      </w:pPr>
      <w:r>
        <w:t>10.3 停止或收缩研究主张的标准</w:t>
      </w:r>
    </w:p>
    <w:p>
      <w:r>
        <w:rPr/>
        <w:t>若数量干预在长度、位置、动作和条件价值均控制后不再产生稳定行为效应，应放弃“共享前提自我确认是主要失效源”的强主张。若 B5 或简单 B3 已覆盖自然任务收益，论文应转向测量或数据贡献，不能仅靠更复杂模块包装新颖性。若 P2 不优于 P1，应保留结构方法并删去注意力作为核心贡献。</w:t>
      </w:r>
    </w:p>
    <w:p>
      <w:r>
        <w:rPr/>
        <w:t>若仅合成环境有效，则结论限定于受控现象；若来源恢复造成的损失抵消 oracle 收益，应将识别瓶颈作为负结果报告。继续项目的依据是可复現机制和有实际意义的任务效应，不以预设的会议目标替代证据。</w:t>
      </w:r>
    </w:p>
    <w:p>
      <w:pPr>
        <w:pStyle w:val="Heading1"/>
      </w:pPr>
      <w:bookmarkStart w:id="193" w:name="S0f2c90c732ea569"/>
      <w:r>
        <w:t>11 实施计划与资源估算</w:t>
      </w:r>
      <w:bookmarkEnd w:id="193"/>
    </w:p>
    <w:p>
      <w:pPr>
        <w:pStyle w:val="Heading2"/>
      </w:pPr>
      <w:r>
        <w:t>11.1 分阶段交付</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871"/>
        <w:gridCol w:w="1701"/>
        <w:gridCol w:w="5726"/>
      </w:tblGrid>
      <w:tr>
        <w:trPr>
          <w:cantSplit/>
          <w:tblHeader/>
        </w:trPr>
        <w:tc>
          <w:tcPr>
            <w:tcW w:type="dxa" w:w="1871"/>
            <w:vAlign w:val="center"/>
            <w:shd w:fill="E6ECF2"/>
          </w:tcPr>
          <w:p>
            <w:pPr>
              <w:keepNext/>
              <w:spacing w:line="271" w:lineRule="auto" w:after="20" w:before="20"/>
              <w:jc w:val="center"/>
            </w:pPr>
            <w:r>
              <w:rPr>
                <w:b/>
                <w:sz w:val="19"/>
              </w:rPr>
              <w:t>阶段</w:t>
            </w:r>
          </w:p>
        </w:tc>
        <w:tc>
          <w:tcPr>
            <w:tcW w:type="dxa" w:w="1701"/>
            <w:vAlign w:val="center"/>
            <w:shd w:fill="E6ECF2"/>
          </w:tcPr>
          <w:p>
            <w:pPr>
              <w:keepNext/>
              <w:spacing w:line="271" w:lineRule="auto" w:after="20" w:before="20"/>
            </w:pPr>
            <w:r>
              <w:rPr>
                <w:b/>
                <w:sz w:val="19"/>
              </w:rPr>
              <w:t>预计时间</w:t>
            </w:r>
          </w:p>
        </w:tc>
        <w:tc>
          <w:tcPr>
            <w:tcW w:type="dxa" w:w="5726"/>
            <w:vAlign w:val="center"/>
            <w:shd w:fill="E6ECF2"/>
          </w:tcPr>
          <w:p>
            <w:pPr>
              <w:keepNext/>
              <w:spacing w:line="271" w:lineRule="auto" w:after="20" w:before="20"/>
            </w:pPr>
            <w:r>
              <w:rPr>
                <w:b/>
                <w:sz w:val="19"/>
              </w:rPr>
              <w:t>具体交付与继续条件</w:t>
            </w:r>
          </w:p>
        </w:tc>
      </w:tr>
      <w:tr>
        <w:trPr>
          <w:cantSplit/>
        </w:trPr>
        <w:tc>
          <w:tcPr>
            <w:tcW w:type="dxa" w:w="1871"/>
            <w:vAlign w:val="center"/>
          </w:tcPr>
          <w:p>
            <w:pPr>
              <w:keepNext/>
              <w:spacing w:line="271" w:lineRule="auto" w:after="20" w:before="20"/>
              <w:jc w:val="center"/>
            </w:pPr>
            <w:r>
              <w:rPr>
                <w:b w:val="0"/>
                <w:sz w:val="19"/>
              </w:rPr>
              <w:t>机制预实验</w:t>
            </w:r>
          </w:p>
        </w:tc>
        <w:tc>
          <w:tcPr>
            <w:tcW w:type="dxa" w:w="1701"/>
            <w:vAlign w:val="center"/>
          </w:tcPr>
          <w:p>
            <w:pPr>
              <w:keepNext/>
              <w:spacing w:line="271" w:lineRule="auto" w:after="20" w:before="20"/>
            </w:pPr>
            <w:r>
              <w:rPr>
                <w:b w:val="0"/>
                <w:sz w:val="19"/>
              </w:rPr>
              <w:t>第 1–2 周。</w:t>
            </w:r>
          </w:p>
        </w:tc>
        <w:tc>
          <w:tcPr>
            <w:tcW w:type="dxa" w:w="5726"/>
            <w:vAlign w:val="center"/>
          </w:tcPr>
          <w:p>
            <w:pPr>
              <w:keepNext/>
              <w:spacing w:line="271" w:lineRule="auto" w:after="20" w:before="20"/>
            </w:pPr>
            <w:r>
              <w:rPr>
                <w:b w:val="0"/>
                <w:sz w:val="19"/>
              </w:rPr>
              <w:t>完成生成器、200 个开发场景、B1/B2/B5/P1；确认效应不是长度或信息量混淆。</w:t>
            </w:r>
          </w:p>
        </w:tc>
      </w:tr>
      <w:tr>
        <w:trPr>
          <w:cantSplit/>
        </w:trPr>
        <w:tc>
          <w:tcPr>
            <w:tcW w:type="dxa" w:w="1871"/>
            <w:vAlign w:val="center"/>
          </w:tcPr>
          <w:p>
            <w:pPr>
              <w:keepNext w:val="0"/>
              <w:spacing w:line="271" w:lineRule="auto" w:after="20" w:before="20"/>
              <w:jc w:val="center"/>
            </w:pPr>
            <w:r>
              <w:rPr>
                <w:b w:val="0"/>
                <w:sz w:val="19"/>
              </w:rPr>
              <w:t>正式机制集</w:t>
            </w:r>
          </w:p>
        </w:tc>
        <w:tc>
          <w:tcPr>
            <w:tcW w:type="dxa" w:w="1701"/>
            <w:vAlign w:val="center"/>
          </w:tcPr>
          <w:p>
            <w:pPr>
              <w:keepNext w:val="0"/>
              <w:spacing w:line="271" w:lineRule="auto" w:after="20" w:before="20"/>
            </w:pPr>
            <w:r>
              <w:rPr>
                <w:b w:val="0"/>
                <w:sz w:val="19"/>
              </w:rPr>
              <w:t>第 3–4 周。</w:t>
            </w:r>
          </w:p>
        </w:tc>
        <w:tc>
          <w:tcPr>
            <w:tcW w:type="dxa" w:w="5726"/>
            <w:vAlign w:val="center"/>
          </w:tcPr>
          <w:p>
            <w:pPr>
              <w:keepNext w:val="0"/>
              <w:spacing w:line="271" w:lineRule="auto" w:after="20" w:before="20"/>
            </w:pPr>
            <w:r>
              <w:rPr>
                <w:b w:val="0"/>
                <w:sz w:val="19"/>
              </w:rPr>
              <w:t>冻结划分与协议；完成 600 场景主检验和正确采样对照。</w:t>
            </w:r>
          </w:p>
        </w:tc>
      </w:tr>
      <w:tr>
        <w:trPr>
          <w:cantSplit/>
        </w:trPr>
        <w:tc>
          <w:tcPr>
            <w:tcW w:type="dxa" w:w="1871"/>
            <w:vAlign w:val="center"/>
          </w:tcPr>
          <w:p>
            <w:pPr>
              <w:keepNext w:val="0"/>
              <w:spacing w:line="271" w:lineRule="auto" w:after="20" w:before="20"/>
              <w:jc w:val="center"/>
            </w:pPr>
            <w:r>
              <w:rPr>
                <w:b w:val="0"/>
                <w:sz w:val="19"/>
              </w:rPr>
              <w:t>公开环境</w:t>
            </w:r>
          </w:p>
        </w:tc>
        <w:tc>
          <w:tcPr>
            <w:tcW w:type="dxa" w:w="1701"/>
            <w:vAlign w:val="center"/>
          </w:tcPr>
          <w:p>
            <w:pPr>
              <w:keepNext w:val="0"/>
              <w:spacing w:line="271" w:lineRule="auto" w:after="20" w:before="20"/>
            </w:pPr>
            <w:r>
              <w:rPr>
                <w:b w:val="0"/>
                <w:sz w:val="19"/>
              </w:rPr>
              <w:t>第 5–7 周。</w:t>
            </w:r>
          </w:p>
        </w:tc>
        <w:tc>
          <w:tcPr>
            <w:tcW w:type="dxa" w:w="5726"/>
            <w:vAlign w:val="center"/>
          </w:tcPr>
          <w:p>
            <w:pPr>
              <w:keepNext w:val="0"/>
              <w:spacing w:line="271" w:lineRule="auto" w:after="20" w:before="20"/>
            </w:pPr>
            <w:r>
              <w:rPr>
                <w:b w:val="0"/>
                <w:sz w:val="19"/>
              </w:rPr>
              <w:t>导出环境清单、重放审计、自然前提标注与完整任务运行。</w:t>
            </w:r>
          </w:p>
        </w:tc>
      </w:tr>
      <w:tr>
        <w:trPr>
          <w:cantSplit/>
        </w:trPr>
        <w:tc>
          <w:tcPr>
            <w:tcW w:type="dxa" w:w="1871"/>
            <w:vAlign w:val="center"/>
          </w:tcPr>
          <w:p>
            <w:pPr>
              <w:keepNext w:val="0"/>
              <w:spacing w:line="271" w:lineRule="auto" w:after="20" w:before="20"/>
              <w:jc w:val="center"/>
            </w:pPr>
            <w:r>
              <w:rPr>
                <w:b w:val="0"/>
                <w:sz w:val="19"/>
              </w:rPr>
              <w:t>方法与替换</w:t>
            </w:r>
          </w:p>
        </w:tc>
        <w:tc>
          <w:tcPr>
            <w:tcW w:type="dxa" w:w="1701"/>
            <w:vAlign w:val="center"/>
          </w:tcPr>
          <w:p>
            <w:pPr>
              <w:keepNext w:val="0"/>
              <w:spacing w:line="271" w:lineRule="auto" w:after="20" w:before="20"/>
            </w:pPr>
            <w:r>
              <w:rPr>
                <w:b w:val="0"/>
                <w:sz w:val="19"/>
              </w:rPr>
              <w:t>第 8–9 周。</w:t>
            </w:r>
          </w:p>
        </w:tc>
        <w:tc>
          <w:tcPr>
            <w:tcW w:type="dxa" w:w="5726"/>
            <w:vAlign w:val="center"/>
          </w:tcPr>
          <w:p>
            <w:pPr>
              <w:keepNext w:val="0"/>
              <w:spacing w:line="271" w:lineRule="auto" w:after="20" w:before="20"/>
            </w:pPr>
            <w:r>
              <w:rPr>
                <w:b w:val="0"/>
                <w:sz w:val="19"/>
              </w:rPr>
              <w:t>训练 P2、来源恢复与开源头；补齐等预算、Jev 替换与消融。</w:t>
            </w:r>
          </w:p>
        </w:tc>
      </w:tr>
      <w:tr>
        <w:trPr>
          <w:cantSplit/>
        </w:trPr>
        <w:tc>
          <w:tcPr>
            <w:tcW w:type="dxa" w:w="1871"/>
            <w:vAlign w:val="center"/>
          </w:tcPr>
          <w:p>
            <w:pPr>
              <w:keepNext w:val="0"/>
              <w:spacing w:line="271" w:lineRule="auto" w:after="20" w:before="20"/>
              <w:jc w:val="center"/>
            </w:pPr>
            <w:r>
              <w:rPr>
                <w:b w:val="0"/>
                <w:sz w:val="19"/>
              </w:rPr>
              <w:t>复验与写作</w:t>
            </w:r>
          </w:p>
        </w:tc>
        <w:tc>
          <w:tcPr>
            <w:tcW w:type="dxa" w:w="1701"/>
            <w:vAlign w:val="center"/>
          </w:tcPr>
          <w:p>
            <w:pPr>
              <w:keepNext w:val="0"/>
              <w:spacing w:line="271" w:lineRule="auto" w:after="20" w:before="20"/>
            </w:pPr>
            <w:r>
              <w:rPr>
                <w:b w:val="0"/>
                <w:sz w:val="19"/>
              </w:rPr>
              <w:t>第 10–12 周。</w:t>
            </w:r>
          </w:p>
        </w:tc>
        <w:tc>
          <w:tcPr>
            <w:tcW w:type="dxa" w:w="5726"/>
            <w:vAlign w:val="center"/>
          </w:tcPr>
          <w:p>
            <w:pPr>
              <w:keepNext w:val="0"/>
              <w:spacing w:line="271" w:lineRule="auto" w:after="20" w:before="20"/>
            </w:pPr>
            <w:r>
              <w:rPr>
                <w:b w:val="0"/>
                <w:sz w:val="19"/>
              </w:rPr>
              <w:t>第二骨干复验、误差分析、统计审计与可复现材料发布。</w:t>
            </w:r>
          </w:p>
        </w:tc>
      </w:tr>
    </w:tbl>
    <w:p>
      <w:pPr>
        <w:spacing w:after="20"/>
      </w:pPr>
    </w:p>
    <w:p>
      <w:r>
        <w:rPr/>
        <w:t>上述时间为研究工作量规划，不是对算力可用性或结果的承诺。第 2 周和第 4 周分别设置机制与任务适用性的评审点，优先淘汰不成立的主张，避免先训练复杂模块再寻找解释。</w:t>
      </w:r>
    </w:p>
    <w:p>
      <w:pPr>
        <w:pStyle w:val="Heading2"/>
      </w:pPr>
      <w:r>
        <w:t>11.2 算力和调用量估算</w:t>
      </w:r>
    </w:p>
    <w:p>
      <w:r>
        <w:rPr/>
        <w:t>起始资源规划为 1–2 张 80 GB 级 GPU，冻结 8B 骨干后训练小型适配器；实际显存取决于序列长度、精度与 batch。若本地资源不足，优先完成 PHCP Struct 与冻结评分器实验，不以运行条件迫使主方法依赖专有 API。配置只说明工程起点，不保证特定设备上的吞吐。</w:t>
      </w:r>
    </w:p>
    <w:p>
      <w:r>
        <w:rPr/>
        <w:t>以 6 种方法的初始子集为例，600 个机制场景各运行 5 个数量水平，每个骨干需要 18,000 次决策读出；两种骨干需要 36,000 次。完整 B0–B8、P1、P2 共 11 个配置的同一网格对应每骨干 33,000 次。上述均未包含额外干预、条件轨迹生成、真实执行、训练与调参。共享 rollout 缓存可减少重复生成，但节省必须公开报告。</w:t>
      </w:r>
    </w:p>
    <w:p>
      <w:r>
        <w:rPr/>
        <w:t>条件轨迹生成成本近似为决策次数乘以每次 rollout 预算，再乘以每条轨迹平均 token 数。Jev 调用按实际批量方式统计，不能将每个问题与每个网络请求混为一谈。预实验测量平均 token、响应延迟与服务单价后，再编制费用预算；文档不沿用供应商宣传的倍数作为本研究预期收益。</w:t>
      </w:r>
    </w:p>
    <w:p>
      <w:pPr>
        <w:pStyle w:val="Heading2"/>
      </w:pPr>
      <w:r>
        <w:t>11.3 复现与结果归档</w:t>
      </w:r>
    </w:p>
    <w:p>
      <w:r>
        <w:rPr/>
        <w:t>归档内容包括模型 revision、环境 commit 与数据校验和、任务清单、根假设和来源边、随机种子、提示词、样本身份、校准器参数、调参记录、失败与超时处理规则，以及每个 episode 的真实执行轨迹。用单一评测入口重现表格，预先验证 exact clone 不变性、独立抽样频数保持和无隐藏状态泄漏三个实现性质。</w:t>
      </w:r>
    </w:p>
    <w:p>
      <w:pPr>
        <w:pStyle w:val="Heading1"/>
      </w:pPr>
      <w:bookmarkStart w:id="203" w:name="S375485a9255a03c"/>
      <w:r>
        <w:t>12 预期结论与论文组织</w:t>
      </w:r>
      <w:bookmarkEnd w:id="203"/>
    </w:p>
    <w:p>
      <w:r>
        <w:rPr/>
        <w:t>论文拟围绕以下逻辑展开：在一个未知前提下可以生成多个合理后果，但后果数量与前提证据量并不等价；当前规划器是否混淆二者，需要受控实验回答；来源保持的表示与显式信念加权是否能够修复这种混淆，需要同时经受真实任务、强基线和采样收益检验。</w:t>
      </w:r>
    </w:p>
    <w:p>
      <w:r>
        <w:rPr/>
        <w:t>拟定英文论文工作标题为 One Assumption Many Futures，副标题为 Preventing Self Confirmation in World Model Planning。正式标题应与最终证据一致。若核心机制成立，可将贡献集中在内生来源依赖的实证、保持合法采样的聚合设计和实际决策损失修复。若只有局部复制现象，则不应使用一般世界模型规划的广泛结论。</w:t>
      </w:r>
    </w:p>
    <w:p>
      <w:r>
        <w:rPr/>
        <w:t>计划主文图表包括：一个共享前提驱动不同动作后果的示意图；固定条件下数量变化引起的信念与回报曲线；完整来源保持流程；自然任务与预算主表；评分器替换和来源错误消融。曲线和主表只能在实验完成后填入观测值，不能将方案中的预期趋势渲染成实测证据。</w:t>
      </w:r>
    </w:p>
    <w:p>
      <w:r>
        <w:rPr/>
        <w:t>研究的判断标准是能否证明“预测内容不变时，使用预测的方式仍能决定规划可靠性”，并找到比逐条打分和简单去重更充分的解释。会议投稿价值取决于这些证据的强度与一般性，不由 Jev、attention 或世界模型等组件名称本身决定。</w:t>
      </w:r>
    </w:p>
    <w:p>
      <w:pPr>
        <w:pStyle w:val="Heading1"/>
      </w:pPr>
      <w:bookmarkStart w:id="208" w:name="Se1ae4ff6a451b70"/>
      <w:r>
        <w:t>参考文献</w:t>
      </w:r>
      <w:bookmarkEnd w:id="208"/>
    </w:p>
    <w:p>
      <w:r>
        <w:rPr/>
        <w:t>以下条目区分正式会议论文、预印本、模型文档与代码项目。在线资料访问日期均为 2026 年 9 月 27 日。</w:t>
      </w:r>
    </w:p>
    <w:p>
      <w:pPr>
        <w:keepLines/>
        <w:spacing w:after="140" w:line="276" w:lineRule="auto"/>
      </w:pPr>
      <w:r>
        <w:rPr>
          <w:sz w:val="20"/>
        </w:rPr>
        <w:t xml:space="preserve">[1] Chua K, Calandra R, McAllister R, Levine S. Deep Reinforcement Learning in a Handful of Trials using Probabilistic Dynamics Models. NeurIPS, 2018. </w:t>
      </w:r>
      <w:hyperlink r:id="rId10">
        <w:r>
          <w:rPr>
            <w:color w:val="234C72"/>
          </w:rPr>
          <w:t>原文与资源</w:t>
        </w:r>
      </w:hyperlink>
    </w:p>
    <w:p>
      <w:pPr>
        <w:keepLines/>
        <w:spacing w:after="140" w:line="276" w:lineRule="auto"/>
      </w:pPr>
      <w:r>
        <w:rPr>
          <w:sz w:val="20"/>
        </w:rPr>
        <w:t xml:space="preserve">[2] Malik A, Kuleshov V, Song J, Nemer D, Seymour H, Ermon S. Calibrated Model-Based Deep Reinforcement Learning. ICML, PMLR 97, 2019. </w:t>
      </w:r>
      <w:hyperlink r:id="rId11">
        <w:r>
          <w:rPr>
            <w:color w:val="234C72"/>
          </w:rPr>
          <w:t>原文与资源</w:t>
        </w:r>
      </w:hyperlink>
    </w:p>
    <w:p>
      <w:pPr>
        <w:keepLines/>
        <w:spacing w:after="140" w:line="276" w:lineRule="auto"/>
      </w:pPr>
      <w:r>
        <w:rPr>
          <w:sz w:val="20"/>
        </w:rPr>
        <w:t xml:space="preserve">[3] Farahmand A M, Barreto A, Nikovski D. Value-Aware Loss Function for Model-based Reinforcement Learning. AISTATS, PMLR 54, 2017. </w:t>
      </w:r>
      <w:hyperlink r:id="rId12">
        <w:r>
          <w:rPr>
            <w:color w:val="234C72"/>
          </w:rPr>
          <w:t>原文与资源</w:t>
        </w:r>
      </w:hyperlink>
    </w:p>
    <w:p>
      <w:pPr>
        <w:keepLines/>
        <w:spacing w:after="140" w:line="276" w:lineRule="auto"/>
      </w:pPr>
      <w:r>
        <w:rPr>
          <w:sz w:val="20"/>
        </w:rPr>
        <w:t xml:space="preserve">[4] Zhao S, et al. Calibrating Predictions to Decisions: A Novel Approach to Multi-Class Calibration. NeurIPS, 2021. </w:t>
      </w:r>
      <w:hyperlink r:id="rId13">
        <w:r>
          <w:rPr>
            <w:color w:val="234C72"/>
          </w:rPr>
          <w:t>原文与资源</w:t>
        </w:r>
      </w:hyperlink>
    </w:p>
    <w:p>
      <w:pPr>
        <w:keepLines/>
        <w:spacing w:after="140" w:line="276" w:lineRule="auto"/>
      </w:pPr>
      <w:r>
        <w:rPr>
          <w:sz w:val="20"/>
        </w:rPr>
        <w:t xml:space="preserve">[5] Qiu J, Chen Z, Cao H, Shi J, Huo J, Gao Y. AD-WM: Action-Discriminative World Models for Counterfactual Model Predictive Control. arXiv preprint 2609.30264, 2026. </w:t>
      </w:r>
      <w:hyperlink r:id="rId14">
        <w:r>
          <w:rPr>
            <w:color w:val="234C72"/>
          </w:rPr>
          <w:t>原文与资源</w:t>
        </w:r>
      </w:hyperlink>
    </w:p>
    <w:p>
      <w:pPr>
        <w:keepLines/>
        <w:spacing w:after="140" w:line="276" w:lineRule="auto"/>
      </w:pPr>
      <w:r>
        <w:rPr>
          <w:sz w:val="20"/>
        </w:rPr>
        <w:t xml:space="preserve">[6] Wang R, Zhang Y, Lin J, et al. When to Trust Imagination: Adaptive Action Execution for World Action Models. arXiv preprint 2605.06222, 2026. </w:t>
      </w:r>
      <w:hyperlink r:id="rId15">
        <w:r>
          <w:rPr>
            <w:color w:val="234C72"/>
          </w:rPr>
          <w:t>原文与资源</w:t>
        </w:r>
      </w:hyperlink>
    </w:p>
    <w:p>
      <w:pPr>
        <w:keepLines/>
        <w:spacing w:after="140" w:line="276" w:lineRule="auto"/>
      </w:pPr>
      <w:r>
        <w:rPr>
          <w:sz w:val="20"/>
        </w:rPr>
        <w:t xml:space="preserve">[7] Zhang X, Zhang W, Ng S K, Deng Y. Self-Evolving World Models for LLM Agent Planning. arXiv preprint 2606.30639, 2026. </w:t>
      </w:r>
      <w:hyperlink r:id="rId16">
        <w:r>
          <w:rPr>
            <w:color w:val="234C72"/>
          </w:rPr>
          <w:t>原文与资源</w:t>
        </w:r>
      </w:hyperlink>
    </w:p>
    <w:p>
      <w:pPr>
        <w:keepLines/>
        <w:spacing w:after="140" w:line="276" w:lineRule="auto"/>
      </w:pPr>
      <w:r>
        <w:rPr>
          <w:sz w:val="20"/>
        </w:rPr>
        <w:t xml:space="preserve">[8] Dong X L, Berti-Equille L, Srivastava D. Truth Discovery and Copying Detection in a Dynamic World. Proceedings of the VLDB Endowment, 2, 2009. </w:t>
      </w:r>
      <w:hyperlink r:id="rId17">
        <w:r>
          <w:rPr>
            <w:color w:val="234C72"/>
          </w:rPr>
          <w:t>原文与资源</w:t>
        </w:r>
      </w:hyperlink>
    </w:p>
    <w:p>
      <w:pPr>
        <w:keepLines/>
        <w:spacing w:after="140" w:line="276" w:lineRule="auto"/>
      </w:pPr>
      <w:r>
        <w:rPr>
          <w:sz w:val="20"/>
        </w:rPr>
        <w:t xml:space="preserve">[9] Rahadi I. Counting Copies as Evidence: Confidence Inflation from Dependent Evidence in Retrieval-Augmented Generation (RAG). Position paper and preprint, 2026. DOI 10.5281/zenodo.21923648. </w:t>
      </w:r>
      <w:hyperlink r:id="rId18">
        <w:r>
          <w:rPr>
            <w:color w:val="234C72"/>
          </w:rPr>
          <w:t>原文与资源</w:t>
        </w:r>
      </w:hyperlink>
    </w:p>
    <w:p>
      <w:pPr>
        <w:keepLines/>
        <w:spacing w:after="140" w:line="276" w:lineRule="auto"/>
      </w:pPr>
      <w:r>
        <w:rPr>
          <w:sz w:val="20"/>
        </w:rPr>
        <w:t xml:space="preserve">[10] TypeSafe AI. Introducing System One Models and Jev. Official product announcement, 2026. </w:t>
      </w:r>
      <w:hyperlink r:id="rId19">
        <w:r>
          <w:rPr>
            <w:color w:val="234C72"/>
          </w:rPr>
          <w:t>原文与资源</w:t>
        </w:r>
      </w:hyperlink>
    </w:p>
    <w:p>
      <w:pPr>
        <w:keepLines/>
        <w:spacing w:after="140" w:line="276" w:lineRule="auto"/>
      </w:pPr>
      <w:r>
        <w:rPr>
          <w:sz w:val="20"/>
        </w:rPr>
        <w:t xml:space="preserve">[11] Guo R, et al. Just Ask Jev: Reinforcement Learning for Calibrated Decisions as a Zero-Shot Detector of AI Alignment Failures. arXiv preprint 2609.29429, 2026. </w:t>
      </w:r>
      <w:hyperlink r:id="rId20">
        <w:r>
          <w:rPr>
            <w:color w:val="234C72"/>
          </w:rPr>
          <w:t>原文与资源</w:t>
        </w:r>
      </w:hyperlink>
    </w:p>
    <w:p>
      <w:pPr>
        <w:keepLines/>
        <w:spacing w:after="140" w:line="276" w:lineRule="auto"/>
      </w:pPr>
      <w:r>
        <w:rPr>
          <w:sz w:val="20"/>
        </w:rPr>
        <w:t xml:space="preserve">[12] Sun Y, Xu J, Shi J, Yang Z. Type-Safe Is Not Error-Free: A Constrained Decision Head Follows the Option Name, Not the Rubric Bound to It. arXiv preprint 2609.26758v2, 2026. </w:t>
      </w:r>
      <w:hyperlink r:id="rId21">
        <w:r>
          <w:rPr>
            <w:color w:val="234C72"/>
          </w:rPr>
          <w:t>原文与资源</w:t>
        </w:r>
      </w:hyperlink>
    </w:p>
    <w:p>
      <w:pPr>
        <w:keepLines/>
        <w:spacing w:after="140" w:line="276" w:lineRule="auto"/>
      </w:pPr>
      <w:r>
        <w:rPr>
          <w:sz w:val="20"/>
        </w:rPr>
        <w:t xml:space="preserve">[13] Abdel. LeJudge: Natural-Language Constraints for Latent World-Model Planning. Public research repository and technical report, 2026. </w:t>
      </w:r>
      <w:hyperlink r:id="rId22">
        <w:r>
          <w:rPr>
            <w:color w:val="234C72"/>
          </w:rPr>
          <w:t>原文与资源</w:t>
        </w:r>
      </w:hyperlink>
    </w:p>
    <w:p>
      <w:pPr>
        <w:keepLines/>
        <w:spacing w:after="140" w:line="276" w:lineRule="auto"/>
      </w:pPr>
      <w:r>
        <w:rPr>
          <w:sz w:val="20"/>
        </w:rPr>
        <w:t xml:space="preserve">[14] Guo C, Pleiss G, Sun Y, Weinberger K Q. On Calibration of Modern Neural Networks. ICML, PMLR 70, 2017. </w:t>
      </w:r>
      <w:hyperlink r:id="rId23">
        <w:r>
          <w:rPr>
            <w:color w:val="234C72"/>
          </w:rPr>
          <w:t>原文与资源</w:t>
        </w:r>
      </w:hyperlink>
    </w:p>
    <w:p>
      <w:pPr>
        <w:keepLines/>
        <w:spacing w:after="140" w:line="276" w:lineRule="auto"/>
      </w:pPr>
      <w:r>
        <w:rPr>
          <w:sz w:val="20"/>
        </w:rPr>
        <w:t xml:space="preserve">[15] Shridhar M, Yuan X, Côté M A, Bisk Y, Trischler A, Hausknecht M. ALFWorld: Aligning Text and Embodied Environments for Interactive Learning. ICLR, 2021. </w:t>
      </w:r>
      <w:hyperlink r:id="rId24">
        <w:r>
          <w:rPr>
            <w:color w:val="234C72"/>
          </w:rPr>
          <w:t>原文与资源</w:t>
        </w:r>
      </w:hyperlink>
    </w:p>
    <w:p>
      <w:pPr>
        <w:keepLines/>
        <w:spacing w:after="140" w:line="276" w:lineRule="auto"/>
      </w:pPr>
      <w:r>
        <w:rPr>
          <w:sz w:val="20"/>
        </w:rPr>
        <w:t xml:space="preserve">[16] Wang R, Jansen P, Côté M A, Ammanabrolu P. ScienceWorld: Is your Agent Smarter than a 5th Grader? EMNLP, 2022. </w:t>
      </w:r>
      <w:hyperlink r:id="rId25">
        <w:r>
          <w:rPr>
            <w:color w:val="234C72"/>
          </w:rPr>
          <w:t>原文与资源</w:t>
        </w:r>
      </w:hyperlink>
    </w:p>
    <w:p>
      <w:pPr>
        <w:keepLines/>
        <w:spacing w:after="140" w:line="276" w:lineRule="auto"/>
      </w:pPr>
      <w:r>
        <w:rPr>
          <w:sz w:val="20"/>
        </w:rPr>
        <w:t xml:space="preserve">[17] Farama Foundation. MiniGrid. Official documentation and repository. </w:t>
      </w:r>
      <w:hyperlink r:id="rId26">
        <w:r>
          <w:rPr>
            <w:color w:val="234C72"/>
          </w:rPr>
          <w:t>原文与资源</w:t>
        </w:r>
      </w:hyperlink>
    </w:p>
    <w:p>
      <w:pPr>
        <w:keepLines/>
        <w:spacing w:after="140" w:line="276" w:lineRule="auto"/>
      </w:pPr>
      <w:r>
        <w:rPr>
          <w:sz w:val="20"/>
        </w:rPr>
        <w:t xml:space="preserve">[18] Yao S, et al. ReAct: Synergizing Reasoning and Acting in Language Models. ICLR, 2023. </w:t>
      </w:r>
      <w:hyperlink r:id="rId27">
        <w:r>
          <w:rPr>
            <w:color w:val="234C72"/>
          </w:rPr>
          <w:t>原文与资源</w:t>
        </w:r>
      </w:hyperlink>
    </w:p>
    <w:p>
      <w:pPr>
        <w:keepLines/>
        <w:spacing w:after="140" w:line="276" w:lineRule="auto"/>
      </w:pPr>
      <w:r>
        <w:rPr>
          <w:sz w:val="20"/>
        </w:rPr>
        <w:t xml:space="preserve">[19] Hao S, et al. Reasoning with Language Model is Planning with World Model. EMNLP, 2023. </w:t>
      </w:r>
      <w:hyperlink r:id="rId28">
        <w:r>
          <w:rPr>
            <w:color w:val="234C72"/>
          </w:rPr>
          <w:t>原文与资源</w:t>
        </w:r>
      </w:hyperlink>
    </w:p>
    <w:p>
      <w:pPr>
        <w:keepLines/>
        <w:spacing w:after="140" w:line="276" w:lineRule="auto"/>
      </w:pPr>
      <w:r>
        <w:rPr>
          <w:sz w:val="20"/>
        </w:rPr>
        <w:t xml:space="preserve">[20] Zhou A, Yan K, Shlapentokh-Rothman M, Wang H, Wang Y X. Language Agent Tree Search Unifies Reasoning, Acting, and Planning in Language Models. ICML, 2024. </w:t>
      </w:r>
      <w:hyperlink r:id="rId29">
        <w:r>
          <w:rPr>
            <w:color w:val="234C72"/>
          </w:rPr>
          <w:t>原文与资源</w:t>
        </w:r>
      </w:hyperlink>
    </w:p>
    <w:p>
      <w:pPr>
        <w:keepLines/>
        <w:spacing w:after="140" w:line="276" w:lineRule="auto"/>
      </w:pPr>
      <w:r>
        <w:rPr>
          <w:sz w:val="20"/>
        </w:rPr>
        <w:t xml:space="preserve">[21] Qwen Team. Qwen3 8B and Qwen3 4B Model Cards. Official model documentation, 2025. </w:t>
      </w:r>
      <w:hyperlink r:id="rId30">
        <w:r>
          <w:rPr>
            <w:color w:val="234C72"/>
          </w:rPr>
          <w:t>原文与资源</w:t>
        </w:r>
      </w:hyperlink>
    </w:p>
    <w:p>
      <w:pPr>
        <w:keepLines/>
        <w:spacing w:after="140" w:line="276" w:lineRule="auto"/>
      </w:pPr>
      <w:r>
        <w:rPr>
          <w:sz w:val="20"/>
        </w:rPr>
        <w:t xml:space="preserve">[22] Meta. Llama 3.1 8B Instruct Model Card. Official model documentation, 2024. </w:t>
      </w:r>
      <w:hyperlink r:id="rId31">
        <w:r>
          <w:rPr>
            <w:color w:val="234C72"/>
          </w:rPr>
          <w:t>原文与资源</w:t>
        </w:r>
      </w:hyperlink>
    </w:p>
    <w:p>
      <w:pPr>
        <w:keepLines/>
        <w:spacing w:after="140" w:line="276" w:lineRule="auto"/>
      </w:pPr>
      <w:r>
        <w:rPr>
          <w:sz w:val="20"/>
        </w:rPr>
        <w:t xml:space="preserve">[23] ALFWorld contributors. Official implementation task lists and license. </w:t>
      </w:r>
      <w:hyperlink r:id="rId32">
        <w:r>
          <w:rPr>
            <w:color w:val="234C72"/>
          </w:rPr>
          <w:t>原文与资源</w:t>
        </w:r>
      </w:hyperlink>
    </w:p>
    <w:p>
      <w:pPr>
        <w:keepLines/>
        <w:spacing w:after="140" w:line="276" w:lineRule="auto"/>
      </w:pPr>
      <w:r>
        <w:rPr>
          <w:sz w:val="20"/>
        </w:rPr>
        <w:t xml:space="preserve">[24] Allen Institute for AI. ScienceWorld official implementation and release notes. </w:t>
      </w:r>
      <w:hyperlink r:id="rId33">
        <w:r>
          <w:rPr>
            <w:color w:val="234C72"/>
          </w:rPr>
          <w:t>原文与资源</w:t>
        </w:r>
      </w:hyperlink>
    </w:p>
    <w:p>
      <w:pPr>
        <w:keepLines/>
        <w:spacing w:after="140" w:line="276" w:lineRule="auto"/>
      </w:pPr>
      <w:r>
        <w:rPr>
          <w:sz w:val="20"/>
        </w:rPr>
        <w:t xml:space="preserve">[25] TypeSafe AI. Jev API introduction. Official documentation. </w:t>
      </w:r>
      <w:hyperlink r:id="rId34">
        <w:r>
          <w:rPr>
            <w:color w:val="234C72"/>
          </w:rPr>
          <w:t>原文与资源</w:t>
        </w:r>
      </w:hyperlink>
    </w:p>
    <w:p>
      <w:pPr>
        <w:keepLines/>
        <w:spacing w:after="140" w:line="276" w:lineRule="auto"/>
      </w:pPr>
      <w:r>
        <w:rPr>
          <w:sz w:val="20"/>
        </w:rPr>
        <w:t xml:space="preserve">[26] Vaswani A, et al. Attention Is All You Need. NeurIPS, 2017. </w:t>
      </w:r>
      <w:hyperlink r:id="rId35">
        <w:r>
          <w:rPr>
            <w:color w:val="234C72"/>
          </w:rPr>
          <w:t>原文与资源</w:t>
        </w:r>
      </w:hyperlink>
    </w:p>
    <w:p>
      <w:r>
        <w:br w:type="page"/>
      </w:r>
    </w:p>
    <w:p>
      <w:pPr>
        <w:pStyle w:val="Heading1"/>
      </w:pPr>
      <w:bookmarkStart w:id="237" w:name="S53d442a18062dbd"/>
      <w:r>
        <w:t>附录 A 记录格式与提示词规范</w:t>
      </w:r>
      <w:bookmarkEnd w:id="237"/>
    </w:p>
    <w:p>
      <w:pPr>
        <w:pStyle w:val="Heading2"/>
      </w:pPr>
      <w:r>
        <w:t>A1 最小记录字段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3402"/>
        <w:gridCol w:w="5896"/>
      </w:tblGrid>
      <w:tr>
        <w:trPr>
          <w:cantSplit/>
          <w:tblHeader/>
        </w:trPr>
        <w:tc>
          <w:tcPr>
            <w:tcW w:type="dxa" w:w="3402"/>
            <w:vAlign w:val="center"/>
            <w:shd w:fill="E6ECF2"/>
          </w:tcPr>
          <w:p>
            <w:pPr>
              <w:keepNext/>
              <w:spacing w:line="271" w:lineRule="auto" w:after="20" w:before="20"/>
              <w:jc w:val="center"/>
            </w:pPr>
            <w:r>
              <w:rPr>
                <w:b/>
                <w:sz w:val="19"/>
              </w:rPr>
              <w:t>字段</w:t>
            </w:r>
          </w:p>
        </w:tc>
        <w:tc>
          <w:tcPr>
            <w:tcW w:type="dxa" w:w="5896"/>
            <w:vAlign w:val="center"/>
            <w:shd w:fill="E6ECF2"/>
          </w:tcPr>
          <w:p>
            <w:pPr>
              <w:keepNext/>
              <w:spacing w:line="271" w:lineRule="auto" w:after="20" w:before="20"/>
            </w:pPr>
            <w:r>
              <w:rPr>
                <w:b/>
                <w:sz w:val="19"/>
              </w:rPr>
              <w:t>含义</w:t>
            </w:r>
          </w:p>
        </w:tc>
      </w:tr>
      <w:tr>
        <w:trPr>
          <w:cantSplit/>
        </w:trPr>
        <w:tc>
          <w:tcPr>
            <w:tcW w:type="dxa" w:w="3402"/>
            <w:vAlign w:val="center"/>
          </w:tcPr>
          <w:p>
            <w:pPr>
              <w:keepNext/>
              <w:spacing w:line="271" w:lineRule="auto" w:after="20" w:before="20"/>
            </w:pPr>
            <w:r>
              <w:rPr>
                <w:b w:val="0"/>
                <w:sz w:val="19"/>
              </w:rPr>
              <w:t>episode_id / snapshot_id</w:t>
            </w:r>
          </w:p>
        </w:tc>
        <w:tc>
          <w:tcPr>
            <w:tcW w:type="dxa" w:w="5896"/>
            <w:vAlign w:val="center"/>
          </w:tcPr>
          <w:p>
            <w:pPr>
              <w:keepNext/>
              <w:spacing w:line="271" w:lineRule="auto" w:after="20" w:before="20"/>
            </w:pPr>
            <w:r>
              <w:rPr>
                <w:b w:val="0"/>
                <w:sz w:val="19"/>
              </w:rPr>
              <w:t>任务实例和决策快照；所有增强版本共享基础场景标识。</w:t>
            </w:r>
          </w:p>
        </w:tc>
      </w:tr>
      <w:tr>
        <w:trPr>
          <w:cantSplit/>
        </w:trPr>
        <w:tc>
          <w:tcPr>
            <w:tcW w:type="dxa" w:w="3402"/>
            <w:vAlign w:val="center"/>
          </w:tcPr>
          <w:p>
            <w:pPr>
              <w:keepNext w:val="0"/>
              <w:spacing w:line="271" w:lineRule="auto" w:after="20" w:before="20"/>
            </w:pPr>
            <w:r>
              <w:rPr>
                <w:b w:val="0"/>
                <w:sz w:val="19"/>
              </w:rPr>
              <w:t>evidence_id / source_type</w:t>
            </w:r>
          </w:p>
        </w:tc>
        <w:tc>
          <w:tcPr>
            <w:tcW w:type="dxa" w:w="5896"/>
            <w:vAlign w:val="center"/>
          </w:tcPr>
          <w:p>
            <w:pPr>
              <w:keepNext w:val="0"/>
              <w:spacing w:line="271" w:lineRule="auto" w:after="20" w:before="20"/>
            </w:pPr>
            <w:r>
              <w:rPr>
                <w:b w:val="0"/>
                <w:sz w:val="19"/>
              </w:rPr>
              <w:t>证据身份与取得方式；区分环境反馈和模型生成。</w:t>
            </w:r>
          </w:p>
        </w:tc>
      </w:tr>
      <w:tr>
        <w:trPr>
          <w:cantSplit/>
        </w:trPr>
        <w:tc>
          <w:tcPr>
            <w:tcW w:type="dxa" w:w="3402"/>
            <w:vAlign w:val="center"/>
          </w:tcPr>
          <w:p>
            <w:pPr>
              <w:keepNext w:val="0"/>
              <w:spacing w:line="271" w:lineRule="auto" w:after="20" w:before="20"/>
            </w:pPr>
            <w:r>
              <w:rPr>
                <w:b w:val="0"/>
                <w:sz w:val="19"/>
              </w:rPr>
              <w:t>hypothesis_id / configuration_id</w:t>
            </w:r>
          </w:p>
        </w:tc>
        <w:tc>
          <w:tcPr>
            <w:tcW w:type="dxa" w:w="5896"/>
            <w:vAlign w:val="center"/>
          </w:tcPr>
          <w:p>
            <w:pPr>
              <w:keepNext w:val="0"/>
              <w:spacing w:line="271" w:lineRule="auto" w:after="20" w:before="20"/>
            </w:pPr>
            <w:r>
              <w:rPr>
                <w:b w:val="0"/>
                <w:sz w:val="19"/>
              </w:rPr>
              <w:t>根前提身份和互斥配置；记录联合关系与 other。</w:t>
            </w:r>
          </w:p>
        </w:tc>
      </w:tr>
      <w:tr>
        <w:trPr>
          <w:cantSplit/>
        </w:trPr>
        <w:tc>
          <w:tcPr>
            <w:tcW w:type="dxa" w:w="3402"/>
            <w:vAlign w:val="center"/>
          </w:tcPr>
          <w:p>
            <w:pPr>
              <w:keepNext w:val="0"/>
              <w:spacing w:line="271" w:lineRule="auto" w:after="20" w:before="20"/>
            </w:pPr>
            <w:r>
              <w:rPr>
                <w:b w:val="0"/>
                <w:sz w:val="19"/>
              </w:rPr>
              <w:t>parent_ids / relation_status</w:t>
            </w:r>
          </w:p>
        </w:tc>
        <w:tc>
          <w:tcPr>
            <w:tcW w:type="dxa" w:w="5896"/>
            <w:vAlign w:val="center"/>
          </w:tcPr>
          <w:p>
            <w:pPr>
              <w:keepNext w:val="0"/>
              <w:spacing w:line="271" w:lineRule="auto" w:after="20" w:before="20"/>
            </w:pPr>
            <w:r>
              <w:rPr>
                <w:b w:val="0"/>
                <w:sz w:val="19"/>
              </w:rPr>
              <w:t>来源边及其已知、预测、未知状态。</w:t>
            </w:r>
          </w:p>
        </w:tc>
      </w:tr>
      <w:tr>
        <w:trPr>
          <w:cantSplit/>
        </w:trPr>
        <w:tc>
          <w:tcPr>
            <w:tcW w:type="dxa" w:w="3402"/>
            <w:vAlign w:val="center"/>
          </w:tcPr>
          <w:p>
            <w:pPr>
              <w:keepNext w:val="0"/>
              <w:spacing w:line="271" w:lineRule="auto" w:after="20" w:before="20"/>
            </w:pPr>
            <w:r>
              <w:rPr>
                <w:b w:val="0"/>
                <w:sz w:val="19"/>
              </w:rPr>
              <w:t>sample_id / draw_id / sampler_type</w:t>
            </w:r>
          </w:p>
        </w:tc>
        <w:tc>
          <w:tcPr>
            <w:tcW w:type="dxa" w:w="5896"/>
            <w:vAlign w:val="center"/>
          </w:tcPr>
          <w:p>
            <w:pPr>
              <w:keepNext w:val="0"/>
              <w:spacing w:line="271" w:lineRule="auto" w:after="20" w:before="20"/>
            </w:pPr>
            <w:r>
              <w:rPr>
                <w:b w:val="0"/>
                <w:sz w:val="19"/>
              </w:rPr>
              <w:t>独立条件样本、配置抽样次数和抽样机制；副本沿用原 sample_id。</w:t>
            </w:r>
          </w:p>
        </w:tc>
      </w:tr>
      <w:tr>
        <w:trPr>
          <w:cantSplit/>
        </w:trPr>
        <w:tc>
          <w:tcPr>
            <w:tcW w:type="dxa" w:w="3402"/>
            <w:vAlign w:val="center"/>
          </w:tcPr>
          <w:p>
            <w:pPr>
              <w:keepNext w:val="0"/>
              <w:spacing w:line="271" w:lineRule="auto" w:after="20" w:before="20"/>
            </w:pPr>
            <w:r>
              <w:rPr>
                <w:b w:val="0"/>
                <w:sz w:val="19"/>
              </w:rPr>
              <w:t>action_id / conditional_return</w:t>
            </w:r>
          </w:p>
        </w:tc>
        <w:tc>
          <w:tcPr>
            <w:tcW w:type="dxa" w:w="5896"/>
            <w:vAlign w:val="center"/>
          </w:tcPr>
          <w:p>
            <w:pPr>
              <w:keepNext w:val="0"/>
              <w:spacing w:line="271" w:lineRule="auto" w:after="20" w:before="20"/>
            </w:pPr>
            <w:r>
              <w:rPr>
                <w:b w:val="0"/>
                <w:sz w:val="19"/>
              </w:rPr>
              <w:t>动作身份与模型预测的条件回报；与实际回报分开。</w:t>
            </w:r>
          </w:p>
        </w:tc>
      </w:tr>
      <w:tr>
        <w:trPr>
          <w:cantSplit/>
        </w:trPr>
        <w:tc>
          <w:tcPr>
            <w:tcW w:type="dxa" w:w="3402"/>
            <w:vAlign w:val="center"/>
          </w:tcPr>
          <w:p>
            <w:pPr>
              <w:keepNext w:val="0"/>
              <w:spacing w:line="271" w:lineRule="auto" w:after="20" w:before="20"/>
            </w:pPr>
            <w:r>
              <w:rPr>
                <w:b w:val="0"/>
                <w:sz w:val="19"/>
              </w:rPr>
              <w:t>q_raw / q_cal / calibration_version</w:t>
            </w:r>
          </w:p>
        </w:tc>
        <w:tc>
          <w:tcPr>
            <w:tcW w:type="dxa" w:w="5896"/>
            <w:vAlign w:val="center"/>
          </w:tcPr>
          <w:p>
            <w:pPr>
              <w:keepNext w:val="0"/>
              <w:spacing w:line="271" w:lineRule="auto" w:after="20" w:before="20"/>
            </w:pPr>
            <w:r>
              <w:rPr>
                <w:b w:val="0"/>
                <w:sz w:val="19"/>
              </w:rPr>
              <w:t>原始分数、校准概率及对应校准器版本。</w:t>
            </w:r>
          </w:p>
        </w:tc>
      </w:tr>
      <w:tr>
        <w:trPr>
          <w:cantSplit/>
        </w:trPr>
        <w:tc>
          <w:tcPr>
            <w:tcW w:type="dxa" w:w="3402"/>
            <w:vAlign w:val="center"/>
          </w:tcPr>
          <w:p>
            <w:pPr>
              <w:keepNext w:val="0"/>
              <w:spacing w:line="271" w:lineRule="auto" w:after="20" w:before="20"/>
            </w:pPr>
            <w:r>
              <w:rPr>
                <w:b w:val="0"/>
                <w:sz w:val="19"/>
              </w:rPr>
              <w:t>label_source / label_visibility</w:t>
            </w:r>
          </w:p>
        </w:tc>
        <w:tc>
          <w:tcPr>
            <w:tcW w:type="dxa" w:w="5896"/>
            <w:vAlign w:val="center"/>
          </w:tcPr>
          <w:p>
            <w:pPr>
              <w:keepNext w:val="0"/>
              <w:spacing w:line="271" w:lineRule="auto" w:after="20" w:before="20"/>
            </w:pPr>
            <w:r>
              <w:rPr>
                <w:b w:val="0"/>
                <w:sz w:val="19"/>
              </w:rPr>
              <w:t>真值出处及可见范围；hidden oracle 字段严禁进入线上输入。</w:t>
            </w:r>
          </w:p>
        </w:tc>
      </w:tr>
      <w:tr>
        <w:trPr>
          <w:cantSplit/>
        </w:trPr>
        <w:tc>
          <w:tcPr>
            <w:tcW w:type="dxa" w:w="3402"/>
            <w:vAlign w:val="center"/>
          </w:tcPr>
          <w:p>
            <w:pPr>
              <w:keepNext w:val="0"/>
              <w:spacing w:line="271" w:lineRule="auto" w:after="20" w:before="20"/>
            </w:pPr>
            <w:r>
              <w:rPr>
                <w:b w:val="0"/>
                <w:sz w:val="19"/>
              </w:rPr>
              <w:t>model_revision / token_cost</w:t>
            </w:r>
          </w:p>
        </w:tc>
        <w:tc>
          <w:tcPr>
            <w:tcW w:type="dxa" w:w="5896"/>
            <w:vAlign w:val="center"/>
          </w:tcPr>
          <w:p>
            <w:pPr>
              <w:keepNext w:val="0"/>
              <w:spacing w:line="271" w:lineRule="auto" w:after="20" w:before="20"/>
            </w:pPr>
            <w:r>
              <w:rPr>
                <w:b w:val="0"/>
                <w:sz w:val="19"/>
              </w:rPr>
              <w:t>模型与服务版本、生成和评分 token、延迟及调用次数。</w:t>
            </w:r>
          </w:p>
        </w:tc>
      </w:tr>
    </w:tbl>
    <w:p>
      <w:pPr>
        <w:spacing w:after="20"/>
      </w:pPr>
    </w:p>
    <w:p>
      <w:pPr>
        <w:pStyle w:val="Heading2"/>
      </w:pPr>
      <w:r>
        <w:t>A2 信念评分请求契约</w:t>
      </w:r>
    </w:p>
    <w:p>
      <w:r>
        <w:rPr/>
        <w:t>输入应明确列出观察到的事实、待判断的互斥配置、必要任务背景及每个事实的来源；问题要求估计在这些证据下各配置的概率。生成轨迹不作为新增观察。若使用与事实相关的推导，需记录推导的证据依赖，以便判断它是新的计算结果还是已有断言的副本。</w:t>
      </w:r>
    </w:p>
    <w:p>
      <w:r>
        <w:rPr/>
        <w:t>建议提示语义为：“请仅根据列出的已取得证据和已有领域知识，评估以下互斥配置。模型预演代表条件结果，不代表已经发生的观察。请输出预先定义类别的分数，并保留未覆盖配置的概率。”该文字描述用于规范任务，不替代接口的 schema 与选项定义。</w:t>
      </w:r>
    </w:p>
    <w:p>
      <w:pPr>
        <w:pStyle w:val="Heading2"/>
      </w:pPr>
      <w:r>
        <w:t>A3 条件预演请求契约</w:t>
      </w:r>
    </w:p>
    <w:p>
      <w:r>
        <w:rPr/>
        <w:t>每次请求显式给出配置 h、候选动作 a、预演深度和允许使用的观察。要求返回条件状态变化、回报估计、使用的根前提和样本身份。世界模型产生的“观察”只能写入 imagined_observation 字段；真实执行器返回的内容写入 observed_evidence。独立随机样本采用新的 sample_id，表述改写必须引用原 sample_id。</w:t>
      </w:r>
    </w:p>
    <w:p>
      <w:pPr>
        <w:pStyle w:val="Heading2"/>
      </w:pPr>
      <w:r>
        <w:t>A4 输出审计</w:t>
      </w:r>
    </w:p>
    <w:p>
      <w:r>
        <w:rPr/>
        <w:t>解析失败、来源字段缺失、相互矛盾的配置、概率和偏离 1、other 缺失、身份碰撞以及超预算请求均记录为可见失败。不得悄悄重新生成直到通过；若设置重试，全部方法具有相同重试上限并统计成本。假设不存在合法真值标签时，不生成伪标签补齐数据。</w:t>
      </w:r>
    </w:p>
    <w:p>
      <w:pPr>
        <w:pStyle w:val="Heading1"/>
      </w:pPr>
      <w:bookmarkStart w:id="247" w:name="Se85f0b86f080d17"/>
      <w:r>
        <w:t>附录 B 最小可行实验清单</w:t>
      </w:r>
      <w:bookmarkEnd w:id="247"/>
    </w:p>
    <w:p>
      <w:r>
        <w:rPr/>
        <w:t>最小可行研究不要求先实现复杂 attention。先完成以下检验，再决定是否扩展模型训练。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100" w:type="dxa"/>
          <w:right w:w="100" w:type="dxa"/>
        </w:tblCellMar>
      </w:tblPr>
      <w:tblGrid>
        <w:gridCol w:w="1928"/>
        <w:gridCol w:w="4195"/>
        <w:gridCol w:w="3175"/>
      </w:tblGrid>
      <w:tr>
        <w:trPr>
          <w:cantSplit/>
          <w:tblHeader/>
        </w:trPr>
        <w:tc>
          <w:tcPr>
            <w:tcW w:type="dxa" w:w="1928"/>
            <w:vAlign w:val="center"/>
            <w:shd w:fill="E6ECF2"/>
          </w:tcPr>
          <w:p>
            <w:pPr>
              <w:keepNext/>
              <w:spacing w:line="271" w:lineRule="auto" w:after="20" w:before="20"/>
              <w:jc w:val="center"/>
            </w:pPr>
            <w:r>
              <w:rPr>
                <w:b/>
                <w:sz w:val="19"/>
              </w:rPr>
              <w:t>检查项</w:t>
            </w:r>
          </w:p>
        </w:tc>
        <w:tc>
          <w:tcPr>
            <w:tcW w:type="dxa" w:w="4195"/>
            <w:vAlign w:val="center"/>
            <w:shd w:fill="E6ECF2"/>
          </w:tcPr>
          <w:p>
            <w:pPr>
              <w:keepNext/>
              <w:spacing w:line="271" w:lineRule="auto" w:after="20" w:before="20"/>
            </w:pPr>
            <w:r>
              <w:rPr>
                <w:b/>
                <w:sz w:val="19"/>
              </w:rPr>
              <w:t>最小实现</w:t>
            </w:r>
          </w:p>
        </w:tc>
        <w:tc>
          <w:tcPr>
            <w:tcW w:type="dxa" w:w="3175"/>
            <w:vAlign w:val="center"/>
            <w:shd w:fill="E6ECF2"/>
          </w:tcPr>
          <w:p>
            <w:pPr>
              <w:keepNext/>
              <w:spacing w:line="271" w:lineRule="auto" w:after="20" w:before="20"/>
            </w:pPr>
            <w:r>
              <w:rPr>
                <w:b/>
                <w:sz w:val="19"/>
              </w:rPr>
              <w:t>通过依据</w:t>
            </w:r>
          </w:p>
        </w:tc>
      </w:tr>
      <w:tr>
        <w:trPr>
          <w:cantSplit/>
        </w:trPr>
        <w:tc>
          <w:tcPr>
            <w:tcW w:type="dxa" w:w="1928"/>
            <w:vAlign w:val="center"/>
          </w:tcPr>
          <w:p>
            <w:pPr>
              <w:keepNext/>
              <w:spacing w:line="271" w:lineRule="auto" w:after="20" w:before="20"/>
              <w:jc w:val="center"/>
            </w:pPr>
            <w:r>
              <w:rPr>
                <w:b w:val="0"/>
                <w:sz w:val="19"/>
              </w:rPr>
              <w:t>信息保持干预</w:t>
            </w:r>
          </w:p>
        </w:tc>
        <w:tc>
          <w:tcPr>
            <w:tcW w:type="dxa" w:w="4195"/>
            <w:vAlign w:val="center"/>
          </w:tcPr>
          <w:p>
            <w:pPr>
              <w:keepNext/>
              <w:spacing w:line="271" w:lineRule="auto" w:after="20" w:before="20"/>
            </w:pPr>
            <w:r>
              <w:rPr>
                <w:b w:val="0"/>
                <w:sz w:val="19"/>
              </w:rPr>
              <w:t>固定 200 个开发场景的证据、动作与价值统计，复制已知来源内容。</w:t>
            </w:r>
          </w:p>
        </w:tc>
        <w:tc>
          <w:tcPr>
            <w:tcW w:type="dxa" w:w="3175"/>
            <w:vAlign w:val="center"/>
          </w:tcPr>
          <w:p>
            <w:pPr>
              <w:keepNext/>
              <w:spacing w:line="271" w:lineRule="auto" w:after="20" w:before="20"/>
            </w:pPr>
            <w:r>
              <w:rPr>
                <w:b w:val="0"/>
                <w:sz w:val="19"/>
              </w:rPr>
              <w:t>确认除呈现外没有新增样本或条件信息。</w:t>
            </w:r>
          </w:p>
        </w:tc>
      </w:tr>
      <w:tr>
        <w:trPr>
          <w:cantSplit/>
        </w:trPr>
        <w:tc>
          <w:tcPr>
            <w:tcW w:type="dxa" w:w="1928"/>
            <w:vAlign w:val="center"/>
          </w:tcPr>
          <w:p>
            <w:pPr>
              <w:keepNext w:val="0"/>
              <w:spacing w:line="271" w:lineRule="auto" w:after="20" w:before="20"/>
              <w:jc w:val="center"/>
            </w:pPr>
            <w:r>
              <w:rPr>
                <w:b w:val="0"/>
                <w:sz w:val="19"/>
              </w:rPr>
              <w:t>机制复验</w:t>
            </w:r>
          </w:p>
        </w:tc>
        <w:tc>
          <w:tcPr>
            <w:tcW w:type="dxa" w:w="4195"/>
            <w:vAlign w:val="center"/>
          </w:tcPr>
          <w:p>
            <w:pPr>
              <w:keepNext w:val="0"/>
              <w:spacing w:line="271" w:lineRule="auto" w:after="20" w:before="20"/>
            </w:pPr>
            <w:r>
              <w:rPr>
                <w:b w:val="0"/>
                <w:sz w:val="19"/>
              </w:rPr>
              <w:t>B1、B2、B5、P1；两个骨干；m=1、2、4、8、16。</w:t>
            </w:r>
          </w:p>
        </w:tc>
        <w:tc>
          <w:tcPr>
            <w:tcW w:type="dxa" w:w="3175"/>
            <w:vAlign w:val="center"/>
          </w:tcPr>
          <w:p>
            <w:pPr>
              <w:keepNext w:val="0"/>
              <w:spacing w:line="271" w:lineRule="auto" w:after="20" w:before="20"/>
            </w:pPr>
            <w:r>
              <w:rPr>
                <w:b w:val="0"/>
                <w:sz w:val="19"/>
              </w:rPr>
              <w:t>报告效应量与区间，长度和位置控制后仍可解释。</w:t>
            </w:r>
          </w:p>
        </w:tc>
      </w:tr>
      <w:tr>
        <w:trPr>
          <w:cantSplit/>
        </w:trPr>
        <w:tc>
          <w:tcPr>
            <w:tcW w:type="dxa" w:w="1928"/>
            <w:vAlign w:val="center"/>
          </w:tcPr>
          <w:p>
            <w:pPr>
              <w:keepNext w:val="0"/>
              <w:spacing w:line="271" w:lineRule="auto" w:after="20" w:before="20"/>
              <w:jc w:val="center"/>
            </w:pPr>
            <w:r>
              <w:rPr>
                <w:b w:val="0"/>
                <w:sz w:val="19"/>
              </w:rPr>
              <w:t>采样守恒</w:t>
            </w:r>
          </w:p>
        </w:tc>
        <w:tc>
          <w:tcPr>
            <w:tcW w:type="dxa" w:w="4195"/>
            <w:vAlign w:val="center"/>
          </w:tcPr>
          <w:p>
            <w:pPr>
              <w:keepNext w:val="0"/>
              <w:spacing w:line="271" w:lineRule="auto" w:after="20" w:before="20"/>
            </w:pPr>
            <w:r>
              <w:rPr>
                <w:b w:val="0"/>
                <w:sz w:val="19"/>
              </w:rPr>
              <w:t>独立 MC 样本与副本有不同身份，验证加权均值。</w:t>
            </w:r>
          </w:p>
        </w:tc>
        <w:tc>
          <w:tcPr>
            <w:tcW w:type="dxa" w:w="3175"/>
            <w:vAlign w:val="center"/>
          </w:tcPr>
          <w:p>
            <w:pPr>
              <w:keepNext w:val="0"/>
              <w:spacing w:line="271" w:lineRule="auto" w:after="20" w:before="20"/>
            </w:pPr>
            <w:r>
              <w:rPr>
                <w:b w:val="0"/>
                <w:sz w:val="19"/>
              </w:rPr>
              <w:t>复制不改变估计，新增合法样本保留频数贡献。</w:t>
            </w:r>
          </w:p>
        </w:tc>
      </w:tr>
      <w:tr>
        <w:trPr>
          <w:cantSplit/>
        </w:trPr>
        <w:tc>
          <w:tcPr>
            <w:tcW w:type="dxa" w:w="1928"/>
            <w:vAlign w:val="center"/>
          </w:tcPr>
          <w:p>
            <w:pPr>
              <w:keepNext w:val="0"/>
              <w:spacing w:line="271" w:lineRule="auto" w:after="20" w:before="20"/>
              <w:jc w:val="center"/>
            </w:pPr>
            <w:r>
              <w:rPr>
                <w:b w:val="0"/>
                <w:sz w:val="19"/>
              </w:rPr>
              <w:t>现实发生率</w:t>
            </w:r>
          </w:p>
        </w:tc>
        <w:tc>
          <w:tcPr>
            <w:tcW w:type="dxa" w:w="4195"/>
            <w:vAlign w:val="center"/>
          </w:tcPr>
          <w:p>
            <w:pPr>
              <w:keepNext w:val="0"/>
              <w:spacing w:line="271" w:lineRule="auto" w:after="20" w:before="20"/>
            </w:pPr>
            <w:r>
              <w:rPr>
                <w:b w:val="0"/>
                <w:sz w:val="19"/>
              </w:rPr>
              <w:t>ALFWorld 与 ScienceWorld 的预注册随机快照。</w:t>
            </w:r>
          </w:p>
        </w:tc>
        <w:tc>
          <w:tcPr>
            <w:tcW w:type="dxa" w:w="3175"/>
            <w:vAlign w:val="center"/>
          </w:tcPr>
          <w:p>
            <w:pPr>
              <w:keepNext w:val="0"/>
              <w:spacing w:line="271" w:lineRule="auto" w:after="20" w:before="20"/>
            </w:pPr>
            <w:r>
              <w:rPr>
                <w:b w:val="0"/>
                <w:sz w:val="19"/>
              </w:rPr>
              <w:t>观察到自然共同前提与决策相关性，而非仅人工注入。</w:t>
            </w:r>
          </w:p>
        </w:tc>
      </w:tr>
      <w:tr>
        <w:trPr>
          <w:cantSplit/>
        </w:trPr>
        <w:tc>
          <w:tcPr>
            <w:tcW w:type="dxa" w:w="1928"/>
            <w:vAlign w:val="center"/>
          </w:tcPr>
          <w:p>
            <w:pPr>
              <w:keepNext w:val="0"/>
              <w:spacing w:line="271" w:lineRule="auto" w:after="20" w:before="20"/>
              <w:jc w:val="center"/>
            </w:pPr>
            <w:r>
              <w:rPr>
                <w:b w:val="0"/>
                <w:sz w:val="19"/>
              </w:rPr>
              <w:t>真实执行</w:t>
            </w:r>
          </w:p>
        </w:tc>
        <w:tc>
          <w:tcPr>
            <w:tcW w:type="dxa" w:w="4195"/>
            <w:vAlign w:val="center"/>
          </w:tcPr>
          <w:p>
            <w:pPr>
              <w:keepNext w:val="0"/>
              <w:spacing w:line="271" w:lineRule="auto" w:after="20" w:before="20"/>
            </w:pPr>
            <w:r>
              <w:rPr>
                <w:b w:val="0"/>
                <w:sz w:val="19"/>
              </w:rPr>
              <w:t>同状态重放，比较原始、删除与纠正的信息。</w:t>
            </w:r>
          </w:p>
        </w:tc>
        <w:tc>
          <w:tcPr>
            <w:tcW w:type="dxa" w:w="3175"/>
            <w:vAlign w:val="center"/>
          </w:tcPr>
          <w:p>
            <w:pPr>
              <w:keepNext w:val="0"/>
              <w:spacing w:line="271" w:lineRule="auto" w:after="20" w:before="20"/>
            </w:pPr>
            <w:r>
              <w:rPr>
                <w:b w:val="0"/>
                <w:sz w:val="19"/>
              </w:rPr>
              <w:t>有回报损失与修复证据，不能只看 attention 变化。</w:t>
            </w:r>
          </w:p>
        </w:tc>
      </w:tr>
      <w:tr>
        <w:trPr>
          <w:cantSplit/>
        </w:trPr>
        <w:tc>
          <w:tcPr>
            <w:tcW w:type="dxa" w:w="1928"/>
            <w:vAlign w:val="center"/>
          </w:tcPr>
          <w:p>
            <w:pPr>
              <w:keepNext w:val="0"/>
              <w:spacing w:line="271" w:lineRule="auto" w:after="20" w:before="20"/>
              <w:jc w:val="center"/>
            </w:pPr>
            <w:r>
              <w:rPr>
                <w:b w:val="0"/>
                <w:sz w:val="19"/>
              </w:rPr>
              <w:t>升级条件</w:t>
            </w:r>
          </w:p>
        </w:tc>
        <w:tc>
          <w:tcPr>
            <w:tcW w:type="dxa" w:w="4195"/>
            <w:vAlign w:val="center"/>
          </w:tcPr>
          <w:p>
            <w:pPr>
              <w:keepNext w:val="0"/>
              <w:spacing w:line="271" w:lineRule="auto" w:after="20" w:before="20"/>
            </w:pPr>
            <w:r>
              <w:rPr>
                <w:b w:val="0"/>
                <w:sz w:val="19"/>
              </w:rPr>
              <w:t>来源恢复有效且强基线仍有显著缺口后训练 P2。</w:t>
            </w:r>
          </w:p>
        </w:tc>
        <w:tc>
          <w:tcPr>
            <w:tcW w:type="dxa" w:w="3175"/>
            <w:vAlign w:val="center"/>
          </w:tcPr>
          <w:p>
            <w:pPr>
              <w:keepNext w:val="0"/>
              <w:spacing w:line="271" w:lineRule="auto" w:after="20" w:before="20"/>
            </w:pPr>
            <w:r>
              <w:rPr>
                <w:b w:val="0"/>
                <w:sz w:val="19"/>
              </w:rPr>
              <w:t>复杂度由实证需要支持。</w:t>
            </w:r>
          </w:p>
        </w:tc>
      </w:tr>
    </w:tbl>
    <w:p>
      <w:pPr>
        <w:spacing w:after="20"/>
      </w:pPr>
    </w:p>
    <w:p>
      <w:r>
        <w:rPr/>
        <w:t>完成后应交付可运行的场景生成器、划分清单、基线实现、逐样本结果和机制分析。若关键假设被否定，保留负结果及诊断工具，并据此调整研究范围。</w:t>
      </w:r>
    </w:p>
    <w:sectPr w:rsidR="00FC693F" w:rsidRPr="0006063C" w:rsidSect="00034616">
      <w:footerReference w:type="default" r:id="rId9"/>
      <w:pgSz w:w="11906" w:h="16838"/>
      <w:pgMar w:top="1247" w:right="1304" w:bottom="1191" w:left="1304"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eastAsia="zh-C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Times New Roman" w:hAnsi="Times New Roman"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60" w:after="12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180" w:after="120"/>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80" w:after="120"/>
      <w:outlineLvl w:val="2"/>
    </w:pPr>
    <w:rPr>
      <w:rFonts w:asciiTheme="majorHAnsi" w:eastAsiaTheme="majorEastAsia" w:hAnsiTheme="majorHAnsi" w:cstheme="majorBidi" w:ascii="Times New Roman" w:hAnsi="Times New Roman"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rPr>
  </w:style>
  <w:style w:type="paragraph" w:styleId="Title">
    <w:name w:val="Title"/>
    <w:basedOn w:val="Normal"/>
    <w:next w:val="Normal"/>
    <w:link w:val="TitleChar"/>
    <w:uiPriority w:val="10"/>
    <w:qFormat/>
    <w:rsid w:val="00FC693F"/>
    <w:pPr>
      <w:widowControl/>
      <w:spacing w:after="280" w:line="240" w:lineRule="auto"/>
      <w:contextualSpacing/>
    </w:pPr>
    <w:rPr>
      <w:rFonts w:asciiTheme="majorHAnsi" w:eastAsiaTheme="majorEastAsia" w:hAnsiTheme="majorHAnsi" w:cstheme="majorBidi" w:ascii="Times New Roman" w:hAnsi="Times New Roman" w:eastAsia="黑体"/>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keepNext/>
      <w:widowControl/>
      <w:spacing w:line="240" w:lineRule="auto" w:after="100"/>
    </w:pPr>
    <w:rPr>
      <w:rFonts w:ascii="Times New Roman" w:hAnsi="Times New Roman" w:eastAsia="宋体"/>
      <w:b/>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sid w:val="00FC693F"/>
    <w:rPr>
      <w:b/>
      <w:bCs/>
      <w:i/>
      <w:iCs/>
      <w:color w:val="4F81BD"/>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4F81BD"/>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9E3A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664E82"/>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7E9C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F2730A"/>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348DA5"/>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1805.12114" TargetMode="External"/><Relationship Id="rId11" Type="http://schemas.openxmlformats.org/officeDocument/2006/relationships/hyperlink" Target="https://proceedings.mlr.press/v97/malik19a.html" TargetMode="External"/><Relationship Id="rId12" Type="http://schemas.openxmlformats.org/officeDocument/2006/relationships/hyperlink" Target="https://proceedings.mlr.press/v54/farahmand17a.html" TargetMode="External"/><Relationship Id="rId13" Type="http://schemas.openxmlformats.org/officeDocument/2006/relationships/hyperlink" Target="https://arxiv.org/abs/2107.05719" TargetMode="External"/><Relationship Id="rId14" Type="http://schemas.openxmlformats.org/officeDocument/2006/relationships/hyperlink" Target="https://arxiv.org/abs/2609.30264" TargetMode="External"/><Relationship Id="rId15" Type="http://schemas.openxmlformats.org/officeDocument/2006/relationships/hyperlink" Target="https://arxiv.org/abs/2605.06222" TargetMode="External"/><Relationship Id="rId16" Type="http://schemas.openxmlformats.org/officeDocument/2006/relationships/hyperlink" Target="https://arxiv.org/abs/2606.30639" TargetMode="External"/><Relationship Id="rId17" Type="http://schemas.openxmlformats.org/officeDocument/2006/relationships/hyperlink" Target="https://www.vldb.org/pvldb/vol2/vldb09-335.pdf" TargetMode="External"/><Relationship Id="rId18" Type="http://schemas.openxmlformats.org/officeDocument/2006/relationships/hyperlink" Target="https://www.researchgate.net/publication/412230355_Counting_Copies_as_Evidence_Confidence_Inflation_from_Dependent_Evidence_in_Retrieval-Augmented_Generation_RAG" TargetMode="External"/><Relationship Id="rId19" Type="http://schemas.openxmlformats.org/officeDocument/2006/relationships/hyperlink" Target="https://typesafe.ai/blog/introducing-system-one-models-and-jev" TargetMode="External"/><Relationship Id="rId20" Type="http://schemas.openxmlformats.org/officeDocument/2006/relationships/hyperlink" Target="https://arxiv.org/abs/2609.29429" TargetMode="External"/><Relationship Id="rId21" Type="http://schemas.openxmlformats.org/officeDocument/2006/relationships/hyperlink" Target="https://arxiv.org/abs/2609.26758v2" TargetMode="External"/><Relationship Id="rId22" Type="http://schemas.openxmlformats.org/officeDocument/2006/relationships/hyperlink" Target="https://github.com/AbdelStark/lejudge-jev-jepa" TargetMode="External"/><Relationship Id="rId23" Type="http://schemas.openxmlformats.org/officeDocument/2006/relationships/hyperlink" Target="https://proceedings.mlr.press/v70/guo17a.html" TargetMode="External"/><Relationship Id="rId24" Type="http://schemas.openxmlformats.org/officeDocument/2006/relationships/hyperlink" Target="https://arxiv.org/abs/2010.03768" TargetMode="External"/><Relationship Id="rId25" Type="http://schemas.openxmlformats.org/officeDocument/2006/relationships/hyperlink" Target="https://aclanthology.org/2022.emnlp-main.775/" TargetMode="External"/><Relationship Id="rId26" Type="http://schemas.openxmlformats.org/officeDocument/2006/relationships/hyperlink" Target="https://github.com/Farama-Foundation/Minigrid" TargetMode="External"/><Relationship Id="rId27" Type="http://schemas.openxmlformats.org/officeDocument/2006/relationships/hyperlink" Target="https://arxiv.org/abs/2210.03629" TargetMode="External"/><Relationship Id="rId28" Type="http://schemas.openxmlformats.org/officeDocument/2006/relationships/hyperlink" Target="https://aclanthology.org/2023.emnlp-main.507/" TargetMode="External"/><Relationship Id="rId29" Type="http://schemas.openxmlformats.org/officeDocument/2006/relationships/hyperlink" Target="https://proceedings.mlr.press/v235/zhou24r.html" TargetMode="External"/><Relationship Id="rId30" Type="http://schemas.openxmlformats.org/officeDocument/2006/relationships/hyperlink" Target="https://huggingface.co/Qwen/Qwen3-8B" TargetMode="External"/><Relationship Id="rId31" Type="http://schemas.openxmlformats.org/officeDocument/2006/relationships/hyperlink" Target="https://huggingface.co/meta-llama/Llama-3.1-8B-Instruct" TargetMode="External"/><Relationship Id="rId32" Type="http://schemas.openxmlformats.org/officeDocument/2006/relationships/hyperlink" Target="https://github.com/alfworld/alfworld" TargetMode="External"/><Relationship Id="rId33" Type="http://schemas.openxmlformats.org/officeDocument/2006/relationships/hyperlink" Target="https://github.com/allenai/ScienceWorld" TargetMode="External"/><Relationship Id="rId34" Type="http://schemas.openxmlformats.org/officeDocument/2006/relationships/hyperlink" Target="https://docs.typesafe.ai/introduction" TargetMode="External"/><Relationship Id="rId35" Type="http://schemas.openxmlformats.org/officeDocument/2006/relationships/hyperlink" Target="https://arxiv.org/abs/1706.0376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世界模型规划中共享假设的置信度校准与依赖保持注意力研究方案</dc:title>
  <dc:subject>面向 ICML 与 ICLR 的研究计划</dc:subject>
  <dc:creator/>
  <cp:keywords>世界模型; 共享假设; Jev; 校准; 注意力; 研究计划</cp:keywords>
  <dc:description>generated by python-docx</dc:description>
  <cp:lastModifiedBy/>
  <cp:revision>1</cp:revision>
  <dcterms:created xsi:type="dcterms:W3CDTF">2013-12-23T23:15:00Z</dcterms:created>
  <dcterms:modified xsi:type="dcterms:W3CDTF">2013-12-23T23:15:00Z</dcterms:modified>
  <cp:category/>
</cp:coreProperties>
</file>