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96F" w:rsidRDefault="001462BF" w:rsidP="007E71C5">
      <w:pPr>
        <w:pStyle w:val="NoSpacing"/>
      </w:pPr>
      <w: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inset="0,0,0,0">
                <w:txbxContent>
                  <w:p w:rsidR="0004596F" w:rsidRPr="00902BA7" w:rsidRDefault="00902BA7">
                    <w:pPr>
                      <w:spacing w:line="319" w:lineRule="exact"/>
                      <w:ind w:left="28"/>
                      <w:rPr>
                        <w:b/>
                        <w:sz w:val="28"/>
                        <w:lang w:val="vi-VN"/>
                      </w:rPr>
                    </w:pPr>
                    <w:r>
                      <w:rPr>
                        <w:b/>
                        <w:sz w:val="28"/>
                        <w:lang w:val="vi-VN"/>
                      </w:rPr>
                      <w:t xml:space="preserve">BX3096: </w:t>
                    </w:r>
                    <w:r w:rsidRPr="00445EB2">
                      <w:rPr>
                        <w:b/>
                        <w:sz w:val="28"/>
                        <w:szCs w:val="20"/>
                      </w:rPr>
                      <w:t>CLUB &amp; GAMING MANAGEMENT</w:t>
                    </w:r>
                    <w:r w:rsidRPr="00445EB2">
                      <w:rPr>
                        <w:sz w:val="28"/>
                        <w:szCs w:val="20"/>
                      </w:rPr>
                      <w:t xml:space="preserve">  </w:t>
                    </w:r>
                  </w:p>
                </w:txbxContent>
              </v:textbox>
            </v:shape>
            <w10:wrap type="none"/>
            <w10:anchorlock/>
          </v:group>
        </w:pict>
      </w:r>
    </w:p>
    <w:p w:rsidR="0004596F" w:rsidRDefault="0004596F">
      <w:pPr>
        <w:pStyle w:val="BodyText"/>
        <w:rPr>
          <w:rFonts w:ascii="Times New Roman"/>
          <w:sz w:val="20"/>
        </w:rPr>
      </w:pPr>
    </w:p>
    <w:p w:rsidR="0004596F" w:rsidRDefault="0004596F">
      <w:pPr>
        <w:pStyle w:val="BodyText"/>
        <w:rPr>
          <w:rFonts w:ascii="Times New Roman"/>
          <w:sz w:val="20"/>
        </w:rPr>
      </w:pPr>
    </w:p>
    <w:p w:rsidR="0004596F" w:rsidRDefault="001462BF">
      <w:pPr>
        <w:pStyle w:val="BodyText"/>
        <w:rPr>
          <w:rFonts w:ascii="Times New Roman"/>
          <w:sz w:val="15"/>
        </w:rPr>
      </w:pPr>
      <w:r>
        <w:pict>
          <v:group id="_x0000_s1026" style="position:absolute;margin-left:41.4pt;margin-top:11.35pt;width:512.3pt;height:22pt;z-index:1096;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inset="0,0,0,0">
                <w:txbxContent>
                  <w:p w:rsidR="0004596F" w:rsidRDefault="00D42242">
                    <w:pPr>
                      <w:tabs>
                        <w:tab w:val="left" w:pos="5747"/>
                      </w:tabs>
                      <w:spacing w:before="50"/>
                      <w:ind w:left="108"/>
                      <w:rPr>
                        <w:rFonts w:ascii="Arial Black"/>
                        <w:b/>
                        <w:sz w:val="24"/>
                      </w:rPr>
                    </w:pPr>
                    <w:bookmarkStart w:id="0" w:name="ASSESSMENT_TASK_[INSERT_NUMBER]______COL"/>
                    <w:bookmarkEnd w:id="0"/>
                    <w:r>
                      <w:rPr>
                        <w:rFonts w:ascii="Arial Black"/>
                        <w:b/>
                        <w:color w:val="FFFFFF"/>
                        <w:sz w:val="24"/>
                      </w:rPr>
                      <w:t>ASSESSMENT TASK</w:t>
                    </w:r>
                    <w:r>
                      <w:rPr>
                        <w:rFonts w:ascii="Arial Black"/>
                        <w:b/>
                        <w:color w:val="FFFFFF"/>
                        <w:spacing w:val="-5"/>
                        <w:sz w:val="24"/>
                      </w:rPr>
                      <w:t xml:space="preserve"> </w:t>
                    </w:r>
                    <w:r w:rsidR="007E71C5">
                      <w:rPr>
                        <w:rFonts w:ascii="Arial Black"/>
                        <w:b/>
                        <w:color w:val="FFFFFF"/>
                        <w:sz w:val="24"/>
                      </w:rPr>
                      <w:t>2</w:t>
                    </w:r>
                  </w:p>
                </w:txbxContent>
              </v:textbox>
            </v:shape>
            <w10:wrap type="topAndBottom" anchorx="page"/>
          </v:group>
        </w:pict>
      </w:r>
    </w:p>
    <w:p w:rsidR="0004596F" w:rsidRDefault="0004596F">
      <w:pPr>
        <w:pStyle w:val="BodyText"/>
        <w:rPr>
          <w:rFonts w:ascii="Times New Roman"/>
          <w:sz w:val="20"/>
        </w:rPr>
      </w:pPr>
    </w:p>
    <w:p w:rsidR="0004596F" w:rsidRDefault="0004596F">
      <w:pPr>
        <w:pStyle w:val="BodyText"/>
        <w:rPr>
          <w:rFonts w:ascii="Times New Roman"/>
          <w:sz w:val="20"/>
        </w:rPr>
      </w:pPr>
    </w:p>
    <w:p w:rsidR="0004596F" w:rsidRDefault="0004596F">
      <w:pPr>
        <w:pStyle w:val="BodyText"/>
        <w:spacing w:before="7"/>
        <w:rPr>
          <w:rFonts w:ascii="Times New Roman"/>
          <w:sz w:val="17"/>
        </w:rPr>
      </w:pPr>
    </w:p>
    <w:p w:rsidR="0004596F" w:rsidRDefault="00D42242">
      <w:pPr>
        <w:spacing w:before="91"/>
        <w:ind w:left="3104"/>
        <w:rPr>
          <w:b/>
          <w:sz w:val="28"/>
        </w:rPr>
      </w:pPr>
      <w:r>
        <w:rPr>
          <w:noProof/>
          <w:lang w:bidi="ar-SA"/>
        </w:rPr>
        <w:drawing>
          <wp:anchor distT="0" distB="0" distL="0" distR="0" simplePos="0" relativeHeight="1120" behindDoc="0" locked="0" layoutInCell="1" allowOverlap="1">
            <wp:simplePos x="0" y="0"/>
            <wp:positionH relativeFrom="page">
              <wp:posOffset>649505</wp:posOffset>
            </wp:positionH>
            <wp:positionV relativeFrom="paragraph">
              <wp:posOffset>-372848</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6287" cy="599185"/>
                    </a:xfrm>
                    <a:prstGeom prst="rect">
                      <a:avLst/>
                    </a:prstGeom>
                  </pic:spPr>
                </pic:pic>
              </a:graphicData>
            </a:graphic>
          </wp:anchor>
        </w:drawing>
      </w:r>
      <w:r>
        <w:rPr>
          <w:b/>
          <w:sz w:val="28"/>
        </w:rPr>
        <w:t>INDIVIDUAL TASK COVER SHEET</w:t>
      </w:r>
    </w:p>
    <w:p w:rsidR="0004596F" w:rsidRDefault="0004596F">
      <w:pPr>
        <w:pStyle w:val="BodyText"/>
        <w:rPr>
          <w:b/>
          <w:sz w:val="20"/>
        </w:rPr>
      </w:pPr>
    </w:p>
    <w:p w:rsidR="0004596F" w:rsidRDefault="0004596F">
      <w:pPr>
        <w:pStyle w:val="BodyText"/>
        <w:rPr>
          <w:b/>
          <w:sz w:val="20"/>
        </w:rPr>
      </w:pPr>
    </w:p>
    <w:p w:rsidR="0004596F" w:rsidRDefault="0004596F">
      <w:pPr>
        <w:pStyle w:val="BodyText"/>
        <w:spacing w:before="4"/>
        <w:rPr>
          <w:b/>
          <w:sz w:val="14"/>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04596F">
        <w:trPr>
          <w:trHeight w:val="947"/>
        </w:trPr>
        <w:tc>
          <w:tcPr>
            <w:tcW w:w="10351" w:type="dxa"/>
            <w:gridSpan w:val="10"/>
            <w:shd w:val="clear" w:color="auto" w:fill="DFF8D8"/>
          </w:tcPr>
          <w:p w:rsidR="0004596F" w:rsidRDefault="00D42242">
            <w:pPr>
              <w:pStyle w:val="TableParagraph"/>
              <w:spacing w:before="113"/>
              <w:ind w:left="1533" w:right="1526"/>
              <w:jc w:val="center"/>
              <w:rPr>
                <w:i/>
                <w:sz w:val="24"/>
              </w:rPr>
            </w:pPr>
            <w:r>
              <w:rPr>
                <w:i/>
                <w:sz w:val="24"/>
              </w:rPr>
              <w:t>Student</w:t>
            </w:r>
          </w:p>
          <w:p w:rsidR="0004596F" w:rsidRDefault="00D42242">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04596F">
        <w:trPr>
          <w:trHeight w:val="386"/>
        </w:trPr>
        <w:tc>
          <w:tcPr>
            <w:tcW w:w="3262" w:type="dxa"/>
            <w:shd w:val="clear" w:color="auto" w:fill="DADADA"/>
          </w:tcPr>
          <w:p w:rsidR="0004596F" w:rsidRDefault="00D42242">
            <w:pPr>
              <w:pStyle w:val="TableParagraph"/>
              <w:spacing w:before="115" w:line="251" w:lineRule="exact"/>
              <w:ind w:left="107"/>
              <w:rPr>
                <w:b/>
              </w:rPr>
            </w:pPr>
            <w:r>
              <w:rPr>
                <w:b/>
              </w:rPr>
              <w:t>SUBJECT CODE</w:t>
            </w:r>
          </w:p>
        </w:tc>
        <w:tc>
          <w:tcPr>
            <w:tcW w:w="7089" w:type="dxa"/>
            <w:gridSpan w:val="9"/>
          </w:tcPr>
          <w:p w:rsidR="0004596F" w:rsidRPr="00902BA7" w:rsidRDefault="00902BA7">
            <w:pPr>
              <w:pStyle w:val="TableParagraph"/>
              <w:rPr>
                <w:rFonts w:asciiTheme="minorHAnsi" w:hAnsiTheme="minorHAnsi" w:cstheme="minorHAnsi"/>
                <w:lang w:val="vi-VN"/>
              </w:rPr>
            </w:pPr>
            <w:r>
              <w:rPr>
                <w:rFonts w:ascii="Times New Roman"/>
                <w:sz w:val="16"/>
                <w:lang w:val="vi-VN"/>
              </w:rPr>
              <w:t xml:space="preserve"> </w:t>
            </w:r>
            <w:r w:rsidRPr="00902BA7">
              <w:rPr>
                <w:rFonts w:asciiTheme="minorHAnsi" w:hAnsiTheme="minorHAnsi" w:cstheme="minorHAnsi"/>
                <w:sz w:val="24"/>
                <w:lang w:val="vi-VN"/>
              </w:rPr>
              <w:t>BX3096</w:t>
            </w:r>
          </w:p>
        </w:tc>
      </w:tr>
      <w:tr w:rsidR="0004596F">
        <w:trPr>
          <w:trHeight w:val="383"/>
        </w:trPr>
        <w:tc>
          <w:tcPr>
            <w:tcW w:w="3262" w:type="dxa"/>
            <w:shd w:val="clear" w:color="auto" w:fill="DADADA"/>
          </w:tcPr>
          <w:p w:rsidR="0004596F" w:rsidRDefault="00D42242">
            <w:pPr>
              <w:pStyle w:val="TableParagraph"/>
              <w:spacing w:before="55"/>
              <w:ind w:left="107"/>
              <w:rPr>
                <w:b/>
              </w:rPr>
            </w:pPr>
            <w:r>
              <w:rPr>
                <w:b/>
              </w:rPr>
              <w:t>STUDENT FAMILY NAME</w:t>
            </w:r>
          </w:p>
        </w:tc>
        <w:tc>
          <w:tcPr>
            <w:tcW w:w="3401" w:type="dxa"/>
            <w:shd w:val="clear" w:color="auto" w:fill="DADADA"/>
          </w:tcPr>
          <w:p w:rsidR="0004596F" w:rsidRDefault="00D42242">
            <w:pPr>
              <w:pStyle w:val="TableParagraph"/>
              <w:spacing w:before="55"/>
              <w:ind w:left="105"/>
              <w:rPr>
                <w:b/>
              </w:rPr>
            </w:pPr>
            <w:r>
              <w:rPr>
                <w:b/>
              </w:rPr>
              <w:t>Student Given Name</w:t>
            </w:r>
          </w:p>
        </w:tc>
        <w:tc>
          <w:tcPr>
            <w:tcW w:w="3688" w:type="dxa"/>
            <w:gridSpan w:val="8"/>
            <w:shd w:val="clear" w:color="auto" w:fill="DADADA"/>
          </w:tcPr>
          <w:p w:rsidR="0004596F" w:rsidRDefault="00D42242">
            <w:pPr>
              <w:pStyle w:val="TableParagraph"/>
              <w:spacing w:before="55"/>
              <w:ind w:left="107"/>
              <w:rPr>
                <w:b/>
              </w:rPr>
            </w:pPr>
            <w:r>
              <w:rPr>
                <w:b/>
              </w:rPr>
              <w:t>JCU Student Number</w:t>
            </w:r>
          </w:p>
        </w:tc>
      </w:tr>
      <w:tr w:rsidR="0004596F" w:rsidTr="00902BA7">
        <w:trPr>
          <w:trHeight w:val="405"/>
        </w:trPr>
        <w:tc>
          <w:tcPr>
            <w:tcW w:w="3262"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 xml:space="preserve"> Tran</w:t>
            </w:r>
          </w:p>
        </w:tc>
        <w:tc>
          <w:tcPr>
            <w:tcW w:w="340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 xml:space="preserve"> Le Binh</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1</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3</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4</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7</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6</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1</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1</w:t>
            </w:r>
          </w:p>
        </w:tc>
        <w:tc>
          <w:tcPr>
            <w:tcW w:w="461" w:type="dxa"/>
          </w:tcPr>
          <w:p w:rsidR="0004596F" w:rsidRPr="00902BA7" w:rsidRDefault="00902BA7">
            <w:pPr>
              <w:pStyle w:val="TableParagraph"/>
              <w:rPr>
                <w:rFonts w:asciiTheme="minorHAnsi" w:hAnsiTheme="minorHAnsi" w:cstheme="minorHAnsi"/>
                <w:sz w:val="24"/>
                <w:lang w:val="vi-VN"/>
              </w:rPr>
            </w:pPr>
            <w:r>
              <w:rPr>
                <w:rFonts w:asciiTheme="minorHAnsi" w:hAnsiTheme="minorHAnsi" w:cstheme="minorHAnsi"/>
                <w:sz w:val="24"/>
                <w:lang w:val="vi-VN"/>
              </w:rPr>
              <w:t>2</w:t>
            </w:r>
          </w:p>
        </w:tc>
      </w:tr>
      <w:tr w:rsidR="0004596F">
        <w:trPr>
          <w:trHeight w:val="383"/>
        </w:trPr>
        <w:tc>
          <w:tcPr>
            <w:tcW w:w="3262" w:type="dxa"/>
          </w:tcPr>
          <w:p w:rsidR="0004596F" w:rsidRDefault="00D42242">
            <w:pPr>
              <w:pStyle w:val="TableParagraph"/>
              <w:spacing w:before="55"/>
              <w:ind w:left="107"/>
              <w:rPr>
                <w:b/>
              </w:rPr>
            </w:pPr>
            <w:r>
              <w:rPr>
                <w:b/>
              </w:rPr>
              <w:t>ASSESSMENT TITLE</w:t>
            </w:r>
          </w:p>
        </w:tc>
        <w:tc>
          <w:tcPr>
            <w:tcW w:w="7089" w:type="dxa"/>
            <w:gridSpan w:val="9"/>
          </w:tcPr>
          <w:p w:rsidR="0004596F" w:rsidRPr="00902BA7" w:rsidRDefault="00902BA7">
            <w:pPr>
              <w:pStyle w:val="TableParagraph"/>
              <w:rPr>
                <w:rFonts w:asciiTheme="minorHAnsi" w:hAnsiTheme="minorHAnsi" w:cstheme="minorHAnsi"/>
                <w:sz w:val="24"/>
                <w:szCs w:val="24"/>
              </w:rPr>
            </w:pPr>
            <w:r w:rsidRPr="00902BA7">
              <w:rPr>
                <w:rFonts w:asciiTheme="minorHAnsi" w:hAnsiTheme="minorHAnsi" w:cstheme="minorHAnsi"/>
                <w:sz w:val="24"/>
                <w:szCs w:val="24"/>
                <w:lang w:val="vi-VN"/>
              </w:rPr>
              <w:t xml:space="preserve"> </w:t>
            </w:r>
            <w:r w:rsidRPr="00902BA7">
              <w:rPr>
                <w:rFonts w:asciiTheme="minorHAnsi" w:hAnsiTheme="minorHAnsi" w:cstheme="minorHAnsi"/>
                <w:sz w:val="24"/>
                <w:szCs w:val="24"/>
              </w:rPr>
              <w:t>Research Essay</w:t>
            </w:r>
          </w:p>
        </w:tc>
      </w:tr>
      <w:tr w:rsidR="0004596F">
        <w:trPr>
          <w:trHeight w:val="381"/>
        </w:trPr>
        <w:tc>
          <w:tcPr>
            <w:tcW w:w="3262" w:type="dxa"/>
          </w:tcPr>
          <w:p w:rsidR="0004596F" w:rsidRDefault="00D42242">
            <w:pPr>
              <w:pStyle w:val="TableParagraph"/>
              <w:spacing w:before="55"/>
              <w:ind w:left="107"/>
              <w:rPr>
                <w:b/>
              </w:rPr>
            </w:pPr>
            <w:r>
              <w:rPr>
                <w:b/>
              </w:rPr>
              <w:t>DUE DATE</w:t>
            </w:r>
          </w:p>
        </w:tc>
        <w:tc>
          <w:tcPr>
            <w:tcW w:w="7089" w:type="dxa"/>
            <w:gridSpan w:val="9"/>
          </w:tcPr>
          <w:p w:rsidR="0004596F" w:rsidRPr="00902BA7" w:rsidRDefault="00902BA7">
            <w:pPr>
              <w:pStyle w:val="TableParagraph"/>
              <w:rPr>
                <w:rFonts w:asciiTheme="minorHAnsi" w:hAnsiTheme="minorHAnsi" w:cstheme="minorHAnsi"/>
                <w:sz w:val="24"/>
                <w:szCs w:val="24"/>
              </w:rPr>
            </w:pPr>
            <w:r w:rsidRPr="00902BA7">
              <w:rPr>
                <w:rFonts w:asciiTheme="minorHAnsi" w:hAnsiTheme="minorHAnsi" w:cstheme="minorHAnsi"/>
                <w:sz w:val="24"/>
                <w:szCs w:val="24"/>
                <w:lang w:val="vi-VN"/>
              </w:rPr>
              <w:t xml:space="preserve"> </w:t>
            </w:r>
            <w:r w:rsidRPr="00902BA7">
              <w:rPr>
                <w:rFonts w:asciiTheme="minorHAnsi" w:hAnsiTheme="minorHAnsi" w:cstheme="minorHAnsi"/>
                <w:sz w:val="24"/>
                <w:szCs w:val="24"/>
              </w:rPr>
              <w:t xml:space="preserve">22 Jan 2018  </w:t>
            </w:r>
          </w:p>
        </w:tc>
      </w:tr>
      <w:tr w:rsidR="0004596F">
        <w:trPr>
          <w:trHeight w:val="383"/>
        </w:trPr>
        <w:tc>
          <w:tcPr>
            <w:tcW w:w="3262" w:type="dxa"/>
          </w:tcPr>
          <w:p w:rsidR="0004596F" w:rsidRDefault="00D42242">
            <w:pPr>
              <w:pStyle w:val="TableParagraph"/>
              <w:spacing w:before="57"/>
              <w:ind w:left="107"/>
              <w:rPr>
                <w:b/>
              </w:rPr>
            </w:pPr>
            <w:r>
              <w:rPr>
                <w:b/>
              </w:rPr>
              <w:t>LECTURER NAME</w:t>
            </w:r>
          </w:p>
        </w:tc>
        <w:tc>
          <w:tcPr>
            <w:tcW w:w="7089" w:type="dxa"/>
            <w:gridSpan w:val="9"/>
          </w:tcPr>
          <w:p w:rsidR="0004596F" w:rsidRPr="00902BA7" w:rsidRDefault="00902BA7">
            <w:pPr>
              <w:pStyle w:val="TableParagraph"/>
              <w:rPr>
                <w:rFonts w:asciiTheme="minorHAnsi" w:hAnsiTheme="minorHAnsi" w:cstheme="minorHAnsi"/>
                <w:sz w:val="24"/>
                <w:szCs w:val="24"/>
              </w:rPr>
            </w:pPr>
            <w:r w:rsidRPr="00902BA7">
              <w:rPr>
                <w:rFonts w:asciiTheme="minorHAnsi" w:hAnsiTheme="minorHAnsi" w:cstheme="minorHAnsi"/>
                <w:sz w:val="24"/>
                <w:szCs w:val="24"/>
                <w:lang w:val="vi-VN"/>
              </w:rPr>
              <w:t xml:space="preserve"> </w:t>
            </w:r>
            <w:r w:rsidRPr="00902BA7">
              <w:rPr>
                <w:rFonts w:asciiTheme="minorHAnsi" w:hAnsiTheme="minorHAnsi" w:cstheme="minorHAnsi"/>
                <w:sz w:val="24"/>
                <w:szCs w:val="24"/>
              </w:rPr>
              <w:t xml:space="preserve">Pamela </w:t>
            </w:r>
            <w:proofErr w:type="spellStart"/>
            <w:r w:rsidRPr="00902BA7">
              <w:rPr>
                <w:rFonts w:asciiTheme="minorHAnsi" w:hAnsiTheme="minorHAnsi" w:cstheme="minorHAnsi"/>
                <w:sz w:val="24"/>
                <w:szCs w:val="24"/>
              </w:rPr>
              <w:t>Wildheart</w:t>
            </w:r>
            <w:proofErr w:type="spellEnd"/>
            <w:r w:rsidRPr="00902BA7">
              <w:rPr>
                <w:rFonts w:asciiTheme="minorHAnsi" w:hAnsiTheme="minorHAnsi" w:cstheme="minorHAnsi"/>
                <w:sz w:val="24"/>
                <w:szCs w:val="24"/>
              </w:rPr>
              <w:t xml:space="preserve"> </w:t>
            </w:r>
            <w:proofErr w:type="spellStart"/>
            <w:r w:rsidRPr="00902BA7">
              <w:rPr>
                <w:rFonts w:asciiTheme="minorHAnsi" w:hAnsiTheme="minorHAnsi" w:cstheme="minorHAnsi"/>
                <w:sz w:val="24"/>
                <w:szCs w:val="24"/>
              </w:rPr>
              <w:t>Pilapil</w:t>
            </w:r>
            <w:proofErr w:type="spellEnd"/>
          </w:p>
        </w:tc>
      </w:tr>
      <w:tr w:rsidR="0004596F">
        <w:trPr>
          <w:trHeight w:val="383"/>
        </w:trPr>
        <w:tc>
          <w:tcPr>
            <w:tcW w:w="3262" w:type="dxa"/>
          </w:tcPr>
          <w:p w:rsidR="0004596F" w:rsidRDefault="00D42242">
            <w:pPr>
              <w:pStyle w:val="TableParagraph"/>
              <w:spacing w:before="55"/>
              <w:ind w:left="107"/>
              <w:rPr>
                <w:b/>
              </w:rPr>
            </w:pPr>
            <w:r>
              <w:rPr>
                <w:b/>
              </w:rPr>
              <w:t>TUTOR NAME</w:t>
            </w:r>
          </w:p>
        </w:tc>
        <w:tc>
          <w:tcPr>
            <w:tcW w:w="7089" w:type="dxa"/>
            <w:gridSpan w:val="9"/>
          </w:tcPr>
          <w:p w:rsidR="0004596F" w:rsidRPr="00902BA7" w:rsidRDefault="00902BA7">
            <w:pPr>
              <w:pStyle w:val="TableParagraph"/>
              <w:rPr>
                <w:rFonts w:asciiTheme="minorHAnsi" w:hAnsiTheme="minorHAnsi" w:cstheme="minorHAnsi"/>
                <w:sz w:val="24"/>
                <w:szCs w:val="24"/>
              </w:rPr>
            </w:pPr>
            <w:r w:rsidRPr="00902BA7">
              <w:rPr>
                <w:rFonts w:asciiTheme="minorHAnsi" w:hAnsiTheme="minorHAnsi" w:cstheme="minorHAnsi"/>
                <w:sz w:val="24"/>
                <w:szCs w:val="24"/>
                <w:lang w:val="vi-VN"/>
              </w:rPr>
              <w:t xml:space="preserve"> </w:t>
            </w:r>
            <w:r w:rsidRPr="00902BA7">
              <w:rPr>
                <w:rFonts w:asciiTheme="minorHAnsi" w:hAnsiTheme="minorHAnsi" w:cstheme="minorHAnsi"/>
                <w:sz w:val="24"/>
                <w:szCs w:val="24"/>
              </w:rPr>
              <w:t xml:space="preserve">Pamela </w:t>
            </w:r>
            <w:proofErr w:type="spellStart"/>
            <w:r w:rsidRPr="00902BA7">
              <w:rPr>
                <w:rFonts w:asciiTheme="minorHAnsi" w:hAnsiTheme="minorHAnsi" w:cstheme="minorHAnsi"/>
                <w:sz w:val="24"/>
                <w:szCs w:val="24"/>
              </w:rPr>
              <w:t>Wildheart</w:t>
            </w:r>
            <w:proofErr w:type="spellEnd"/>
            <w:r w:rsidRPr="00902BA7">
              <w:rPr>
                <w:rFonts w:asciiTheme="minorHAnsi" w:hAnsiTheme="minorHAnsi" w:cstheme="minorHAnsi"/>
                <w:sz w:val="24"/>
                <w:szCs w:val="24"/>
              </w:rPr>
              <w:t xml:space="preserve"> </w:t>
            </w:r>
            <w:proofErr w:type="spellStart"/>
            <w:r w:rsidRPr="00902BA7">
              <w:rPr>
                <w:rFonts w:asciiTheme="minorHAnsi" w:hAnsiTheme="minorHAnsi" w:cstheme="minorHAnsi"/>
                <w:sz w:val="24"/>
                <w:szCs w:val="24"/>
              </w:rPr>
              <w:t>Pilapil</w:t>
            </w:r>
            <w:proofErr w:type="spellEnd"/>
          </w:p>
        </w:tc>
      </w:tr>
      <w:tr w:rsidR="0004596F">
        <w:trPr>
          <w:trHeight w:val="7298"/>
        </w:trPr>
        <w:tc>
          <w:tcPr>
            <w:tcW w:w="10351" w:type="dxa"/>
            <w:gridSpan w:val="10"/>
          </w:tcPr>
          <w:p w:rsidR="0004596F" w:rsidRDefault="0004596F">
            <w:pPr>
              <w:pStyle w:val="TableParagraph"/>
              <w:spacing w:before="5"/>
              <w:rPr>
                <w:b/>
                <w:sz w:val="21"/>
              </w:rPr>
            </w:pPr>
          </w:p>
          <w:p w:rsidR="0004596F" w:rsidRDefault="00D42242">
            <w:pPr>
              <w:pStyle w:val="TableParagraph"/>
              <w:ind w:left="4135"/>
              <w:rPr>
                <w:b/>
              </w:rPr>
            </w:pPr>
            <w:r>
              <w:rPr>
                <w:b/>
                <w:u w:val="thick"/>
              </w:rPr>
              <w:t>Student Declaration</w:t>
            </w:r>
          </w:p>
          <w:p w:rsidR="0004596F" w:rsidRDefault="0004596F">
            <w:pPr>
              <w:pStyle w:val="TableParagraph"/>
              <w:spacing w:before="4"/>
              <w:rPr>
                <w:b/>
              </w:rPr>
            </w:pPr>
          </w:p>
          <w:p w:rsidR="0004596F" w:rsidRDefault="00D42242">
            <w:pPr>
              <w:pStyle w:val="TableParagraph"/>
              <w:numPr>
                <w:ilvl w:val="0"/>
                <w:numId w:val="1"/>
              </w:numPr>
              <w:tabs>
                <w:tab w:val="left" w:pos="567"/>
              </w:tabs>
              <w:spacing w:before="1"/>
              <w:ind w:right="379"/>
              <w:jc w:val="both"/>
              <w:rPr>
                <w:sz w:val="18"/>
              </w:rPr>
            </w:pPr>
            <w:r>
              <w:rPr>
                <w:sz w:val="18"/>
              </w:rPr>
              <w:t xml:space="preserve">This assignment is my original work and no part has been copied/ reproduced from any other person’s work or from any other source, except where acknowledgement has been made (see </w:t>
            </w:r>
            <w:r>
              <w:rPr>
                <w:i/>
                <w:sz w:val="18"/>
              </w:rPr>
              <w:t>Learning, Teaching and Assessment Policy 5.1</w:t>
            </w:r>
            <w:r>
              <w:rPr>
                <w:sz w:val="18"/>
              </w:rPr>
              <w:t>).</w:t>
            </w:r>
          </w:p>
          <w:p w:rsidR="0004596F" w:rsidRDefault="00D42242">
            <w:pPr>
              <w:pStyle w:val="TableParagraph"/>
              <w:numPr>
                <w:ilvl w:val="0"/>
                <w:numId w:val="1"/>
              </w:numPr>
              <w:tabs>
                <w:tab w:val="left" w:pos="566"/>
                <w:tab w:val="left" w:pos="567"/>
              </w:tabs>
              <w:spacing w:line="205" w:lineRule="exact"/>
              <w:rPr>
                <w:sz w:val="18"/>
              </w:rPr>
            </w:pPr>
            <w:r>
              <w:rPr>
                <w:sz w:val="18"/>
              </w:rPr>
              <w:t xml:space="preserve">This work has not been submitted for any other course/subject (see </w:t>
            </w:r>
            <w:r>
              <w:rPr>
                <w:i/>
                <w:sz w:val="18"/>
              </w:rPr>
              <w:t>Learning, Teaching and Assessment Policy</w:t>
            </w:r>
            <w:r>
              <w:rPr>
                <w:i/>
                <w:spacing w:val="-30"/>
                <w:sz w:val="18"/>
              </w:rPr>
              <w:t xml:space="preserve"> </w:t>
            </w:r>
            <w:r>
              <w:rPr>
                <w:i/>
                <w:sz w:val="18"/>
              </w:rPr>
              <w:t>5.9</w:t>
            </w:r>
            <w:r>
              <w:rPr>
                <w:sz w:val="18"/>
              </w:rPr>
              <w:t>).</w:t>
            </w:r>
          </w:p>
          <w:p w:rsidR="0004596F" w:rsidRDefault="00D42242">
            <w:pPr>
              <w:pStyle w:val="TableParagraph"/>
              <w:numPr>
                <w:ilvl w:val="0"/>
                <w:numId w:val="1"/>
              </w:numPr>
              <w:tabs>
                <w:tab w:val="left" w:pos="566"/>
                <w:tab w:val="left" w:pos="567"/>
              </w:tabs>
              <w:spacing w:before="1"/>
              <w:rPr>
                <w:sz w:val="18"/>
              </w:rPr>
            </w:pPr>
            <w:r>
              <w:rPr>
                <w:sz w:val="18"/>
              </w:rPr>
              <w:t xml:space="preserve">This assignment has not been written </w:t>
            </w:r>
            <w:r>
              <w:rPr>
                <w:sz w:val="18"/>
                <w:u w:val="single"/>
              </w:rPr>
              <w:t>for</w:t>
            </w:r>
            <w:r>
              <w:rPr>
                <w:spacing w:val="-2"/>
                <w:sz w:val="18"/>
              </w:rPr>
              <w:t xml:space="preserve"> </w:t>
            </w:r>
            <w:r>
              <w:rPr>
                <w:sz w:val="18"/>
              </w:rPr>
              <w:t>me.</w:t>
            </w:r>
          </w:p>
          <w:p w:rsidR="0004596F" w:rsidRDefault="00D42242">
            <w:pPr>
              <w:pStyle w:val="TableParagraph"/>
              <w:numPr>
                <w:ilvl w:val="0"/>
                <w:numId w:val="1"/>
              </w:numPr>
              <w:tabs>
                <w:tab w:val="left" w:pos="566"/>
                <w:tab w:val="left" w:pos="567"/>
              </w:tabs>
              <w:spacing w:before="2" w:line="207" w:lineRule="exact"/>
              <w:rPr>
                <w:sz w:val="18"/>
              </w:rPr>
            </w:pPr>
            <w:r>
              <w:rPr>
                <w:sz w:val="18"/>
              </w:rPr>
              <w:t>I hold a copy of this assignment and can produce a copy if</w:t>
            </w:r>
            <w:r>
              <w:rPr>
                <w:spacing w:val="-9"/>
                <w:sz w:val="18"/>
              </w:rPr>
              <w:t xml:space="preserve"> </w:t>
            </w:r>
            <w:r>
              <w:rPr>
                <w:sz w:val="18"/>
              </w:rPr>
              <w:t>requested.</w:t>
            </w:r>
          </w:p>
          <w:p w:rsidR="0004596F" w:rsidRDefault="00D42242">
            <w:pPr>
              <w:pStyle w:val="TableParagraph"/>
              <w:numPr>
                <w:ilvl w:val="0"/>
                <w:numId w:val="1"/>
              </w:numPr>
              <w:tabs>
                <w:tab w:val="left" w:pos="566"/>
                <w:tab w:val="left" w:pos="567"/>
              </w:tabs>
              <w:spacing w:line="206" w:lineRule="exact"/>
              <w:rPr>
                <w:sz w:val="18"/>
              </w:rPr>
            </w:pPr>
            <w:r>
              <w:rPr>
                <w:sz w:val="18"/>
              </w:rPr>
              <w:t>This work may be used for the purposes of moderation and identifying</w:t>
            </w:r>
            <w:r>
              <w:rPr>
                <w:spacing w:val="-12"/>
                <w:sz w:val="18"/>
              </w:rPr>
              <w:t xml:space="preserve"> </w:t>
            </w:r>
            <w:r>
              <w:rPr>
                <w:sz w:val="18"/>
              </w:rPr>
              <w:t>plagiarism.</w:t>
            </w:r>
          </w:p>
          <w:p w:rsidR="0004596F" w:rsidRDefault="00D42242">
            <w:pPr>
              <w:pStyle w:val="TableParagraph"/>
              <w:numPr>
                <w:ilvl w:val="0"/>
                <w:numId w:val="1"/>
              </w:numPr>
              <w:tabs>
                <w:tab w:val="left" w:pos="566"/>
                <w:tab w:val="left" w:pos="567"/>
              </w:tabs>
              <w:ind w:right="379"/>
              <w:rPr>
                <w:sz w:val="18"/>
              </w:rPr>
            </w:pPr>
            <w:r>
              <w:rPr>
                <w:sz w:val="18"/>
              </w:rPr>
              <w:t>I give permission for a copy of this marked assignment to be retained by the College for benchmarking and course review and accreditation</w:t>
            </w:r>
            <w:r>
              <w:rPr>
                <w:spacing w:val="-5"/>
                <w:sz w:val="18"/>
              </w:rPr>
              <w:t xml:space="preserve"> </w:t>
            </w:r>
            <w:r>
              <w:rPr>
                <w:sz w:val="18"/>
              </w:rPr>
              <w:t>purposes.</w:t>
            </w:r>
          </w:p>
          <w:p w:rsidR="0004596F" w:rsidRDefault="0004596F">
            <w:pPr>
              <w:pStyle w:val="TableParagraph"/>
              <w:rPr>
                <w:b/>
                <w:sz w:val="20"/>
              </w:rPr>
            </w:pPr>
          </w:p>
          <w:p w:rsidR="0004596F" w:rsidRDefault="0004596F">
            <w:pPr>
              <w:pStyle w:val="TableParagraph"/>
              <w:spacing w:before="9"/>
              <w:rPr>
                <w:b/>
                <w:sz w:val="17"/>
              </w:rPr>
            </w:pPr>
          </w:p>
          <w:p w:rsidR="0004596F" w:rsidRDefault="001462BF">
            <w:pPr>
              <w:pStyle w:val="TableParagraph"/>
              <w:ind w:left="674" w:right="665"/>
              <w:jc w:val="both"/>
              <w:rPr>
                <w:sz w:val="16"/>
              </w:rPr>
            </w:pPr>
            <w:hyperlink r:id="rId9">
              <w:r w:rsidR="00D42242">
                <w:rPr>
                  <w:color w:val="0000FF"/>
                  <w:sz w:val="16"/>
                  <w:u w:val="single" w:color="0000FF"/>
                </w:rPr>
                <w:t>Learning,</w:t>
              </w:r>
              <w:r w:rsidR="00D42242">
                <w:rPr>
                  <w:color w:val="0000FF"/>
                  <w:spacing w:val="-4"/>
                  <w:sz w:val="16"/>
                  <w:u w:val="single" w:color="0000FF"/>
                </w:rPr>
                <w:t xml:space="preserve"> </w:t>
              </w:r>
              <w:r w:rsidR="00D42242">
                <w:rPr>
                  <w:color w:val="0000FF"/>
                  <w:sz w:val="16"/>
                  <w:u w:val="single" w:color="0000FF"/>
                </w:rPr>
                <w:t>Teaching</w:t>
              </w:r>
              <w:r w:rsidR="00D42242">
                <w:rPr>
                  <w:color w:val="0000FF"/>
                  <w:spacing w:val="-5"/>
                  <w:sz w:val="16"/>
                  <w:u w:val="single" w:color="0000FF"/>
                </w:rPr>
                <w:t xml:space="preserve"> </w:t>
              </w:r>
              <w:r w:rsidR="00D42242">
                <w:rPr>
                  <w:color w:val="0000FF"/>
                  <w:sz w:val="16"/>
                  <w:u w:val="single" w:color="0000FF"/>
                </w:rPr>
                <w:t>and</w:t>
              </w:r>
              <w:r w:rsidR="00D42242">
                <w:rPr>
                  <w:color w:val="0000FF"/>
                  <w:spacing w:val="-5"/>
                  <w:sz w:val="16"/>
                  <w:u w:val="single" w:color="0000FF"/>
                </w:rPr>
                <w:t xml:space="preserve"> </w:t>
              </w:r>
              <w:r w:rsidR="00D42242">
                <w:rPr>
                  <w:color w:val="0000FF"/>
                  <w:sz w:val="16"/>
                  <w:u w:val="single" w:color="0000FF"/>
                </w:rPr>
                <w:t>Assessment</w:t>
              </w:r>
              <w:r w:rsidR="00D42242">
                <w:rPr>
                  <w:color w:val="0000FF"/>
                  <w:spacing w:val="-4"/>
                  <w:sz w:val="16"/>
                  <w:u w:val="single" w:color="0000FF"/>
                </w:rPr>
                <w:t xml:space="preserve"> </w:t>
              </w:r>
              <w:r w:rsidR="00D42242">
                <w:rPr>
                  <w:color w:val="0000FF"/>
                  <w:sz w:val="16"/>
                  <w:u w:val="single" w:color="0000FF"/>
                </w:rPr>
                <w:t>Policy</w:t>
              </w:r>
              <w:r w:rsidR="00D42242">
                <w:rPr>
                  <w:color w:val="0000FF"/>
                  <w:spacing w:val="-5"/>
                  <w:sz w:val="16"/>
                </w:rPr>
                <w:t xml:space="preserve"> </w:t>
              </w:r>
            </w:hyperlink>
            <w:r w:rsidR="00D42242">
              <w:rPr>
                <w:sz w:val="16"/>
              </w:rPr>
              <w:t>5.1.</w:t>
            </w:r>
            <w:r w:rsidR="00D42242">
              <w:rPr>
                <w:spacing w:val="-6"/>
                <w:sz w:val="16"/>
              </w:rPr>
              <w:t xml:space="preserve"> </w:t>
            </w:r>
            <w:r w:rsidR="00D42242">
              <w:rPr>
                <w:sz w:val="16"/>
              </w:rPr>
              <w:t>A</w:t>
            </w:r>
            <w:r w:rsidR="00D42242">
              <w:rPr>
                <w:spacing w:val="-4"/>
                <w:sz w:val="16"/>
              </w:rPr>
              <w:t xml:space="preserve"> </w:t>
            </w:r>
            <w:r w:rsidR="00D42242">
              <w:rPr>
                <w:sz w:val="16"/>
              </w:rPr>
              <w:t>student</w:t>
            </w:r>
            <w:r w:rsidR="00D42242">
              <w:rPr>
                <w:spacing w:val="-4"/>
                <w:sz w:val="16"/>
              </w:rPr>
              <w:t xml:space="preserve"> </w:t>
            </w:r>
            <w:r w:rsidR="00D42242">
              <w:rPr>
                <w:sz w:val="16"/>
              </w:rPr>
              <w:t>who</w:t>
            </w:r>
            <w:r w:rsidR="00D42242">
              <w:rPr>
                <w:spacing w:val="-5"/>
                <w:sz w:val="16"/>
              </w:rPr>
              <w:t xml:space="preserve"> </w:t>
            </w:r>
            <w:r w:rsidR="00D42242">
              <w:rPr>
                <w:sz w:val="16"/>
              </w:rPr>
              <w:t>submits</w:t>
            </w:r>
            <w:r w:rsidR="00D42242">
              <w:rPr>
                <w:spacing w:val="-3"/>
                <w:sz w:val="16"/>
              </w:rPr>
              <w:t xml:space="preserve"> </w:t>
            </w:r>
            <w:r w:rsidR="00D42242">
              <w:rPr>
                <w:sz w:val="16"/>
              </w:rPr>
              <w:t>work</w:t>
            </w:r>
            <w:r w:rsidR="00D42242">
              <w:rPr>
                <w:spacing w:val="-3"/>
                <w:sz w:val="16"/>
              </w:rPr>
              <w:t xml:space="preserve"> </w:t>
            </w:r>
            <w:r w:rsidR="00D42242">
              <w:rPr>
                <w:sz w:val="16"/>
              </w:rPr>
              <w:t>containing</w:t>
            </w:r>
            <w:r w:rsidR="00D42242">
              <w:rPr>
                <w:spacing w:val="-5"/>
                <w:sz w:val="16"/>
              </w:rPr>
              <w:t xml:space="preserve"> </w:t>
            </w:r>
            <w:proofErr w:type="spellStart"/>
            <w:r w:rsidR="00D42242">
              <w:rPr>
                <w:sz w:val="16"/>
              </w:rPr>
              <w:t>plagiarised</w:t>
            </w:r>
            <w:proofErr w:type="spellEnd"/>
            <w:r w:rsidR="00D42242">
              <w:rPr>
                <w:spacing w:val="-8"/>
                <w:sz w:val="16"/>
              </w:rPr>
              <w:t xml:space="preserve"> </w:t>
            </w:r>
            <w:r w:rsidR="00D42242">
              <w:rPr>
                <w:sz w:val="16"/>
              </w:rPr>
              <w:t>material</w:t>
            </w:r>
            <w:r w:rsidR="00D42242">
              <w:rPr>
                <w:spacing w:val="-4"/>
                <w:sz w:val="16"/>
              </w:rPr>
              <w:t xml:space="preserve"> </w:t>
            </w:r>
            <w:r w:rsidR="00D42242">
              <w:rPr>
                <w:sz w:val="16"/>
              </w:rPr>
              <w:t>for</w:t>
            </w:r>
            <w:r w:rsidR="00D42242">
              <w:rPr>
                <w:spacing w:val="-5"/>
                <w:sz w:val="16"/>
              </w:rPr>
              <w:t xml:space="preserve"> </w:t>
            </w:r>
            <w:r w:rsidR="00D42242">
              <w:rPr>
                <w:sz w:val="16"/>
              </w:rPr>
              <w:t>assessment</w:t>
            </w:r>
            <w:r w:rsidR="00D42242">
              <w:rPr>
                <w:spacing w:val="-4"/>
                <w:sz w:val="16"/>
              </w:rPr>
              <w:t xml:space="preserve"> </w:t>
            </w:r>
            <w:r w:rsidR="00D42242">
              <w:rPr>
                <w:sz w:val="16"/>
              </w:rPr>
              <w:t xml:space="preserve">will be subject to the provisions of the </w:t>
            </w:r>
            <w:hyperlink r:id="rId10">
              <w:r w:rsidR="00D42242">
                <w:rPr>
                  <w:color w:val="0000FF"/>
                  <w:sz w:val="16"/>
                  <w:u w:val="single" w:color="0000FF"/>
                </w:rPr>
                <w:t>Student Academic Misconduct</w:t>
              </w:r>
              <w:r w:rsidR="00D42242">
                <w:rPr>
                  <w:color w:val="0000FF"/>
                  <w:spacing w:val="-10"/>
                  <w:sz w:val="16"/>
                  <w:u w:val="single" w:color="0000FF"/>
                </w:rPr>
                <w:t xml:space="preserve"> </w:t>
              </w:r>
              <w:r w:rsidR="00D42242">
                <w:rPr>
                  <w:color w:val="0000FF"/>
                  <w:sz w:val="16"/>
                  <w:u w:val="single" w:color="0000FF"/>
                </w:rPr>
                <w:t>Requirements.</w:t>
              </w:r>
            </w:hyperlink>
          </w:p>
          <w:p w:rsidR="0004596F" w:rsidRDefault="0004596F">
            <w:pPr>
              <w:pStyle w:val="TableParagraph"/>
              <w:spacing w:before="8"/>
              <w:rPr>
                <w:b/>
                <w:sz w:val="21"/>
              </w:rPr>
            </w:pPr>
          </w:p>
          <w:p w:rsidR="0004596F" w:rsidRDefault="00D42242">
            <w:pPr>
              <w:pStyle w:val="TableParagraph"/>
              <w:ind w:left="674"/>
              <w:rPr>
                <w:b/>
                <w:sz w:val="16"/>
              </w:rPr>
            </w:pPr>
            <w:r>
              <w:rPr>
                <w:b/>
                <w:sz w:val="16"/>
              </w:rPr>
              <w:t xml:space="preserve">Note definition of plagiarism and </w:t>
            </w:r>
            <w:proofErr w:type="spellStart"/>
            <w:r>
              <w:rPr>
                <w:b/>
                <w:sz w:val="16"/>
              </w:rPr>
              <w:t>self plagiarism</w:t>
            </w:r>
            <w:proofErr w:type="spellEnd"/>
            <w:r>
              <w:rPr>
                <w:b/>
                <w:sz w:val="16"/>
              </w:rPr>
              <w:t xml:space="preserve"> in Learning, Teaching and Assessment Policy:</w:t>
            </w:r>
          </w:p>
          <w:p w:rsidR="0004596F" w:rsidRDefault="00D42242">
            <w:pPr>
              <w:pStyle w:val="TableParagraph"/>
              <w:spacing w:before="121"/>
              <w:ind w:left="674" w:right="666"/>
              <w:jc w:val="both"/>
              <w:rPr>
                <w:sz w:val="16"/>
              </w:rPr>
            </w:pPr>
            <w:r>
              <w:rPr>
                <w:b/>
                <w:sz w:val="16"/>
              </w:rPr>
              <w:t xml:space="preserve">Plagiarism: </w:t>
            </w:r>
            <w:r>
              <w:rPr>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i/>
                <w:sz w:val="16"/>
              </w:rPr>
              <w:t xml:space="preserve">Copyright Act 1968 </w:t>
            </w:r>
            <w:r>
              <w:rPr>
                <w:sz w:val="16"/>
              </w:rPr>
              <w:t>a copyright owner can take legal action in the courts against a party who has infringed their copyright.</w:t>
            </w:r>
          </w:p>
          <w:p w:rsidR="0004596F" w:rsidRDefault="00D42242">
            <w:pPr>
              <w:pStyle w:val="TableParagraph"/>
              <w:spacing w:before="60"/>
              <w:ind w:left="674" w:right="665" w:hanging="1"/>
              <w:jc w:val="both"/>
              <w:rPr>
                <w:sz w:val="16"/>
              </w:rPr>
            </w:pPr>
            <w:proofErr w:type="spellStart"/>
            <w:r>
              <w:rPr>
                <w:b/>
                <w:sz w:val="16"/>
              </w:rPr>
              <w:t>Self</w:t>
            </w:r>
            <w:r>
              <w:rPr>
                <w:b/>
                <w:spacing w:val="-7"/>
                <w:sz w:val="16"/>
              </w:rPr>
              <w:t xml:space="preserve"> </w:t>
            </w:r>
            <w:r>
              <w:rPr>
                <w:b/>
                <w:sz w:val="16"/>
              </w:rPr>
              <w:t>Plagiarism</w:t>
            </w:r>
            <w:proofErr w:type="spellEnd"/>
            <w:r>
              <w:rPr>
                <w:b/>
                <w:sz w:val="16"/>
              </w:rPr>
              <w:t>:</w:t>
            </w:r>
            <w:r>
              <w:rPr>
                <w:b/>
                <w:spacing w:val="-7"/>
                <w:sz w:val="16"/>
              </w:rPr>
              <w:t xml:space="preserve"> </w:t>
            </w:r>
            <w:r>
              <w:rPr>
                <w:sz w:val="16"/>
              </w:rPr>
              <w:t>the</w:t>
            </w:r>
            <w:r>
              <w:rPr>
                <w:spacing w:val="-7"/>
                <w:sz w:val="16"/>
              </w:rPr>
              <w:t xml:space="preserve"> </w:t>
            </w:r>
            <w:r>
              <w:rPr>
                <w:sz w:val="16"/>
              </w:rPr>
              <w:t>use</w:t>
            </w:r>
            <w:r>
              <w:rPr>
                <w:spacing w:val="-7"/>
                <w:sz w:val="16"/>
              </w:rPr>
              <w:t xml:space="preserve"> </w:t>
            </w:r>
            <w:r>
              <w:rPr>
                <w:sz w:val="16"/>
              </w:rPr>
              <w:t>of</w:t>
            </w:r>
            <w:r>
              <w:rPr>
                <w:spacing w:val="-5"/>
                <w:sz w:val="16"/>
              </w:rPr>
              <w:t xml:space="preserve"> </w:t>
            </w:r>
            <w:r>
              <w:rPr>
                <w:sz w:val="16"/>
              </w:rPr>
              <w:t>one’s</w:t>
            </w:r>
            <w:r>
              <w:rPr>
                <w:spacing w:val="-7"/>
                <w:sz w:val="16"/>
              </w:rPr>
              <w:t xml:space="preserve"> </w:t>
            </w:r>
            <w:r>
              <w:rPr>
                <w:sz w:val="16"/>
              </w:rPr>
              <w:t>own</w:t>
            </w:r>
            <w:r>
              <w:rPr>
                <w:spacing w:val="-7"/>
                <w:sz w:val="16"/>
              </w:rPr>
              <w:t xml:space="preserve"> </w:t>
            </w:r>
            <w:r>
              <w:rPr>
                <w:sz w:val="16"/>
              </w:rPr>
              <w:t>previously</w:t>
            </w:r>
            <w:r>
              <w:rPr>
                <w:spacing w:val="-7"/>
                <w:sz w:val="16"/>
              </w:rPr>
              <w:t xml:space="preserve"> </w:t>
            </w:r>
            <w:r>
              <w:rPr>
                <w:sz w:val="16"/>
              </w:rPr>
              <w:t>assessed</w:t>
            </w:r>
            <w:r>
              <w:rPr>
                <w:spacing w:val="-9"/>
                <w:sz w:val="16"/>
              </w:rPr>
              <w:t xml:space="preserve"> </w:t>
            </w:r>
            <w:r>
              <w:rPr>
                <w:sz w:val="16"/>
              </w:rPr>
              <w:t>material</w:t>
            </w:r>
            <w:r>
              <w:rPr>
                <w:spacing w:val="-8"/>
                <w:sz w:val="16"/>
              </w:rPr>
              <w:t xml:space="preserve"> </w:t>
            </w:r>
            <w:r>
              <w:rPr>
                <w:sz w:val="16"/>
              </w:rPr>
              <w:t>being</w:t>
            </w:r>
            <w:r>
              <w:rPr>
                <w:spacing w:val="-7"/>
                <w:sz w:val="16"/>
              </w:rPr>
              <w:t xml:space="preserve"> </w:t>
            </w:r>
            <w:r>
              <w:rPr>
                <w:sz w:val="16"/>
              </w:rPr>
              <w:t>resubmitted</w:t>
            </w:r>
            <w:r>
              <w:rPr>
                <w:spacing w:val="-7"/>
                <w:sz w:val="16"/>
              </w:rPr>
              <w:t xml:space="preserve"> </w:t>
            </w:r>
            <w:r>
              <w:rPr>
                <w:sz w:val="16"/>
              </w:rPr>
              <w:t>without</w:t>
            </w:r>
            <w:r>
              <w:rPr>
                <w:spacing w:val="-5"/>
                <w:sz w:val="16"/>
              </w:rPr>
              <w:t xml:space="preserve"> </w:t>
            </w:r>
            <w:r>
              <w:rPr>
                <w:sz w:val="16"/>
              </w:rPr>
              <w:t>acknowledgement</w:t>
            </w:r>
            <w:r>
              <w:rPr>
                <w:spacing w:val="-8"/>
                <w:sz w:val="16"/>
              </w:rPr>
              <w:t xml:space="preserve"> </w:t>
            </w:r>
            <w:r>
              <w:rPr>
                <w:sz w:val="16"/>
              </w:rPr>
              <w:t>or</w:t>
            </w:r>
            <w:r>
              <w:rPr>
                <w:spacing w:val="-7"/>
                <w:sz w:val="16"/>
              </w:rPr>
              <w:t xml:space="preserve"> </w:t>
            </w:r>
            <w:r>
              <w:rPr>
                <w:sz w:val="16"/>
              </w:rPr>
              <w:t>citing</w:t>
            </w:r>
            <w:r>
              <w:rPr>
                <w:spacing w:val="-7"/>
                <w:sz w:val="16"/>
              </w:rPr>
              <w:t xml:space="preserve"> </w:t>
            </w:r>
            <w:r>
              <w:rPr>
                <w:sz w:val="16"/>
              </w:rPr>
              <w:t>of</w:t>
            </w:r>
            <w:r>
              <w:rPr>
                <w:spacing w:val="-8"/>
                <w:sz w:val="16"/>
              </w:rPr>
              <w:t xml:space="preserve"> </w:t>
            </w:r>
            <w:r>
              <w:rPr>
                <w:sz w:val="16"/>
              </w:rPr>
              <w:t>the original.</w:t>
            </w:r>
          </w:p>
          <w:p w:rsidR="0004596F" w:rsidRDefault="0004596F">
            <w:pPr>
              <w:pStyle w:val="TableParagraph"/>
              <w:rPr>
                <w:b/>
                <w:sz w:val="18"/>
              </w:rPr>
            </w:pPr>
          </w:p>
          <w:p w:rsidR="0004596F" w:rsidRDefault="0004596F">
            <w:pPr>
              <w:pStyle w:val="TableParagraph"/>
              <w:rPr>
                <w:b/>
                <w:sz w:val="18"/>
              </w:rPr>
            </w:pPr>
          </w:p>
          <w:p w:rsidR="0004596F" w:rsidRDefault="0004596F">
            <w:pPr>
              <w:pStyle w:val="TableParagraph"/>
              <w:rPr>
                <w:b/>
                <w:sz w:val="18"/>
              </w:rPr>
            </w:pPr>
          </w:p>
          <w:p w:rsidR="0004596F" w:rsidRDefault="00D42242">
            <w:pPr>
              <w:pStyle w:val="TableParagraph"/>
              <w:spacing w:before="138"/>
              <w:ind w:left="107"/>
              <w:rPr>
                <w:b/>
                <w:sz w:val="20"/>
              </w:rPr>
            </w:pPr>
            <w:r>
              <w:rPr>
                <w:b/>
                <w:sz w:val="20"/>
                <w:u w:val="thick"/>
              </w:rPr>
              <w:t>Student Signature</w:t>
            </w:r>
          </w:p>
          <w:p w:rsidR="0004596F" w:rsidRDefault="0004596F">
            <w:pPr>
              <w:pStyle w:val="TableParagraph"/>
              <w:spacing w:before="1"/>
              <w:rPr>
                <w:b/>
                <w:sz w:val="20"/>
              </w:rPr>
            </w:pPr>
          </w:p>
          <w:p w:rsidR="0004596F" w:rsidRDefault="00902BA7" w:rsidP="00902BA7">
            <w:pPr>
              <w:pStyle w:val="TableParagraph"/>
              <w:tabs>
                <w:tab w:val="left" w:pos="4754"/>
              </w:tabs>
              <w:ind w:left="107"/>
              <w:rPr>
                <w:b/>
              </w:rPr>
            </w:pPr>
            <w:r w:rsidRPr="00902BA7">
              <w:rPr>
                <w:rFonts w:asciiTheme="minorHAnsi" w:hAnsiTheme="minorHAnsi" w:cstheme="minorHAnsi"/>
                <w:sz w:val="24"/>
                <w:lang w:val="vi-VN"/>
              </w:rPr>
              <w:t>Tran Le Binh</w:t>
            </w:r>
            <w:r w:rsidR="00D42242">
              <w:rPr>
                <w:b/>
              </w:rPr>
              <w:tab/>
              <w:t xml:space="preserve">Submission date </w:t>
            </w:r>
            <w:r w:rsidRPr="00902BA7">
              <w:rPr>
                <w:rFonts w:asciiTheme="minorHAnsi" w:hAnsiTheme="minorHAnsi" w:cstheme="minorHAnsi"/>
                <w:sz w:val="24"/>
                <w:lang w:val="vi-VN"/>
              </w:rPr>
              <w:t xml:space="preserve">22 </w:t>
            </w:r>
            <w:r w:rsidR="00D42242" w:rsidRPr="00902BA7">
              <w:rPr>
                <w:rFonts w:asciiTheme="minorHAnsi" w:hAnsiTheme="minorHAnsi" w:cstheme="minorHAnsi"/>
                <w:sz w:val="24"/>
              </w:rPr>
              <w:t>/</w:t>
            </w:r>
            <w:r w:rsidRPr="00902BA7">
              <w:rPr>
                <w:rFonts w:asciiTheme="minorHAnsi" w:hAnsiTheme="minorHAnsi" w:cstheme="minorHAnsi"/>
                <w:sz w:val="24"/>
                <w:lang w:val="vi-VN"/>
              </w:rPr>
              <w:t xml:space="preserve">01 </w:t>
            </w:r>
            <w:r w:rsidR="00D42242" w:rsidRPr="00902BA7">
              <w:rPr>
                <w:rFonts w:asciiTheme="minorHAnsi" w:hAnsiTheme="minorHAnsi" w:cstheme="minorHAnsi"/>
                <w:sz w:val="24"/>
              </w:rPr>
              <w:t>/</w:t>
            </w:r>
            <w:r w:rsidR="00D42242" w:rsidRPr="00902BA7">
              <w:rPr>
                <w:rFonts w:asciiTheme="minorHAnsi" w:hAnsiTheme="minorHAnsi" w:cstheme="minorHAnsi"/>
                <w:spacing w:val="-4"/>
                <w:sz w:val="24"/>
              </w:rPr>
              <w:t xml:space="preserve"> </w:t>
            </w:r>
            <w:r w:rsidRPr="00902BA7">
              <w:rPr>
                <w:rFonts w:asciiTheme="minorHAnsi" w:hAnsiTheme="minorHAnsi" w:cstheme="minorHAnsi"/>
                <w:sz w:val="24"/>
              </w:rPr>
              <w:t>2018</w:t>
            </w:r>
          </w:p>
        </w:tc>
      </w:tr>
    </w:tbl>
    <w:p w:rsidR="00E037A8" w:rsidRDefault="00971CE4" w:rsidP="00971CE4">
      <w:pPr>
        <w:pStyle w:val="NoSpacing"/>
        <w:jc w:val="center"/>
        <w:rPr>
          <w:rFonts w:cs="Times New Roman"/>
          <w:szCs w:val="24"/>
        </w:rPr>
      </w:pPr>
      <w:bookmarkStart w:id="1" w:name="_Toc504905283"/>
      <w:r>
        <w:rPr>
          <w:rFonts w:cs="Times New Roman"/>
          <w:szCs w:val="24"/>
        </w:rPr>
        <w:t xml:space="preserve"> </w:t>
      </w: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Pr="005E4DA5" w:rsidRDefault="00971CE4" w:rsidP="00971CE4">
      <w:pPr>
        <w:pStyle w:val="BodyText"/>
        <w:spacing w:before="96"/>
        <w:jc w:val="center"/>
        <w:rPr>
          <w:rFonts w:ascii="Times New Roman" w:hAnsi="Times New Roman" w:cs="Times New Roman"/>
          <w:b/>
          <w:sz w:val="24"/>
          <w:szCs w:val="24"/>
        </w:rPr>
      </w:pPr>
      <w:r w:rsidRPr="005E4DA5">
        <w:rPr>
          <w:rFonts w:ascii="Times New Roman" w:hAnsi="Times New Roman" w:cs="Times New Roman"/>
          <w:b/>
          <w:sz w:val="24"/>
          <w:szCs w:val="24"/>
        </w:rPr>
        <w:t>Table of content</w:t>
      </w:r>
      <w:bookmarkStart w:id="2" w:name="_GoBack"/>
      <w:bookmarkEnd w:id="2"/>
    </w:p>
    <w:p w:rsidR="00971CE4" w:rsidRPr="00971CE4" w:rsidRDefault="00971CE4">
      <w:pPr>
        <w:pStyle w:val="TOC1"/>
        <w:tabs>
          <w:tab w:val="right" w:leader="dot" w:pos="10790"/>
        </w:tabs>
        <w:rPr>
          <w:rFonts w:ascii="Times New Roman" w:eastAsiaTheme="minorEastAsia" w:hAnsi="Times New Roman" w:cs="Times New Roman"/>
          <w:noProof/>
          <w:sz w:val="24"/>
          <w:szCs w:val="24"/>
          <w:lang w:bidi="ar-S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hyperlink w:anchor="_Toc504905610" w:history="1">
        <w:r w:rsidRPr="00971CE4">
          <w:rPr>
            <w:rStyle w:val="Hyperlink"/>
            <w:rFonts w:ascii="Times New Roman" w:hAnsi="Times New Roman" w:cs="Times New Roman"/>
            <w:noProof/>
            <w:sz w:val="24"/>
            <w:szCs w:val="24"/>
          </w:rPr>
          <w:t>1. Introduction</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_Toc504905610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3</w:t>
        </w:r>
        <w:r w:rsidRPr="00971CE4">
          <w:rPr>
            <w:rFonts w:ascii="Times New Roman" w:hAnsi="Times New Roman" w:cs="Times New Roman"/>
            <w:noProof/>
            <w:webHidden/>
            <w:sz w:val="24"/>
            <w:szCs w:val="24"/>
          </w:rPr>
          <w:fldChar w:fldCharType="end"/>
        </w:r>
      </w:hyperlink>
    </w:p>
    <w:p w:rsidR="00971CE4" w:rsidRPr="00971CE4" w:rsidRDefault="00971CE4">
      <w:pPr>
        <w:pStyle w:val="TOC1"/>
        <w:tabs>
          <w:tab w:val="right" w:leader="dot" w:pos="10790"/>
        </w:tabs>
        <w:rPr>
          <w:rFonts w:ascii="Times New Roman" w:eastAsiaTheme="minorEastAsia" w:hAnsi="Times New Roman" w:cs="Times New Roman"/>
          <w:noProof/>
          <w:sz w:val="24"/>
          <w:szCs w:val="24"/>
          <w:lang w:bidi="ar-SA"/>
        </w:rPr>
      </w:pPr>
      <w:hyperlink w:anchor="_Toc504905611" w:history="1">
        <w:r w:rsidRPr="00971CE4">
          <w:rPr>
            <w:rStyle w:val="Hyperlink"/>
            <w:rFonts w:ascii="Times New Roman" w:hAnsi="Times New Roman" w:cs="Times New Roman"/>
            <w:noProof/>
            <w:sz w:val="24"/>
            <w:szCs w:val="24"/>
          </w:rPr>
          <w:t>2. Body</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_Toc504905611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3</w:t>
        </w:r>
        <w:r w:rsidRPr="00971CE4">
          <w:rPr>
            <w:rFonts w:ascii="Times New Roman" w:hAnsi="Times New Roman" w:cs="Times New Roman"/>
            <w:noProof/>
            <w:webHidden/>
            <w:sz w:val="24"/>
            <w:szCs w:val="24"/>
          </w:rPr>
          <w:fldChar w:fldCharType="end"/>
        </w:r>
      </w:hyperlink>
    </w:p>
    <w:p w:rsidR="00971CE4" w:rsidRPr="00971CE4" w:rsidRDefault="00971CE4">
      <w:pPr>
        <w:pStyle w:val="TOC3"/>
        <w:tabs>
          <w:tab w:val="right" w:leader="dot" w:pos="10790"/>
        </w:tabs>
        <w:rPr>
          <w:rFonts w:ascii="Times New Roman" w:eastAsiaTheme="minorEastAsia" w:hAnsi="Times New Roman" w:cs="Times New Roman"/>
          <w:noProof/>
          <w:sz w:val="24"/>
          <w:szCs w:val="24"/>
          <w:lang w:bidi="ar-SA"/>
        </w:rPr>
      </w:pPr>
      <w:hyperlink w:anchor="_Toc504905612" w:history="1">
        <w:r w:rsidRPr="00971CE4">
          <w:rPr>
            <w:rStyle w:val="Hyperlink"/>
            <w:rFonts w:ascii="Times New Roman" w:hAnsi="Times New Roman" w:cs="Times New Roman"/>
            <w:noProof/>
            <w:sz w:val="24"/>
            <w:szCs w:val="24"/>
          </w:rPr>
          <w:t>2.1. Competition</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_Toc504905612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3</w:t>
        </w:r>
        <w:r w:rsidRPr="00971CE4">
          <w:rPr>
            <w:rFonts w:ascii="Times New Roman" w:hAnsi="Times New Roman" w:cs="Times New Roman"/>
            <w:noProof/>
            <w:webHidden/>
            <w:sz w:val="24"/>
            <w:szCs w:val="24"/>
          </w:rPr>
          <w:fldChar w:fldCharType="end"/>
        </w:r>
      </w:hyperlink>
    </w:p>
    <w:p w:rsidR="00971CE4" w:rsidRPr="00971CE4" w:rsidRDefault="00971CE4">
      <w:pPr>
        <w:pStyle w:val="TOC3"/>
        <w:tabs>
          <w:tab w:val="right" w:leader="dot" w:pos="10790"/>
        </w:tabs>
        <w:rPr>
          <w:rFonts w:ascii="Times New Roman" w:eastAsiaTheme="minorEastAsia" w:hAnsi="Times New Roman" w:cs="Times New Roman"/>
          <w:noProof/>
          <w:sz w:val="24"/>
          <w:szCs w:val="24"/>
          <w:lang w:bidi="ar-SA"/>
        </w:rPr>
      </w:pPr>
      <w:hyperlink w:anchor="_Toc504905613" w:history="1">
        <w:r w:rsidRPr="00971CE4">
          <w:rPr>
            <w:rStyle w:val="Hyperlink"/>
            <w:rFonts w:ascii="Times New Roman" w:hAnsi="Times New Roman" w:cs="Times New Roman"/>
            <w:noProof/>
            <w:sz w:val="24"/>
            <w:szCs w:val="24"/>
          </w:rPr>
          <w:t>2.2. Environment</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_Toc504905613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4</w:t>
        </w:r>
        <w:r w:rsidRPr="00971CE4">
          <w:rPr>
            <w:rFonts w:ascii="Times New Roman" w:hAnsi="Times New Roman" w:cs="Times New Roman"/>
            <w:noProof/>
            <w:webHidden/>
            <w:sz w:val="24"/>
            <w:szCs w:val="24"/>
          </w:rPr>
          <w:fldChar w:fldCharType="end"/>
        </w:r>
      </w:hyperlink>
    </w:p>
    <w:p w:rsidR="00971CE4" w:rsidRPr="00971CE4" w:rsidRDefault="00971CE4">
      <w:pPr>
        <w:pStyle w:val="TOC4"/>
        <w:tabs>
          <w:tab w:val="right" w:leader="dot" w:pos="10790"/>
        </w:tabs>
        <w:rPr>
          <w:rFonts w:ascii="Times New Roman" w:eastAsiaTheme="minorEastAsia" w:hAnsi="Times New Roman" w:cs="Times New Roman"/>
          <w:noProof/>
          <w:sz w:val="24"/>
          <w:szCs w:val="24"/>
          <w:lang w:bidi="ar-SA"/>
        </w:rPr>
      </w:pPr>
      <w:hyperlink w:anchor="_Toc504905614" w:history="1">
        <w:r w:rsidRPr="00971CE4">
          <w:rPr>
            <w:rStyle w:val="Hyperlink"/>
            <w:rFonts w:ascii="Times New Roman" w:hAnsi="Times New Roman" w:cs="Times New Roman"/>
            <w:noProof/>
            <w:sz w:val="24"/>
            <w:szCs w:val="24"/>
          </w:rPr>
          <w:t>2.2.1. From the past to present:</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_Toc504905614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4</w:t>
        </w:r>
        <w:r w:rsidRPr="00971CE4">
          <w:rPr>
            <w:rFonts w:ascii="Times New Roman" w:hAnsi="Times New Roman" w:cs="Times New Roman"/>
            <w:noProof/>
            <w:webHidden/>
            <w:sz w:val="24"/>
            <w:szCs w:val="24"/>
          </w:rPr>
          <w:fldChar w:fldCharType="end"/>
        </w:r>
      </w:hyperlink>
    </w:p>
    <w:p w:rsidR="00971CE4" w:rsidRPr="00971CE4" w:rsidRDefault="00971CE4">
      <w:pPr>
        <w:pStyle w:val="TOC4"/>
        <w:tabs>
          <w:tab w:val="right" w:leader="dot" w:pos="10790"/>
        </w:tabs>
        <w:rPr>
          <w:rFonts w:ascii="Times New Roman" w:eastAsiaTheme="minorEastAsia" w:hAnsi="Times New Roman" w:cs="Times New Roman"/>
          <w:noProof/>
          <w:sz w:val="24"/>
          <w:szCs w:val="24"/>
          <w:lang w:bidi="ar-SA"/>
        </w:rPr>
      </w:pPr>
      <w:hyperlink w:anchor="_Toc504905615" w:history="1">
        <w:r w:rsidRPr="00971CE4">
          <w:rPr>
            <w:rStyle w:val="Hyperlink"/>
            <w:rFonts w:ascii="Times New Roman" w:hAnsi="Times New Roman" w:cs="Times New Roman"/>
            <w:noProof/>
            <w:sz w:val="24"/>
            <w:szCs w:val="24"/>
          </w:rPr>
          <w:t>2.2.2. Gambling problems</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_Toc504905615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5</w:t>
        </w:r>
        <w:r w:rsidRPr="00971CE4">
          <w:rPr>
            <w:rFonts w:ascii="Times New Roman" w:hAnsi="Times New Roman" w:cs="Times New Roman"/>
            <w:noProof/>
            <w:webHidden/>
            <w:sz w:val="24"/>
            <w:szCs w:val="24"/>
          </w:rPr>
          <w:fldChar w:fldCharType="end"/>
        </w:r>
      </w:hyperlink>
    </w:p>
    <w:p w:rsidR="00971CE4" w:rsidRPr="00971CE4" w:rsidRDefault="00971CE4">
      <w:pPr>
        <w:pStyle w:val="TOC3"/>
        <w:tabs>
          <w:tab w:val="right" w:leader="dot" w:pos="10790"/>
        </w:tabs>
        <w:rPr>
          <w:rFonts w:ascii="Times New Roman" w:eastAsiaTheme="minorEastAsia" w:hAnsi="Times New Roman" w:cs="Times New Roman"/>
          <w:noProof/>
          <w:sz w:val="24"/>
          <w:szCs w:val="24"/>
          <w:lang w:bidi="ar-SA"/>
        </w:rPr>
      </w:pPr>
      <w:hyperlink w:anchor="_Toc504905616" w:history="1">
        <w:r w:rsidRPr="00971CE4">
          <w:rPr>
            <w:rStyle w:val="Hyperlink"/>
            <w:rFonts w:ascii="Times New Roman" w:hAnsi="Times New Roman" w:cs="Times New Roman"/>
            <w:noProof/>
            <w:sz w:val="24"/>
            <w:szCs w:val="24"/>
          </w:rPr>
          <w:t>2.3. Legislation</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_Toc504905616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6</w:t>
        </w:r>
        <w:r w:rsidRPr="00971CE4">
          <w:rPr>
            <w:rFonts w:ascii="Times New Roman" w:hAnsi="Times New Roman" w:cs="Times New Roman"/>
            <w:noProof/>
            <w:webHidden/>
            <w:sz w:val="24"/>
            <w:szCs w:val="24"/>
          </w:rPr>
          <w:fldChar w:fldCharType="end"/>
        </w:r>
      </w:hyperlink>
    </w:p>
    <w:p w:rsidR="00971CE4" w:rsidRDefault="00971CE4">
      <w:pPr>
        <w:pStyle w:val="TOC1"/>
        <w:tabs>
          <w:tab w:val="right" w:leader="dot" w:pos="10790"/>
        </w:tabs>
        <w:rPr>
          <w:rFonts w:asciiTheme="minorHAnsi" w:eastAsiaTheme="minorEastAsia" w:hAnsiTheme="minorHAnsi" w:cstheme="minorBidi"/>
          <w:noProof/>
          <w:lang w:bidi="ar-SA"/>
        </w:rPr>
      </w:pPr>
      <w:hyperlink w:anchor="_Toc504905617" w:history="1">
        <w:r w:rsidRPr="00971CE4">
          <w:rPr>
            <w:rStyle w:val="Hyperlink"/>
            <w:rFonts w:ascii="Times New Roman" w:hAnsi="Times New Roman" w:cs="Times New Roman"/>
            <w:noProof/>
            <w:sz w:val="24"/>
            <w:szCs w:val="24"/>
          </w:rPr>
          <w:t>3. Conclusion</w:t>
        </w:r>
        <w:r w:rsidRPr="00971CE4">
          <w:rPr>
            <w:rFonts w:ascii="Times New Roman" w:hAnsi="Times New Roman" w:cs="Times New Roman"/>
            <w:noProof/>
            <w:webHidden/>
            <w:sz w:val="24"/>
            <w:szCs w:val="24"/>
          </w:rPr>
          <w:tab/>
        </w:r>
        <w:r w:rsidRPr="00971CE4">
          <w:rPr>
            <w:rFonts w:ascii="Times New Roman" w:hAnsi="Times New Roman" w:cs="Times New Roman"/>
            <w:noProof/>
            <w:webHidden/>
            <w:sz w:val="24"/>
            <w:szCs w:val="24"/>
          </w:rPr>
          <w:fldChar w:fldCharType="begin"/>
        </w:r>
        <w:r w:rsidRPr="00971CE4">
          <w:rPr>
            <w:rFonts w:ascii="Times New Roman" w:hAnsi="Times New Roman" w:cs="Times New Roman"/>
            <w:noProof/>
            <w:webHidden/>
            <w:sz w:val="24"/>
            <w:szCs w:val="24"/>
          </w:rPr>
          <w:instrText xml:space="preserve"> PAGEREF _Toc504905617 \h </w:instrText>
        </w:r>
        <w:r w:rsidRPr="00971CE4">
          <w:rPr>
            <w:rFonts w:ascii="Times New Roman" w:hAnsi="Times New Roman" w:cs="Times New Roman"/>
            <w:noProof/>
            <w:webHidden/>
            <w:sz w:val="24"/>
            <w:szCs w:val="24"/>
          </w:rPr>
        </w:r>
        <w:r w:rsidRPr="00971CE4">
          <w:rPr>
            <w:rFonts w:ascii="Times New Roman" w:hAnsi="Times New Roman" w:cs="Times New Roman"/>
            <w:noProof/>
            <w:webHidden/>
            <w:sz w:val="24"/>
            <w:szCs w:val="24"/>
          </w:rPr>
          <w:fldChar w:fldCharType="separate"/>
        </w:r>
        <w:r w:rsidR="005E4DA5">
          <w:rPr>
            <w:rFonts w:ascii="Times New Roman" w:hAnsi="Times New Roman" w:cs="Times New Roman"/>
            <w:noProof/>
            <w:webHidden/>
            <w:sz w:val="24"/>
            <w:szCs w:val="24"/>
          </w:rPr>
          <w:t>8</w:t>
        </w:r>
        <w:r w:rsidRPr="00971CE4">
          <w:rPr>
            <w:rFonts w:ascii="Times New Roman" w:hAnsi="Times New Roman" w:cs="Times New Roman"/>
            <w:noProof/>
            <w:webHidden/>
            <w:sz w:val="24"/>
            <w:szCs w:val="24"/>
          </w:rPr>
          <w:fldChar w:fldCharType="end"/>
        </w:r>
      </w:hyperlink>
    </w:p>
    <w:p w:rsidR="00971CE4" w:rsidRDefault="00971CE4" w:rsidP="00971CE4">
      <w:pPr>
        <w:pStyle w:val="BodyText"/>
        <w:spacing w:before="96"/>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References </w:t>
      </w: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E037A8" w:rsidRDefault="00E037A8" w:rsidP="00190E1E">
      <w:pPr>
        <w:pStyle w:val="BodyText"/>
        <w:spacing w:before="96"/>
        <w:rPr>
          <w:rFonts w:ascii="Times New Roman" w:hAnsi="Times New Roman" w:cs="Times New Roman"/>
          <w:sz w:val="24"/>
          <w:szCs w:val="24"/>
        </w:rPr>
      </w:pPr>
    </w:p>
    <w:p w:rsidR="00971CE4" w:rsidRDefault="00971CE4" w:rsidP="00190E1E">
      <w:pPr>
        <w:pStyle w:val="BodyText"/>
        <w:spacing w:before="96"/>
        <w:rPr>
          <w:rFonts w:ascii="Times New Roman" w:hAnsi="Times New Roman" w:cs="Times New Roman"/>
          <w:sz w:val="24"/>
          <w:szCs w:val="24"/>
        </w:rPr>
      </w:pPr>
    </w:p>
    <w:p w:rsidR="00971CE4" w:rsidRDefault="00971CE4" w:rsidP="00190E1E">
      <w:pPr>
        <w:pStyle w:val="BodyText"/>
        <w:spacing w:before="96"/>
        <w:rPr>
          <w:rFonts w:ascii="Times New Roman" w:hAnsi="Times New Roman" w:cs="Times New Roman"/>
          <w:sz w:val="24"/>
          <w:szCs w:val="24"/>
        </w:rPr>
      </w:pPr>
    </w:p>
    <w:p w:rsidR="00E037A8" w:rsidRPr="00190E1E" w:rsidRDefault="00E037A8" w:rsidP="00190E1E">
      <w:pPr>
        <w:pStyle w:val="BodyText"/>
        <w:spacing w:before="96"/>
        <w:rPr>
          <w:rFonts w:ascii="Times New Roman" w:hAnsi="Times New Roman" w:cs="Times New Roman"/>
          <w:sz w:val="24"/>
          <w:szCs w:val="24"/>
        </w:rPr>
      </w:pPr>
    </w:p>
    <w:p w:rsidR="003B4C34" w:rsidRDefault="003B4C34" w:rsidP="003B4C34">
      <w:pPr>
        <w:pStyle w:val="Heading1"/>
      </w:pPr>
      <w:bookmarkStart w:id="3" w:name="_Toc504905610"/>
      <w:r>
        <w:lastRenderedPageBreak/>
        <w:t>Introduction</w:t>
      </w:r>
      <w:bookmarkEnd w:id="1"/>
      <w:bookmarkEnd w:id="3"/>
    </w:p>
    <w:p w:rsidR="0058595D" w:rsidRDefault="005E4D9A" w:rsidP="005E4D9A">
      <w:pPr>
        <w:pStyle w:val="NoSpacing"/>
        <w:tabs>
          <w:tab w:val="left" w:pos="360"/>
        </w:tabs>
      </w:pPr>
      <w:r>
        <w:tab/>
      </w:r>
      <w:r w:rsidR="00BE1744">
        <w:t xml:space="preserve">The report will examine three factors in terms of competition, environment and legislation that have significant effects on the transformation of club industry in Australia. </w:t>
      </w:r>
      <w:r>
        <w:t xml:space="preserve">The </w:t>
      </w:r>
      <w:r w:rsidR="00366ECE">
        <w:t>competitive factor</w:t>
      </w:r>
      <w:r>
        <w:t xml:space="preserve"> introduces the purpose of club’s establishment, the development of clubs after World War II, the number of registered clubs and gaming machines in some Australian states and territories.</w:t>
      </w:r>
      <w:r w:rsidR="00366ECE">
        <w:t xml:space="preserve"> The environmental element provides the information about the </w:t>
      </w:r>
      <w:r w:rsidR="00AE43B4">
        <w:t>innovation</w:t>
      </w:r>
      <w:r w:rsidR="00366ECE">
        <w:t xml:space="preserve"> of gambling industry from the past to present and t</w:t>
      </w:r>
      <w:r w:rsidR="009D2317">
        <w:t>he impact of society related to the</w:t>
      </w:r>
      <w:r w:rsidR="003C0D21">
        <w:t xml:space="preserve"> </w:t>
      </w:r>
      <w:r w:rsidR="00366ECE">
        <w:t xml:space="preserve">gambling industry. The legislative factor mentions </w:t>
      </w:r>
      <w:r w:rsidR="0058595D">
        <w:t xml:space="preserve">the extend of law imposed and </w:t>
      </w:r>
      <w:r w:rsidR="00366ECE">
        <w:t>two types of legal obligation applied in Australia</w:t>
      </w:r>
      <w:r w:rsidR="00AE08F7">
        <w:t>, namely Gaming Machines Acts and the Liquor Ac</w:t>
      </w:r>
      <w:r w:rsidR="0058595D">
        <w:t>ts.</w:t>
      </w:r>
    </w:p>
    <w:p w:rsidR="0058595D" w:rsidRDefault="0058595D" w:rsidP="005E4D9A">
      <w:pPr>
        <w:pStyle w:val="NoSpacing"/>
        <w:tabs>
          <w:tab w:val="left" w:pos="360"/>
        </w:tabs>
      </w:pPr>
    </w:p>
    <w:p w:rsidR="003B4C34" w:rsidRDefault="003B4C34" w:rsidP="003B4C34">
      <w:pPr>
        <w:pStyle w:val="Heading1"/>
      </w:pPr>
      <w:bookmarkStart w:id="4" w:name="_Toc504905284"/>
      <w:bookmarkStart w:id="5" w:name="_Toc504905611"/>
      <w:r>
        <w:t>Body</w:t>
      </w:r>
      <w:bookmarkEnd w:id="4"/>
      <w:bookmarkEnd w:id="5"/>
    </w:p>
    <w:p w:rsidR="003B4C34" w:rsidRDefault="003B4C34" w:rsidP="002054E0">
      <w:pPr>
        <w:pStyle w:val="Heading3"/>
      </w:pPr>
      <w:bookmarkStart w:id="6" w:name="_Toc504905285"/>
      <w:bookmarkStart w:id="7" w:name="_Toc504905612"/>
      <w:r>
        <w:t>Competition</w:t>
      </w:r>
      <w:bookmarkEnd w:id="6"/>
      <w:bookmarkEnd w:id="7"/>
    </w:p>
    <w:p w:rsidR="00EE1250" w:rsidRDefault="0079461F" w:rsidP="00E02291">
      <w:pPr>
        <w:pStyle w:val="NoSpacing"/>
        <w:tabs>
          <w:tab w:val="left" w:pos="360"/>
        </w:tabs>
      </w:pPr>
      <w:r>
        <w:tab/>
      </w:r>
      <w:r w:rsidR="001B4BDD">
        <w:t xml:space="preserve">The original clubs in Australia operated to </w:t>
      </w:r>
      <w:r>
        <w:t xml:space="preserve">pursuit a common interest, voluntary and community concerns. </w:t>
      </w:r>
      <w:r w:rsidR="00BE6C11">
        <w:t>To be more detailed</w:t>
      </w:r>
      <w:r>
        <w:t>, i</w:t>
      </w:r>
      <w:r w:rsidR="004F49A0">
        <w:t xml:space="preserve">n 1840s, </w:t>
      </w:r>
      <w:r w:rsidR="00F87023">
        <w:t xml:space="preserve">there was a competition between two </w:t>
      </w:r>
      <w:r w:rsidR="007403EE">
        <w:t xml:space="preserve">gentleman’s </w:t>
      </w:r>
      <w:r w:rsidR="00F87023">
        <w:t xml:space="preserve">clubs in </w:t>
      </w:r>
      <w:r w:rsidR="004F49A0">
        <w:t xml:space="preserve">Melbourne </w:t>
      </w:r>
      <w:r w:rsidR="00F87023">
        <w:t xml:space="preserve">called the </w:t>
      </w:r>
      <w:r w:rsidR="004F49A0">
        <w:t>Melbourne Club and the Port Phillip Club, although the Port Phillip Club was closed in 1843. The Melbourne Club had about 80 long-term members and provided bedrooms, a dining room, drawing room, a library and a smoking room</w:t>
      </w:r>
      <w:r w:rsidR="003C0D21">
        <w:t xml:space="preserve"> (</w:t>
      </w:r>
      <w:proofErr w:type="spellStart"/>
      <w:r w:rsidR="003C0D21">
        <w:t>Cumes</w:t>
      </w:r>
      <w:proofErr w:type="spellEnd"/>
      <w:r w:rsidR="003C0D21">
        <w:t>, 1979)</w:t>
      </w:r>
      <w:r w:rsidR="004F49A0">
        <w:t xml:space="preserve">. In 1857 and 1858, </w:t>
      </w:r>
      <w:r w:rsidR="00F87023">
        <w:t xml:space="preserve">there was a competition between two clubs in Sydney </w:t>
      </w:r>
      <w:r w:rsidR="004F49A0">
        <w:t>called the Union Club and the Tattersall’s Club. The latter concerned with horse racing, breeding and betting</w:t>
      </w:r>
      <w:r w:rsidR="00954128">
        <w:t xml:space="preserve"> (</w:t>
      </w:r>
      <w:proofErr w:type="spellStart"/>
      <w:r w:rsidR="00954128">
        <w:t>Hing</w:t>
      </w:r>
      <w:proofErr w:type="spellEnd"/>
      <w:r w:rsidR="00954128">
        <w:t xml:space="preserve"> et al, 2002).</w:t>
      </w:r>
      <w:r w:rsidR="004F49A0">
        <w:t xml:space="preserve"> In 1894, </w:t>
      </w:r>
      <w:r w:rsidR="002E5487">
        <w:t xml:space="preserve">the first ladies’ club in Australia was established with the </w:t>
      </w:r>
      <w:proofErr w:type="spellStart"/>
      <w:r w:rsidR="002E5487">
        <w:t>Karrakatta</w:t>
      </w:r>
      <w:proofErr w:type="spellEnd"/>
      <w:r w:rsidR="002E5487">
        <w:t xml:space="preserve"> Club in Perth and the Alexandra Club in Melbourne. In 1912, the Queen’s Club was formed in Sydney (</w:t>
      </w:r>
      <w:proofErr w:type="spellStart"/>
      <w:r w:rsidR="002E5487">
        <w:t>Hing</w:t>
      </w:r>
      <w:proofErr w:type="spellEnd"/>
      <w:r w:rsidR="002E5487">
        <w:t xml:space="preserve"> et al, 2002). </w:t>
      </w:r>
      <w:r w:rsidR="007403EE">
        <w:t>All of t</w:t>
      </w:r>
      <w:r w:rsidR="002E5487">
        <w:t xml:space="preserve">hese clubs </w:t>
      </w:r>
      <w:r w:rsidR="007403EE">
        <w:t xml:space="preserve">was </w:t>
      </w:r>
      <w:r w:rsidR="002E5487">
        <w:t xml:space="preserve">operated based on the spirit of mutual benefit and the support of charities and community projects. For example, during World War I, the Tattersall’s Clubs donated </w:t>
      </w:r>
      <w:r w:rsidR="002E5487">
        <w:rPr>
          <w:rFonts w:cs="Calibri"/>
        </w:rPr>
        <w:t>£</w:t>
      </w:r>
      <w:r w:rsidR="002E5487">
        <w:t xml:space="preserve">16,000 to war savings funds, constructed cottages at </w:t>
      </w:r>
      <w:proofErr w:type="spellStart"/>
      <w:r w:rsidR="002E5487">
        <w:t>Matt</w:t>
      </w:r>
      <w:r w:rsidR="00250265">
        <w:t>raville</w:t>
      </w:r>
      <w:proofErr w:type="spellEnd"/>
      <w:r w:rsidR="002E5487">
        <w:t xml:space="preserve"> for disabled servicemen</w:t>
      </w:r>
      <w:r w:rsidR="00250265">
        <w:t xml:space="preserve"> and retained beds in hospitals (</w:t>
      </w:r>
      <w:r w:rsidR="000D19C1">
        <w:t>City Tattersall's Club, 1971</w:t>
      </w:r>
      <w:r w:rsidR="00250265">
        <w:t>).</w:t>
      </w:r>
      <w:r w:rsidR="001B4BDD">
        <w:t xml:space="preserve"> The Queen’s Club donated all 1918 proceeds to returned soldiers and dependents (</w:t>
      </w:r>
      <w:proofErr w:type="spellStart"/>
      <w:r w:rsidR="001B4BDD">
        <w:t>Tildesley</w:t>
      </w:r>
      <w:proofErr w:type="spellEnd"/>
      <w:r w:rsidR="001B4BDD">
        <w:t xml:space="preserve">, 1970). </w:t>
      </w:r>
    </w:p>
    <w:p w:rsidR="00AD128F" w:rsidRDefault="00AD128F" w:rsidP="00E02291">
      <w:pPr>
        <w:pStyle w:val="NoSpacing"/>
        <w:tabs>
          <w:tab w:val="left" w:pos="360"/>
        </w:tabs>
      </w:pPr>
    </w:p>
    <w:p w:rsidR="00E02291" w:rsidRDefault="0079461F" w:rsidP="00E02291">
      <w:pPr>
        <w:pStyle w:val="NoSpacing"/>
        <w:tabs>
          <w:tab w:val="left" w:pos="360"/>
        </w:tabs>
      </w:pPr>
      <w:r>
        <w:tab/>
        <w:t xml:space="preserve">However, </w:t>
      </w:r>
      <w:r w:rsidR="00DE0C92">
        <w:t>after World War II</w:t>
      </w:r>
      <w:r w:rsidR="00DD566E">
        <w:t xml:space="preserve">, </w:t>
      </w:r>
      <w:r w:rsidR="00DE0C92">
        <w:t xml:space="preserve">clubs didn’t </w:t>
      </w:r>
      <w:r w:rsidR="00827916">
        <w:t xml:space="preserve">dominate by the upper class. </w:t>
      </w:r>
      <w:r w:rsidR="00AF2BE0">
        <w:t>The change of clubs occurs when</w:t>
      </w:r>
      <w:r w:rsidR="00DE0C92">
        <w:t xml:space="preserve"> social classes had higher demand on drinking liquor. The </w:t>
      </w:r>
      <w:r w:rsidR="00ED2212">
        <w:t>establish</w:t>
      </w:r>
      <w:r w:rsidR="00DE0C92">
        <w:t>ment of</w:t>
      </w:r>
      <w:r w:rsidR="00ED2212">
        <w:t xml:space="preserve"> new clubs</w:t>
      </w:r>
      <w:r>
        <w:t xml:space="preserve"> </w:t>
      </w:r>
      <w:r w:rsidR="0015108F">
        <w:t>originated from</w:t>
      </w:r>
      <w:r w:rsidR="00DD566E">
        <w:t xml:space="preserve"> t</w:t>
      </w:r>
      <w:r w:rsidR="0015108F">
        <w:t>wo</w:t>
      </w:r>
      <w:r w:rsidR="00DD566E">
        <w:t xml:space="preserve"> elements. Firstly, there was poor hotel drinking conditions. </w:t>
      </w:r>
      <w:r w:rsidR="00E02291">
        <w:t>In NSW, t</w:t>
      </w:r>
      <w:r w:rsidR="00AA7468">
        <w:t>he ordinary drinkers were disappointed with the hotel drinking policy, the beer scarcity and the rampant black market</w:t>
      </w:r>
      <w:r w:rsidR="00AC01F4">
        <w:t xml:space="preserve"> (Caldwell, </w:t>
      </w:r>
      <w:proofErr w:type="spellStart"/>
      <w:r w:rsidR="00AC01F4">
        <w:t>n.d</w:t>
      </w:r>
      <w:proofErr w:type="spellEnd"/>
      <w:r w:rsidR="00EE1250">
        <w:t xml:space="preserve">). Therefore, more clubs were opened to adapt the public requirement. </w:t>
      </w:r>
      <w:r w:rsidR="00DD566E">
        <w:t>Secondly, there was an enhanced economic standard and public demand for better leisure facilities. T</w:t>
      </w:r>
      <w:r w:rsidR="00F87023">
        <w:t>he economy</w:t>
      </w:r>
      <w:r w:rsidR="0095495C">
        <w:t xml:space="preserve"> increased after the W</w:t>
      </w:r>
      <w:r w:rsidR="00F87023">
        <w:t>orld War II led to the increase</w:t>
      </w:r>
      <w:r w:rsidR="0095495C">
        <w:t xml:space="preserve"> in disposable income and the public wanted to enjoy the more comfortable and relaxed drinking venues (Caldwell, </w:t>
      </w:r>
      <w:proofErr w:type="spellStart"/>
      <w:r w:rsidR="00AC01F4">
        <w:t>n.d</w:t>
      </w:r>
      <w:proofErr w:type="spellEnd"/>
      <w:r w:rsidR="0095495C">
        <w:t xml:space="preserve">). Therefore, </w:t>
      </w:r>
      <w:r w:rsidR="00CF2A93">
        <w:t xml:space="preserve">this resulted in creating more licensed clubs by prompting legislative amendments and the number of clubs was 350 in NSW </w:t>
      </w:r>
      <w:r w:rsidR="00875D4E">
        <w:t xml:space="preserve">(Registered Clubs Association, </w:t>
      </w:r>
      <w:proofErr w:type="spellStart"/>
      <w:r w:rsidR="00875D4E">
        <w:t>n.d</w:t>
      </w:r>
      <w:proofErr w:type="spellEnd"/>
      <w:r w:rsidR="00875D4E" w:rsidRPr="007D1AEA">
        <w:t>)</w:t>
      </w:r>
      <w:r w:rsidR="00CF2A93">
        <w:t>.</w:t>
      </w:r>
      <w:r w:rsidR="00E02291">
        <w:t xml:space="preserve"> On the other hands, the establishment of new hotels was still hindered by the requirement and transfer an existing hotel (Caldwell, </w:t>
      </w:r>
      <w:proofErr w:type="spellStart"/>
      <w:r w:rsidR="00AC01F4">
        <w:t>n.d</w:t>
      </w:r>
      <w:proofErr w:type="spellEnd"/>
      <w:r w:rsidR="00E02291">
        <w:t>).</w:t>
      </w:r>
    </w:p>
    <w:p w:rsidR="00AD128F" w:rsidRDefault="00AD128F" w:rsidP="00E02291">
      <w:pPr>
        <w:pStyle w:val="NoSpacing"/>
        <w:tabs>
          <w:tab w:val="left" w:pos="360"/>
        </w:tabs>
      </w:pPr>
    </w:p>
    <w:p w:rsidR="00862369" w:rsidRDefault="00AD128F" w:rsidP="00AD128F">
      <w:pPr>
        <w:pStyle w:val="NoSpacing"/>
        <w:tabs>
          <w:tab w:val="left" w:pos="360"/>
        </w:tabs>
      </w:pPr>
      <w:r>
        <w:tab/>
      </w:r>
      <w:r w:rsidR="00E02291">
        <w:t>In 1880s, the NSW Government had a propensity to ignore illegal club poker machines due to the fact that most clubs had become financially based on poker machines and profits from members</w:t>
      </w:r>
      <w:r w:rsidR="00DD566E">
        <w:t xml:space="preserve">. In 1930, poker </w:t>
      </w:r>
      <w:r w:rsidR="00DD566E">
        <w:lastRenderedPageBreak/>
        <w:t>machines began to appear in Sydney city hotels</w:t>
      </w:r>
      <w:r w:rsidR="00972C77">
        <w:t xml:space="preserve"> and the machine manufacturers secured immunity from prosecution through bribes (Wilcox, 1983).</w:t>
      </w:r>
      <w:r w:rsidR="00EE1250">
        <w:t xml:space="preserve"> </w:t>
      </w:r>
      <w:r w:rsidR="00862369">
        <w:t>In</w:t>
      </w:r>
      <w:r w:rsidR="00DD4F44">
        <w:t xml:space="preserve"> NSW, the Sydney Harbor Casino or the Star City Casino provides and expands hotel machine gambling in order to raise the taxation rates on club poker machines in 1997. In 2004, there was an extensive political lobbying by the clubs and the formation of the Registered Clubs Party in 1997</w:t>
      </w:r>
      <w:r w:rsidR="00920C9D">
        <w:t>. This campaigns achieved some cessions to offset these competitive threats and they also attract public and political attention to the clubs’</w:t>
      </w:r>
      <w:r w:rsidR="00DD72F5">
        <w:t xml:space="preserve"> massive poker machine profits (</w:t>
      </w:r>
      <w:proofErr w:type="spellStart"/>
      <w:r w:rsidR="00DD72F5">
        <w:t>Hing</w:t>
      </w:r>
      <w:proofErr w:type="spellEnd"/>
      <w:r w:rsidR="00DD72F5">
        <w:t xml:space="preserve">, </w:t>
      </w:r>
      <w:r w:rsidR="00BD5A2D">
        <w:t>2018</w:t>
      </w:r>
      <w:r w:rsidR="00DD72F5">
        <w:t>).</w:t>
      </w:r>
    </w:p>
    <w:p w:rsidR="00AD128F" w:rsidRDefault="00AD128F" w:rsidP="00AD128F">
      <w:pPr>
        <w:pStyle w:val="NoSpacing"/>
        <w:tabs>
          <w:tab w:val="left" w:pos="360"/>
        </w:tabs>
      </w:pPr>
      <w:r>
        <w:tab/>
      </w:r>
      <w:r w:rsidR="00D95B18">
        <w:t>The below table indicates c</w:t>
      </w:r>
      <w:r w:rsidR="00F811F4">
        <w:t>lub’s</w:t>
      </w:r>
      <w:r>
        <w:t xml:space="preserve"> competition in Au</w:t>
      </w:r>
      <w:r w:rsidR="00F811F4">
        <w:t>stralian s</w:t>
      </w:r>
      <w:r w:rsidR="00D95B18">
        <w:t>tates and territories.</w:t>
      </w:r>
    </w:p>
    <w:tbl>
      <w:tblPr>
        <w:tblStyle w:val="TableGrid"/>
        <w:tblW w:w="0" w:type="auto"/>
        <w:tblLook w:val="04A0" w:firstRow="1" w:lastRow="0" w:firstColumn="1" w:lastColumn="0" w:noHBand="0" w:noVBand="1"/>
      </w:tblPr>
      <w:tblGrid>
        <w:gridCol w:w="3618"/>
        <w:gridCol w:w="5310"/>
        <w:gridCol w:w="2088"/>
      </w:tblGrid>
      <w:tr w:rsidR="00AD128F" w:rsidRPr="006E634C" w:rsidTr="002C2203">
        <w:tc>
          <w:tcPr>
            <w:tcW w:w="3618" w:type="dxa"/>
          </w:tcPr>
          <w:p w:rsidR="00AD128F" w:rsidRPr="006E634C" w:rsidRDefault="00AD128F" w:rsidP="006E634C">
            <w:pPr>
              <w:pStyle w:val="NoSpacing"/>
              <w:tabs>
                <w:tab w:val="left" w:pos="360"/>
              </w:tabs>
              <w:jc w:val="center"/>
              <w:rPr>
                <w:b/>
              </w:rPr>
            </w:pPr>
            <w:r w:rsidRPr="006E634C">
              <w:rPr>
                <w:b/>
              </w:rPr>
              <w:t>Australian states and territories</w:t>
            </w:r>
          </w:p>
        </w:tc>
        <w:tc>
          <w:tcPr>
            <w:tcW w:w="5310" w:type="dxa"/>
          </w:tcPr>
          <w:p w:rsidR="00AD128F" w:rsidRPr="006E634C" w:rsidRDefault="00AD128F" w:rsidP="006E634C">
            <w:pPr>
              <w:pStyle w:val="NoSpacing"/>
              <w:tabs>
                <w:tab w:val="left" w:pos="360"/>
              </w:tabs>
              <w:jc w:val="center"/>
              <w:rPr>
                <w:b/>
              </w:rPr>
            </w:pPr>
            <w:r w:rsidRPr="006E634C">
              <w:rPr>
                <w:b/>
              </w:rPr>
              <w:t>The number of registered clubs</w:t>
            </w:r>
          </w:p>
        </w:tc>
        <w:tc>
          <w:tcPr>
            <w:tcW w:w="2088" w:type="dxa"/>
          </w:tcPr>
          <w:p w:rsidR="00AD128F" w:rsidRPr="006E634C" w:rsidRDefault="00AD128F" w:rsidP="006E634C">
            <w:pPr>
              <w:pStyle w:val="NoSpacing"/>
              <w:tabs>
                <w:tab w:val="left" w:pos="360"/>
              </w:tabs>
              <w:jc w:val="center"/>
              <w:rPr>
                <w:b/>
              </w:rPr>
            </w:pPr>
            <w:r w:rsidRPr="006E634C">
              <w:rPr>
                <w:b/>
              </w:rPr>
              <w:t>The number of gaming machines</w:t>
            </w:r>
          </w:p>
        </w:tc>
      </w:tr>
      <w:tr w:rsidR="00AD128F" w:rsidTr="002C2203">
        <w:tc>
          <w:tcPr>
            <w:tcW w:w="3618" w:type="dxa"/>
          </w:tcPr>
          <w:p w:rsidR="00AD128F" w:rsidRDefault="00AD128F" w:rsidP="00AD128F">
            <w:pPr>
              <w:pStyle w:val="NoSpacing"/>
              <w:tabs>
                <w:tab w:val="left" w:pos="360"/>
              </w:tabs>
            </w:pPr>
            <w:r>
              <w:t>New South Wales</w:t>
            </w:r>
          </w:p>
        </w:tc>
        <w:tc>
          <w:tcPr>
            <w:tcW w:w="5310" w:type="dxa"/>
          </w:tcPr>
          <w:p w:rsidR="00AD128F" w:rsidRDefault="006E634C" w:rsidP="00CA25D0">
            <w:pPr>
              <w:pStyle w:val="NoSpacing"/>
              <w:tabs>
                <w:tab w:val="left" w:pos="360"/>
              </w:tabs>
            </w:pPr>
            <w:r>
              <w:t>1500 in 1999 (</w:t>
            </w:r>
            <w:r w:rsidR="00CA25D0" w:rsidRPr="005749E9">
              <w:t xml:space="preserve">Clubs, pubs, taverns and bars, </w:t>
            </w:r>
            <w:r>
              <w:t>1999)</w:t>
            </w:r>
          </w:p>
        </w:tc>
        <w:tc>
          <w:tcPr>
            <w:tcW w:w="2088" w:type="dxa"/>
          </w:tcPr>
          <w:p w:rsidR="00AD128F" w:rsidRDefault="006E634C" w:rsidP="00AD128F">
            <w:pPr>
              <w:pStyle w:val="NoSpacing"/>
              <w:tabs>
                <w:tab w:val="left" w:pos="360"/>
              </w:tabs>
            </w:pPr>
            <w:r>
              <w:t>198,418 in 2013 (Safi, 2014)</w:t>
            </w:r>
          </w:p>
        </w:tc>
      </w:tr>
      <w:tr w:rsidR="00AD128F" w:rsidTr="002C2203">
        <w:tc>
          <w:tcPr>
            <w:tcW w:w="3618" w:type="dxa"/>
          </w:tcPr>
          <w:p w:rsidR="00AD128F" w:rsidRDefault="006E634C" w:rsidP="00AD128F">
            <w:pPr>
              <w:pStyle w:val="NoSpacing"/>
              <w:tabs>
                <w:tab w:val="left" w:pos="360"/>
              </w:tabs>
            </w:pPr>
            <w:r>
              <w:t>Queensland</w:t>
            </w:r>
          </w:p>
        </w:tc>
        <w:tc>
          <w:tcPr>
            <w:tcW w:w="5310" w:type="dxa"/>
          </w:tcPr>
          <w:p w:rsidR="00AD128F" w:rsidRDefault="006E634C" w:rsidP="00AD128F">
            <w:pPr>
              <w:pStyle w:val="NoSpacing"/>
              <w:tabs>
                <w:tab w:val="left" w:pos="360"/>
              </w:tabs>
            </w:pPr>
            <w:r>
              <w:t xml:space="preserve">1100 in 2001 </w:t>
            </w:r>
            <w:r w:rsidR="00CA25D0">
              <w:t>(</w:t>
            </w:r>
            <w:r w:rsidR="00CA25D0" w:rsidRPr="005749E9">
              <w:t xml:space="preserve">Clubs, pubs, taverns and bars, </w:t>
            </w:r>
            <w:r w:rsidR="00CA25D0">
              <w:t>1999)</w:t>
            </w:r>
          </w:p>
        </w:tc>
        <w:tc>
          <w:tcPr>
            <w:tcW w:w="2088" w:type="dxa"/>
          </w:tcPr>
          <w:p w:rsidR="00AD128F" w:rsidRDefault="006E634C" w:rsidP="002C2203">
            <w:pPr>
              <w:pStyle w:val="NoSpacing"/>
              <w:tabs>
                <w:tab w:val="left" w:pos="360"/>
              </w:tabs>
            </w:pPr>
            <w:r>
              <w:t xml:space="preserve">44705 in 2012 </w:t>
            </w:r>
          </w:p>
        </w:tc>
      </w:tr>
      <w:tr w:rsidR="00AD128F" w:rsidTr="002C2203">
        <w:tc>
          <w:tcPr>
            <w:tcW w:w="3618" w:type="dxa"/>
          </w:tcPr>
          <w:p w:rsidR="00AD128F" w:rsidRDefault="006E634C" w:rsidP="00AD128F">
            <w:pPr>
              <w:pStyle w:val="NoSpacing"/>
              <w:tabs>
                <w:tab w:val="left" w:pos="360"/>
              </w:tabs>
            </w:pPr>
            <w:r>
              <w:t>Victoria</w:t>
            </w:r>
          </w:p>
        </w:tc>
        <w:tc>
          <w:tcPr>
            <w:tcW w:w="5310" w:type="dxa"/>
          </w:tcPr>
          <w:p w:rsidR="00AD128F" w:rsidRDefault="006E634C" w:rsidP="00AD128F">
            <w:pPr>
              <w:pStyle w:val="NoSpacing"/>
              <w:tabs>
                <w:tab w:val="left" w:pos="360"/>
              </w:tabs>
            </w:pPr>
            <w:r>
              <w:t xml:space="preserve">508 in 1997 </w:t>
            </w:r>
            <w:r w:rsidR="00CA25D0">
              <w:t>(</w:t>
            </w:r>
            <w:r w:rsidR="00CA25D0" w:rsidRPr="005749E9">
              <w:t xml:space="preserve">Clubs, pubs, taverns and bars, </w:t>
            </w:r>
            <w:r w:rsidR="00CA25D0">
              <w:t>1999)</w:t>
            </w:r>
          </w:p>
        </w:tc>
        <w:tc>
          <w:tcPr>
            <w:tcW w:w="2088" w:type="dxa"/>
          </w:tcPr>
          <w:p w:rsidR="00AD128F" w:rsidRDefault="006E634C" w:rsidP="002C2203">
            <w:pPr>
              <w:pStyle w:val="NoSpacing"/>
              <w:tabs>
                <w:tab w:val="left" w:pos="360"/>
              </w:tabs>
            </w:pPr>
            <w:r>
              <w:t xml:space="preserve">27500 in 2012 </w:t>
            </w:r>
          </w:p>
        </w:tc>
      </w:tr>
      <w:tr w:rsidR="00AD128F" w:rsidTr="002C2203">
        <w:tc>
          <w:tcPr>
            <w:tcW w:w="3618" w:type="dxa"/>
          </w:tcPr>
          <w:p w:rsidR="00AD128F" w:rsidRDefault="006E634C" w:rsidP="00AD128F">
            <w:pPr>
              <w:pStyle w:val="NoSpacing"/>
              <w:tabs>
                <w:tab w:val="left" w:pos="360"/>
              </w:tabs>
            </w:pPr>
            <w:r>
              <w:t>South Australia</w:t>
            </w:r>
          </w:p>
        </w:tc>
        <w:tc>
          <w:tcPr>
            <w:tcW w:w="5310" w:type="dxa"/>
          </w:tcPr>
          <w:p w:rsidR="00AD128F" w:rsidRDefault="006E634C" w:rsidP="00AD128F">
            <w:pPr>
              <w:pStyle w:val="NoSpacing"/>
              <w:tabs>
                <w:tab w:val="left" w:pos="360"/>
              </w:tabs>
            </w:pPr>
            <w:r>
              <w:t xml:space="preserve">380 in 1998 </w:t>
            </w:r>
            <w:r w:rsidR="00CA25D0">
              <w:t>(</w:t>
            </w:r>
            <w:r w:rsidR="00CA25D0" w:rsidRPr="005749E9">
              <w:t xml:space="preserve">Clubs, pubs, taverns and bars, </w:t>
            </w:r>
            <w:r w:rsidR="00CA25D0">
              <w:t>1999)</w:t>
            </w:r>
          </w:p>
        </w:tc>
        <w:tc>
          <w:tcPr>
            <w:tcW w:w="2088" w:type="dxa"/>
          </w:tcPr>
          <w:p w:rsidR="00AD128F" w:rsidRDefault="006E634C" w:rsidP="002C2203">
            <w:pPr>
              <w:pStyle w:val="NoSpacing"/>
              <w:tabs>
                <w:tab w:val="left" w:pos="360"/>
              </w:tabs>
            </w:pPr>
            <w:r>
              <w:t xml:space="preserve">12086 in 2012 </w:t>
            </w:r>
          </w:p>
        </w:tc>
      </w:tr>
      <w:tr w:rsidR="00AD128F" w:rsidTr="002C2203">
        <w:tc>
          <w:tcPr>
            <w:tcW w:w="3618" w:type="dxa"/>
          </w:tcPr>
          <w:p w:rsidR="00AD128F" w:rsidRDefault="006E634C" w:rsidP="00AD128F">
            <w:pPr>
              <w:pStyle w:val="NoSpacing"/>
              <w:tabs>
                <w:tab w:val="left" w:pos="360"/>
              </w:tabs>
            </w:pPr>
            <w:r>
              <w:t>Australian Capital Territory</w:t>
            </w:r>
          </w:p>
        </w:tc>
        <w:tc>
          <w:tcPr>
            <w:tcW w:w="5310" w:type="dxa"/>
          </w:tcPr>
          <w:p w:rsidR="00AD128F" w:rsidRDefault="006E634C" w:rsidP="00AD128F">
            <w:pPr>
              <w:pStyle w:val="NoSpacing"/>
              <w:tabs>
                <w:tab w:val="left" w:pos="360"/>
              </w:tabs>
            </w:pPr>
            <w:r>
              <w:t xml:space="preserve">68 in 1999 </w:t>
            </w:r>
            <w:r w:rsidR="00CA25D0">
              <w:t>(</w:t>
            </w:r>
            <w:r w:rsidR="00CA25D0" w:rsidRPr="005749E9">
              <w:t xml:space="preserve">Clubs, pubs, taverns and bars, </w:t>
            </w:r>
            <w:r w:rsidR="00CA25D0">
              <w:t>1999)</w:t>
            </w:r>
          </w:p>
        </w:tc>
        <w:tc>
          <w:tcPr>
            <w:tcW w:w="2088" w:type="dxa"/>
          </w:tcPr>
          <w:p w:rsidR="00AD128F" w:rsidRDefault="006E634C" w:rsidP="002C2203">
            <w:pPr>
              <w:pStyle w:val="NoSpacing"/>
              <w:tabs>
                <w:tab w:val="left" w:pos="360"/>
              </w:tabs>
            </w:pPr>
            <w:r>
              <w:t xml:space="preserve">4953 in 2012 </w:t>
            </w:r>
          </w:p>
        </w:tc>
      </w:tr>
      <w:tr w:rsidR="00AD128F" w:rsidTr="002C2203">
        <w:tc>
          <w:tcPr>
            <w:tcW w:w="3618" w:type="dxa"/>
          </w:tcPr>
          <w:p w:rsidR="00AD128F" w:rsidRDefault="006E634C" w:rsidP="00AD128F">
            <w:pPr>
              <w:pStyle w:val="NoSpacing"/>
              <w:tabs>
                <w:tab w:val="left" w:pos="360"/>
              </w:tabs>
            </w:pPr>
            <w:r>
              <w:t>Tasmania</w:t>
            </w:r>
          </w:p>
        </w:tc>
        <w:tc>
          <w:tcPr>
            <w:tcW w:w="5310" w:type="dxa"/>
          </w:tcPr>
          <w:p w:rsidR="00AD128F" w:rsidRDefault="006E634C" w:rsidP="00AD128F">
            <w:pPr>
              <w:pStyle w:val="NoSpacing"/>
              <w:tabs>
                <w:tab w:val="left" w:pos="360"/>
              </w:tabs>
            </w:pPr>
            <w:r>
              <w:t xml:space="preserve">173 in 1999 </w:t>
            </w:r>
            <w:r w:rsidR="00CA25D0">
              <w:t>(</w:t>
            </w:r>
            <w:r w:rsidR="00CA25D0" w:rsidRPr="005749E9">
              <w:t xml:space="preserve">Clubs, pubs, taverns and bars, </w:t>
            </w:r>
            <w:r w:rsidR="00CA25D0">
              <w:t>1999)</w:t>
            </w:r>
          </w:p>
        </w:tc>
        <w:tc>
          <w:tcPr>
            <w:tcW w:w="2088" w:type="dxa"/>
          </w:tcPr>
          <w:p w:rsidR="00AD128F" w:rsidRDefault="00F106B1" w:rsidP="002C2203">
            <w:pPr>
              <w:pStyle w:val="NoSpacing"/>
              <w:tabs>
                <w:tab w:val="left" w:pos="360"/>
              </w:tabs>
            </w:pPr>
            <w:r>
              <w:t xml:space="preserve">1277 in 2012 </w:t>
            </w:r>
          </w:p>
        </w:tc>
      </w:tr>
      <w:tr w:rsidR="00AD128F" w:rsidTr="002C2203">
        <w:tc>
          <w:tcPr>
            <w:tcW w:w="3618" w:type="dxa"/>
          </w:tcPr>
          <w:p w:rsidR="00AD128F" w:rsidRDefault="00F106B1" w:rsidP="00AD128F">
            <w:pPr>
              <w:pStyle w:val="NoSpacing"/>
              <w:tabs>
                <w:tab w:val="left" w:pos="360"/>
              </w:tabs>
            </w:pPr>
            <w:r>
              <w:t>Western Australia</w:t>
            </w:r>
          </w:p>
        </w:tc>
        <w:tc>
          <w:tcPr>
            <w:tcW w:w="5310" w:type="dxa"/>
          </w:tcPr>
          <w:p w:rsidR="00AD128F" w:rsidRDefault="00F106B1" w:rsidP="00AD128F">
            <w:pPr>
              <w:pStyle w:val="NoSpacing"/>
              <w:tabs>
                <w:tab w:val="left" w:pos="360"/>
              </w:tabs>
            </w:pPr>
            <w:r>
              <w:t xml:space="preserve">313 in 1998 </w:t>
            </w:r>
            <w:r w:rsidR="00CA25D0">
              <w:t>(</w:t>
            </w:r>
            <w:r w:rsidR="00CA25D0" w:rsidRPr="005749E9">
              <w:t xml:space="preserve">Clubs, pubs, taverns and bars, </w:t>
            </w:r>
            <w:r w:rsidR="00CA25D0">
              <w:t>1999)</w:t>
            </w:r>
          </w:p>
        </w:tc>
        <w:tc>
          <w:tcPr>
            <w:tcW w:w="2088" w:type="dxa"/>
          </w:tcPr>
          <w:p w:rsidR="00AD128F" w:rsidRDefault="00F106B1" w:rsidP="002C2203">
            <w:pPr>
              <w:pStyle w:val="NoSpacing"/>
              <w:tabs>
                <w:tab w:val="left" w:pos="360"/>
              </w:tabs>
            </w:pPr>
            <w:r>
              <w:t xml:space="preserve">2000 in 2012 </w:t>
            </w:r>
          </w:p>
        </w:tc>
      </w:tr>
      <w:tr w:rsidR="00F106B1" w:rsidTr="002C2203">
        <w:tc>
          <w:tcPr>
            <w:tcW w:w="3618" w:type="dxa"/>
          </w:tcPr>
          <w:p w:rsidR="00F106B1" w:rsidRDefault="00F106B1" w:rsidP="00AD128F">
            <w:pPr>
              <w:pStyle w:val="NoSpacing"/>
              <w:tabs>
                <w:tab w:val="left" w:pos="360"/>
              </w:tabs>
            </w:pPr>
            <w:r>
              <w:t>Northern Territory</w:t>
            </w:r>
          </w:p>
        </w:tc>
        <w:tc>
          <w:tcPr>
            <w:tcW w:w="5310" w:type="dxa"/>
          </w:tcPr>
          <w:p w:rsidR="00F106B1" w:rsidRDefault="00F106B1" w:rsidP="00AD128F">
            <w:pPr>
              <w:pStyle w:val="NoSpacing"/>
              <w:tabs>
                <w:tab w:val="left" w:pos="360"/>
              </w:tabs>
            </w:pPr>
            <w:r>
              <w:t xml:space="preserve">39 in 1998 </w:t>
            </w:r>
            <w:r w:rsidR="00CA25D0">
              <w:t>(</w:t>
            </w:r>
            <w:r w:rsidR="00CA25D0" w:rsidRPr="005749E9">
              <w:t xml:space="preserve">Clubs, pubs, taverns and bars, </w:t>
            </w:r>
            <w:r w:rsidR="00CA25D0">
              <w:t>1999)</w:t>
            </w:r>
          </w:p>
        </w:tc>
        <w:tc>
          <w:tcPr>
            <w:tcW w:w="2088" w:type="dxa"/>
          </w:tcPr>
          <w:p w:rsidR="00F106B1" w:rsidRDefault="002C2203" w:rsidP="002C2203">
            <w:pPr>
              <w:pStyle w:val="NoSpacing"/>
              <w:tabs>
                <w:tab w:val="left" w:pos="360"/>
              </w:tabs>
            </w:pPr>
            <w:r>
              <w:t xml:space="preserve">1190 in 2012 </w:t>
            </w:r>
          </w:p>
        </w:tc>
      </w:tr>
    </w:tbl>
    <w:p w:rsidR="00F811F4" w:rsidRDefault="00F811F4" w:rsidP="00F811F4">
      <w:pPr>
        <w:pStyle w:val="NoSpacing"/>
        <w:tabs>
          <w:tab w:val="left" w:pos="360"/>
        </w:tabs>
        <w:jc w:val="center"/>
      </w:pPr>
      <w:r>
        <w:t>Table 1: The quantity of registered clubs and gaming machines in Australian states and territories.</w:t>
      </w:r>
    </w:p>
    <w:p w:rsidR="00862369" w:rsidRDefault="00862369" w:rsidP="00E02291">
      <w:pPr>
        <w:pStyle w:val="NoSpacing"/>
        <w:tabs>
          <w:tab w:val="left" w:pos="360"/>
        </w:tabs>
      </w:pPr>
    </w:p>
    <w:p w:rsidR="007659AA" w:rsidRDefault="003B4C34" w:rsidP="001B06FD">
      <w:pPr>
        <w:pStyle w:val="Heading3"/>
      </w:pPr>
      <w:bookmarkStart w:id="8" w:name="_Toc504905286"/>
      <w:bookmarkStart w:id="9" w:name="_Toc504905613"/>
      <w:r>
        <w:t>Environment</w:t>
      </w:r>
      <w:bookmarkEnd w:id="8"/>
      <w:bookmarkEnd w:id="9"/>
    </w:p>
    <w:p w:rsidR="00666199" w:rsidRPr="00666199" w:rsidRDefault="00D95B18" w:rsidP="00D95B18">
      <w:pPr>
        <w:pStyle w:val="Heading4"/>
      </w:pPr>
      <w:bookmarkStart w:id="10" w:name="_Toc504905287"/>
      <w:bookmarkStart w:id="11" w:name="_Toc504905614"/>
      <w:r>
        <w:t>From the past to present:</w:t>
      </w:r>
      <w:bookmarkEnd w:id="10"/>
      <w:bookmarkEnd w:id="11"/>
    </w:p>
    <w:p w:rsidR="00231C64" w:rsidRDefault="004847AC" w:rsidP="004847AC">
      <w:pPr>
        <w:pStyle w:val="NoSpacing"/>
        <w:tabs>
          <w:tab w:val="left" w:pos="360"/>
        </w:tabs>
      </w:pPr>
      <w:r>
        <w:tab/>
      </w:r>
      <w:r w:rsidR="00B14FC6">
        <w:t>The first club</w:t>
      </w:r>
      <w:r w:rsidR="007F7287">
        <w:t xml:space="preserve"> </w:t>
      </w:r>
      <w:r w:rsidR="00B14FC6">
        <w:t xml:space="preserve">industry in Australia </w:t>
      </w:r>
      <w:r w:rsidR="007F7287">
        <w:t>was simulated the clubs of gen</w:t>
      </w:r>
      <w:r w:rsidR="00F106B1">
        <w:t>tlemen’s in Britain. T</w:t>
      </w:r>
      <w:r w:rsidR="007F7287">
        <w:t xml:space="preserve">he Australian </w:t>
      </w:r>
      <w:r w:rsidR="00F106B1">
        <w:t xml:space="preserve">Club </w:t>
      </w:r>
      <w:r w:rsidR="007F7287">
        <w:t>w</w:t>
      </w:r>
      <w:r w:rsidR="00F106B1">
        <w:t>as established in 1838 and</w:t>
      </w:r>
      <w:r w:rsidR="007F7287">
        <w:t xml:space="preserve"> considered as the Australia’s oldest club. The club served a variety of common interests like professional, intellectual, artistic and sporting in metropolitan areas (</w:t>
      </w:r>
      <w:proofErr w:type="spellStart"/>
      <w:r w:rsidR="00185065">
        <w:t>Tildesley</w:t>
      </w:r>
      <w:proofErr w:type="spellEnd"/>
      <w:r w:rsidR="00185065">
        <w:t>, 1970)</w:t>
      </w:r>
      <w:r w:rsidR="008200FE">
        <w:t xml:space="preserve">. The first Australian clubs had high prestige for the elite where </w:t>
      </w:r>
      <w:r w:rsidR="00363CC5">
        <w:t xml:space="preserve">the membership was limited and exclusive membership with high fees and which was chosen based on referrals and authorization from existing members. To be more specific, member of the Australian Club did not exceed 200, the entrance fee was 35 guineas and the annual subscription was 6 guineas which was higher than </w:t>
      </w:r>
      <w:r w:rsidR="00BF7C09">
        <w:t>clubs in England (</w:t>
      </w:r>
      <w:proofErr w:type="spellStart"/>
      <w:r w:rsidR="00BF7C09">
        <w:t>Cumes</w:t>
      </w:r>
      <w:proofErr w:type="spellEnd"/>
      <w:r w:rsidR="00BF7C09">
        <w:t>, 1979).</w:t>
      </w:r>
      <w:r w:rsidR="00C34F83">
        <w:t xml:space="preserve"> The dressing for club members reflected the gentlemen’s club dignity like black frock-coats, top hats or tall white beaver hats and gloves (Williams, 1938).</w:t>
      </w:r>
      <w:r w:rsidR="00725ED3">
        <w:t xml:space="preserve"> </w:t>
      </w:r>
      <w:r w:rsidR="00995CC2">
        <w:t>Surprisingly, all clubs shared certain characteristics like voluntary, non-profit organizations that have been established by groups of people sharing a common interest who have liked together to gain or develop that interest (</w:t>
      </w:r>
      <w:r w:rsidR="00875D4E">
        <w:t xml:space="preserve">Registered Clubs Association, </w:t>
      </w:r>
      <w:proofErr w:type="spellStart"/>
      <w:r w:rsidR="00875D4E">
        <w:t>n.d</w:t>
      </w:r>
      <w:proofErr w:type="spellEnd"/>
      <w:r w:rsidR="00995CC2">
        <w:t>)</w:t>
      </w:r>
      <w:r w:rsidR="00231C64">
        <w:t xml:space="preserve">. </w:t>
      </w:r>
    </w:p>
    <w:p w:rsidR="00F106B1" w:rsidRDefault="00F106B1" w:rsidP="004847AC">
      <w:pPr>
        <w:pStyle w:val="NoSpacing"/>
        <w:tabs>
          <w:tab w:val="left" w:pos="360"/>
        </w:tabs>
      </w:pPr>
    </w:p>
    <w:p w:rsidR="00B14FC6" w:rsidRDefault="004847AC" w:rsidP="004847AC">
      <w:pPr>
        <w:pStyle w:val="NoSpacing"/>
        <w:tabs>
          <w:tab w:val="left" w:pos="360"/>
        </w:tabs>
      </w:pPr>
      <w:r>
        <w:tab/>
      </w:r>
      <w:r w:rsidR="00231C64">
        <w:t xml:space="preserve">In some Australian towns, states and territories, the clubs are considered as “licensed clubs” and in New South Wales (NSW) and Tasmania, the clubs are referred as “registered clubs”. These licensed or registered </w:t>
      </w:r>
      <w:r w:rsidR="00231C64">
        <w:lastRenderedPageBreak/>
        <w:t xml:space="preserve">clubs achieve a liquor license and satisfy the requirements under the legislation in the state or </w:t>
      </w:r>
      <w:r w:rsidR="00510DEB">
        <w:t>territory</w:t>
      </w:r>
      <w:r w:rsidR="001B320A">
        <w:t>. In 1999, the number of registered and licensed clubs was 5600 with approximately 9 million member</w:t>
      </w:r>
      <w:r w:rsidR="00590FB1">
        <w:t>ships (</w:t>
      </w:r>
      <w:r w:rsidR="00590FB1" w:rsidRPr="00BD5A2D">
        <w:t>Australia's Gambling Industries</w:t>
      </w:r>
      <w:r w:rsidR="00590FB1">
        <w:t>, 1992)</w:t>
      </w:r>
      <w:r w:rsidR="001B320A">
        <w:t>.</w:t>
      </w:r>
      <w:r w:rsidR="00AD658A">
        <w:t xml:space="preserve"> However, the Queen’s Club did not achieve a liquor license after the establishment and their members must bring liquor by themselves if they wanted to drink.</w:t>
      </w:r>
      <w:r w:rsidR="00991243">
        <w:t xml:space="preserve"> Some forms of gambling exited at that time; However, the club did not receive the profit and the wagering appeared among members.</w:t>
      </w:r>
      <w:r>
        <w:t xml:space="preserve"> Gambling was prohibited in Australia except for betting on ho</w:t>
      </w:r>
      <w:r w:rsidR="00674BB5">
        <w:t>rse races until the early 1900s (</w:t>
      </w:r>
      <w:proofErr w:type="spellStart"/>
      <w:r w:rsidR="00674BB5">
        <w:t>Hing</w:t>
      </w:r>
      <w:proofErr w:type="spellEnd"/>
      <w:r w:rsidR="00674BB5">
        <w:t xml:space="preserve"> et al, 2002).</w:t>
      </w:r>
    </w:p>
    <w:p w:rsidR="00F106B1" w:rsidRDefault="00F106B1" w:rsidP="004847AC">
      <w:pPr>
        <w:pStyle w:val="NoSpacing"/>
        <w:tabs>
          <w:tab w:val="left" w:pos="360"/>
        </w:tabs>
      </w:pPr>
    </w:p>
    <w:p w:rsidR="004847AC" w:rsidRDefault="004847AC" w:rsidP="00DB3366">
      <w:pPr>
        <w:pStyle w:val="NoSpacing"/>
        <w:tabs>
          <w:tab w:val="left" w:pos="360"/>
        </w:tabs>
      </w:pPr>
      <w:r>
        <w:tab/>
      </w:r>
      <w:r w:rsidR="00FC3F35">
        <w:t>From</w:t>
      </w:r>
      <w:r w:rsidR="00FC3F35" w:rsidRPr="00F106B1">
        <w:t xml:space="preserve"> 1860 to 1870, the quantity of NSW hotels went up by 80% with the trading hours extended from 4 am to</w:t>
      </w:r>
      <w:r w:rsidR="00FC3F35">
        <w:t xml:space="preserve"> midnight, six days a week</w:t>
      </w:r>
      <w:r w:rsidR="00CD62F0">
        <w:t>.</w:t>
      </w:r>
      <w:r w:rsidR="00FC3F35">
        <w:t xml:space="preserve"> </w:t>
      </w:r>
      <w:r w:rsidR="000441C9">
        <w:t xml:space="preserve">The outbreak of World War I appeared the restrictions to liquor business </w:t>
      </w:r>
      <w:r w:rsidR="00DB3366">
        <w:t xml:space="preserve">and hotel trading. The </w:t>
      </w:r>
      <w:r w:rsidR="000441C9">
        <w:t xml:space="preserve">closing time </w:t>
      </w:r>
      <w:r w:rsidR="00DB3366">
        <w:t>was called the “six o’clock swill” when the consumption of alcohol liquor sold in the pubs reached at 90% (</w:t>
      </w:r>
      <w:proofErr w:type="spellStart"/>
      <w:r w:rsidR="00DB3366">
        <w:t>Hing</w:t>
      </w:r>
      <w:proofErr w:type="spellEnd"/>
      <w:r w:rsidR="00DB3366">
        <w:t xml:space="preserve"> et al, 2002). After World War II, clubs became popular for middle-class and working-class people. Moreover, clubs provided a various activities including yacht, bowling, golf, jokey, civic, masonic, musician, recreation and social clubs.</w:t>
      </w:r>
    </w:p>
    <w:p w:rsidR="00CD62F0" w:rsidRDefault="00CD62F0" w:rsidP="00DB3366">
      <w:pPr>
        <w:pStyle w:val="NoSpacing"/>
        <w:tabs>
          <w:tab w:val="left" w:pos="360"/>
        </w:tabs>
      </w:pPr>
    </w:p>
    <w:p w:rsidR="00DB3366" w:rsidRDefault="00DB3366" w:rsidP="006C5A18">
      <w:pPr>
        <w:pStyle w:val="NoSpacing"/>
        <w:tabs>
          <w:tab w:val="left" w:pos="360"/>
        </w:tabs>
      </w:pPr>
      <w:r>
        <w:tab/>
      </w:r>
      <w:r w:rsidR="00D11E7C">
        <w:t xml:space="preserve">Today, clubs and hotels operate in similar hours, packaged beer sales have boosted, off-course betting is available through the Totalizator Agency Board (TAB). There are some new types of lottery, casinos venues and gaming machines. Surprisingly, most hotels </w:t>
      </w:r>
      <w:r w:rsidR="00CD62F0">
        <w:t xml:space="preserve">have enhanced the premises and </w:t>
      </w:r>
      <w:r w:rsidR="006C5A18">
        <w:t>been catering for women and facilities (</w:t>
      </w:r>
      <w:proofErr w:type="spellStart"/>
      <w:r w:rsidR="006C5A18">
        <w:t>Hing</w:t>
      </w:r>
      <w:proofErr w:type="spellEnd"/>
      <w:r w:rsidR="006C5A18">
        <w:t xml:space="preserve"> et al, 2002). </w:t>
      </w:r>
      <w:r w:rsidR="00185452">
        <w:t xml:space="preserve">In 1998, there were 3749 clubs </w:t>
      </w:r>
      <w:r w:rsidR="00966BF5">
        <w:t xml:space="preserve">with 98053 gambling machines </w:t>
      </w:r>
      <w:r w:rsidR="00185452">
        <w:t>where 2408 businesses provided gambling facilities</w:t>
      </w:r>
      <w:r w:rsidR="00966BF5">
        <w:t xml:space="preserve">. Clubs with gambling facilities gained the profit of $5579 million whereas clubs without gambling facilities had a total income of $433 million </w:t>
      </w:r>
      <w:r w:rsidR="00AC01F4">
        <w:t>(</w:t>
      </w:r>
      <w:r w:rsidR="00AC01F4" w:rsidRPr="005749E9">
        <w:t xml:space="preserve">Clubs, pubs, taverns and bars, </w:t>
      </w:r>
      <w:r w:rsidR="00AC01F4">
        <w:t>1999)</w:t>
      </w:r>
    </w:p>
    <w:p w:rsidR="008368B1" w:rsidRDefault="008368B1" w:rsidP="006C5A18">
      <w:pPr>
        <w:pStyle w:val="NoSpacing"/>
        <w:tabs>
          <w:tab w:val="left" w:pos="360"/>
        </w:tabs>
      </w:pPr>
    </w:p>
    <w:p w:rsidR="001F1F88" w:rsidRDefault="00966BF5" w:rsidP="00CD62F0">
      <w:pPr>
        <w:pStyle w:val="NoSpacing"/>
        <w:tabs>
          <w:tab w:val="left" w:pos="360"/>
        </w:tabs>
      </w:pPr>
      <w:r>
        <w:tab/>
      </w:r>
      <w:r w:rsidR="001F1F88">
        <w:t xml:space="preserve">Nowadays, club industry also generates mainly income from hospitality services. </w:t>
      </w:r>
      <w:r w:rsidR="00943020">
        <w:t>In 2015, there are 6,413 clubs sited in Australia in metropolitan, regional and rural communities (Clubs Australia, 2015)</w:t>
      </w:r>
      <w:r w:rsidR="004B16F6">
        <w:t>. Australian clubs provide an anticipated $5 billion in society, building and maintaining sporting facilities like bowling greens, golf courses and tennis courts (Clubs Australia, 2015).</w:t>
      </w:r>
    </w:p>
    <w:p w:rsidR="00F06B2B" w:rsidRDefault="00F06B2B" w:rsidP="00CD62F0">
      <w:pPr>
        <w:pStyle w:val="NoSpacing"/>
        <w:tabs>
          <w:tab w:val="left" w:pos="360"/>
        </w:tabs>
      </w:pPr>
    </w:p>
    <w:p w:rsidR="00CE3FD2" w:rsidRDefault="00D95B18" w:rsidP="00CE3FD2">
      <w:pPr>
        <w:pStyle w:val="Heading4"/>
      </w:pPr>
      <w:bookmarkStart w:id="12" w:name="_Toc504905288"/>
      <w:bookmarkStart w:id="13" w:name="_Toc504905615"/>
      <w:r>
        <w:t>Gambling problems</w:t>
      </w:r>
      <w:bookmarkEnd w:id="12"/>
      <w:bookmarkEnd w:id="13"/>
    </w:p>
    <w:p w:rsidR="00E77736" w:rsidRDefault="008368B1" w:rsidP="008368B1">
      <w:pPr>
        <w:pStyle w:val="NoSpacing"/>
        <w:tabs>
          <w:tab w:val="left" w:pos="360"/>
        </w:tabs>
      </w:pPr>
      <w:r>
        <w:tab/>
      </w:r>
      <w:r w:rsidR="003715AE">
        <w:t xml:space="preserve">Australians are the world’s most prolific gamblers in terms of per capita spending. On an average, Australians spent US $990 compared to Singaporean which spent on $650 and Ireland which spent on $500 in 2016. </w:t>
      </w:r>
      <w:r w:rsidR="00A4066A">
        <w:t xml:space="preserve">According to the Australian Gambling Statistics, the gambling expenditure increased from $22.734 billion </w:t>
      </w:r>
      <w:r>
        <w:t>i</w:t>
      </w:r>
      <w:r w:rsidR="00A4066A">
        <w:t>n 2014-2015 to $23.648 billion in 2015-16</w:t>
      </w:r>
      <w:r>
        <w:t xml:space="preserve"> (Clarissa </w:t>
      </w:r>
      <w:proofErr w:type="spellStart"/>
      <w:r>
        <w:t>Sebag</w:t>
      </w:r>
      <w:proofErr w:type="spellEnd"/>
      <w:r>
        <w:t xml:space="preserve">-Montefiore, </w:t>
      </w:r>
      <w:r w:rsidRPr="008368B1">
        <w:t>2018). </w:t>
      </w:r>
    </w:p>
    <w:p w:rsidR="008368B1" w:rsidRDefault="008368B1" w:rsidP="008368B1">
      <w:pPr>
        <w:pStyle w:val="NoSpacing"/>
        <w:tabs>
          <w:tab w:val="left" w:pos="360"/>
        </w:tabs>
      </w:pPr>
    </w:p>
    <w:p w:rsidR="0031064C" w:rsidRDefault="008368B1" w:rsidP="008368B1">
      <w:pPr>
        <w:pStyle w:val="NoSpacing"/>
        <w:tabs>
          <w:tab w:val="left" w:pos="360"/>
        </w:tabs>
      </w:pPr>
      <w:r>
        <w:tab/>
        <w:t xml:space="preserve">The development of club industry results in the negative impact on society in Australia. </w:t>
      </w:r>
      <w:r w:rsidR="00F06B2B">
        <w:t>There are some aspects of crime like petty crime, street crime, money-laundering (</w:t>
      </w:r>
      <w:r w:rsidR="002C2203" w:rsidRPr="00BD5A2D">
        <w:t>Australia's Gambling Industries</w:t>
      </w:r>
      <w:r w:rsidR="002C2203">
        <w:t>, 1992)</w:t>
      </w:r>
      <w:r w:rsidR="00F06B2B">
        <w:t xml:space="preserve">. To be more specific, there are petty crimes in gambling venues such as cheating at table games, stealing chips, thieving from unattended belongings, pickpocketing and stealing handbags and wallets. There are also street </w:t>
      </w:r>
      <w:r w:rsidR="00F06B2B">
        <w:lastRenderedPageBreak/>
        <w:t xml:space="preserve">crimes in the vicinity of gambling venues </w:t>
      </w:r>
      <w:r w:rsidR="000F40EE">
        <w:t>such as break and enter, burglary, assault and illegal prostitution and the money-laundering (</w:t>
      </w:r>
      <w:r w:rsidR="002C2203" w:rsidRPr="00BD5A2D">
        <w:t>Australia's Gambling Industries</w:t>
      </w:r>
      <w:r w:rsidR="002C2203">
        <w:t>, 1992</w:t>
      </w:r>
      <w:r w:rsidR="000F40EE">
        <w:t xml:space="preserve">). Moreover, criminal activities comprise tax evasion, payment of secret commissions, undisclosed </w:t>
      </w:r>
      <w:r w:rsidR="00E743A5">
        <w:t xml:space="preserve">criminal interests, corruption of regulators by manufactures or dealers and inadequate machine security </w:t>
      </w:r>
      <w:r w:rsidR="002C2203">
        <w:t>(</w:t>
      </w:r>
      <w:r w:rsidR="002C2203" w:rsidRPr="002C2203">
        <w:t xml:space="preserve">Report </w:t>
      </w:r>
      <w:r w:rsidR="002C2203">
        <w:t>On Gaming Machine Concerns a</w:t>
      </w:r>
      <w:r w:rsidR="002C2203" w:rsidRPr="002C2203">
        <w:t>nd Regulations</w:t>
      </w:r>
      <w:r w:rsidR="00E743A5">
        <w:t>, 1990)</w:t>
      </w:r>
    </w:p>
    <w:p w:rsidR="00BD58C3" w:rsidRDefault="00BD58C3" w:rsidP="000F40EE">
      <w:pPr>
        <w:pStyle w:val="NoSpacing"/>
      </w:pPr>
    </w:p>
    <w:p w:rsidR="00E743A5" w:rsidRDefault="00BD58C3" w:rsidP="005B5E09">
      <w:pPr>
        <w:pStyle w:val="NoSpacing"/>
        <w:tabs>
          <w:tab w:val="left" w:pos="360"/>
        </w:tabs>
      </w:pPr>
      <w:r>
        <w:tab/>
        <w:t>G</w:t>
      </w:r>
      <w:r w:rsidR="00980BB3">
        <w:t>amble</w:t>
      </w:r>
      <w:r>
        <w:t xml:space="preserve">rs </w:t>
      </w:r>
      <w:r w:rsidR="00980BB3">
        <w:t xml:space="preserve">suffer </w:t>
      </w:r>
      <w:r w:rsidR="00C35817">
        <w:t xml:space="preserve">the problem gambling like </w:t>
      </w:r>
      <w:r w:rsidR="00980BB3">
        <w:t xml:space="preserve">“compulsive gambling”, “pathological gambling”, “addicted gambling” and “problem gambling”. </w:t>
      </w:r>
      <w:r>
        <w:t>“Compulsive</w:t>
      </w:r>
      <w:r w:rsidR="00C35817">
        <w:t xml:space="preserve"> gambling</w:t>
      </w:r>
      <w:r>
        <w:t>”</w:t>
      </w:r>
      <w:r w:rsidR="00C35817">
        <w:t xml:space="preserve"> refers to the condition that there has no permanent cure and it is an impulse disorder</w:t>
      </w:r>
      <w:r>
        <w:t>. “</w:t>
      </w:r>
      <w:r w:rsidR="003452A2" w:rsidRPr="003452A2">
        <w:t>Pathological</w:t>
      </w:r>
      <w:r w:rsidR="00C35817" w:rsidRPr="003452A2">
        <w:t xml:space="preserve"> gambling</w:t>
      </w:r>
      <w:r w:rsidRPr="003452A2">
        <w:t>” where the gamblers have</w:t>
      </w:r>
      <w:r w:rsidR="00C35817" w:rsidRPr="003452A2">
        <w:t xml:space="preserve"> a psychologically uncontrollable preoccupation and urge to gamble.</w:t>
      </w:r>
      <w:r w:rsidR="003452A2">
        <w:t xml:space="preserve"> “</w:t>
      </w:r>
      <w:r>
        <w:t>Addicted gambling</w:t>
      </w:r>
      <w:r w:rsidR="003452A2">
        <w:t>” is similar to pathological gambling but is used less frequently. “P</w:t>
      </w:r>
      <w:r w:rsidR="00C35817">
        <w:t>roblem gambling</w:t>
      </w:r>
      <w:r w:rsidR="003452A2">
        <w:t>” is considered as a public health issue in Australia (</w:t>
      </w:r>
      <w:proofErr w:type="spellStart"/>
      <w:r w:rsidR="00962E57">
        <w:t>Hing</w:t>
      </w:r>
      <w:proofErr w:type="spellEnd"/>
      <w:r w:rsidR="00962E57">
        <w:t xml:space="preserve"> et al, 2002).</w:t>
      </w:r>
      <w:r w:rsidR="005B5E09">
        <w:t xml:space="preserve"> Gamblers </w:t>
      </w:r>
      <w:r w:rsidR="00980BB3">
        <w:t>are depression, loss of self-esteem, interpersonal effects related to marital and family relationships, employment effects included loss of productivity and job loss, economic effects involved gambling debts, lega</w:t>
      </w:r>
      <w:r w:rsidR="00CF606D">
        <w:t>l effects involved illegal acts (</w:t>
      </w:r>
      <w:proofErr w:type="spellStart"/>
      <w:r w:rsidR="002C6FD1">
        <w:t>Hing</w:t>
      </w:r>
      <w:proofErr w:type="spellEnd"/>
      <w:r w:rsidR="002C6FD1">
        <w:t xml:space="preserve"> et al, 2002</w:t>
      </w:r>
      <w:r w:rsidR="00CF606D">
        <w:t>)</w:t>
      </w:r>
      <w:r w:rsidR="00C35817">
        <w:t xml:space="preserve">. </w:t>
      </w:r>
    </w:p>
    <w:p w:rsidR="00C35817" w:rsidRDefault="00C35817" w:rsidP="000F40EE">
      <w:pPr>
        <w:pStyle w:val="NoSpacing"/>
      </w:pPr>
    </w:p>
    <w:p w:rsidR="00C35817" w:rsidRDefault="005B5E09" w:rsidP="005B5E09">
      <w:pPr>
        <w:pStyle w:val="NoSpacing"/>
        <w:tabs>
          <w:tab w:val="left" w:pos="360"/>
        </w:tabs>
      </w:pPr>
      <w:r>
        <w:tab/>
      </w:r>
      <w:r w:rsidR="00C35817" w:rsidRPr="00C35817">
        <w:t xml:space="preserve">Take Kate </w:t>
      </w:r>
      <w:proofErr w:type="spellStart"/>
      <w:r w:rsidR="00C35817" w:rsidRPr="00C35817">
        <w:t>Sommerville</w:t>
      </w:r>
      <w:proofErr w:type="spellEnd"/>
      <w:r w:rsidR="00C35817" w:rsidRPr="00C35817">
        <w:t> </w:t>
      </w:r>
      <w:r w:rsidR="00C35817">
        <w:t>as a persuasive example, she is from non-gambler to addicted gambler. She was impressed by glittering lights, music, spinning of wheels by visiting a pub in Melbourne, Australia. She spent all salary on slot machines which is known as pokies in Australia, sold her car, remortgaged her flat and borrow money at 40% interest.</w:t>
      </w:r>
      <w:r w:rsidR="00152FB0">
        <w:t xml:space="preserve"> Eventually, she lost her job and the seven-year relationship.</w:t>
      </w:r>
      <w:r w:rsidR="00E77736">
        <w:t xml:space="preserve"> After six years of experiencing severe gambling habit, she stopped in 2007 and </w:t>
      </w:r>
      <w:r>
        <w:t xml:space="preserve">tolerated restless leg syndrome (Clarissa </w:t>
      </w:r>
      <w:proofErr w:type="spellStart"/>
      <w:r>
        <w:t>Sebag</w:t>
      </w:r>
      <w:proofErr w:type="spellEnd"/>
      <w:r>
        <w:t xml:space="preserve">-Montefiore, </w:t>
      </w:r>
      <w:r w:rsidRPr="008368B1">
        <w:t>2018). </w:t>
      </w:r>
    </w:p>
    <w:p w:rsidR="00DA0371" w:rsidRPr="00DA0371" w:rsidRDefault="00DA0371" w:rsidP="00DA0371"/>
    <w:p w:rsidR="003B4C34" w:rsidRDefault="003B4C34" w:rsidP="00C23347">
      <w:pPr>
        <w:pStyle w:val="Heading3"/>
      </w:pPr>
      <w:bookmarkStart w:id="14" w:name="_Toc504905289"/>
      <w:bookmarkStart w:id="15" w:name="_Toc504905616"/>
      <w:r w:rsidRPr="002054E0">
        <w:t>Legislation</w:t>
      </w:r>
      <w:bookmarkEnd w:id="14"/>
      <w:bookmarkEnd w:id="15"/>
      <w:r w:rsidRPr="002054E0">
        <w:t xml:space="preserve"> </w:t>
      </w:r>
    </w:p>
    <w:p w:rsidR="003C05F6" w:rsidRDefault="00EB0B3B" w:rsidP="00EB0B3B">
      <w:pPr>
        <w:pStyle w:val="NoSpacing"/>
        <w:tabs>
          <w:tab w:val="left" w:pos="360"/>
        </w:tabs>
      </w:pPr>
      <w:r>
        <w:tab/>
      </w:r>
      <w:r w:rsidR="006B1929">
        <w:t>The club industry is performed under a legal environment which is based on history, purposes, management style</w:t>
      </w:r>
      <w:r w:rsidR="00865535">
        <w:t xml:space="preserve">. There are some </w:t>
      </w:r>
      <w:r>
        <w:t>remarkable landmarks for creating the legislation of club industry. To be more specific, b</w:t>
      </w:r>
      <w:r w:rsidR="00367BCE">
        <w:t>y the 1950s, the Royal Commission on Liquor Laws NSW (1954) was promulgated to control the liquor trade</w:t>
      </w:r>
      <w:r>
        <w:t xml:space="preserve">. </w:t>
      </w:r>
      <w:r w:rsidR="0041660B">
        <w:t>From 1950s to 1970s, the NSW Supreme Court announced that keeping poker machines infringed the Gaming and Betting Act 1912 NSW (Wilcox, 1983)</w:t>
      </w:r>
      <w:r w:rsidR="00367BCE">
        <w:t>.</w:t>
      </w:r>
      <w:r>
        <w:t xml:space="preserve"> </w:t>
      </w:r>
      <w:r w:rsidR="00367BCE">
        <w:t>On 22</w:t>
      </w:r>
      <w:r w:rsidR="00367BCE" w:rsidRPr="00367BCE">
        <w:rPr>
          <w:vertAlign w:val="superscript"/>
        </w:rPr>
        <w:t>nd</w:t>
      </w:r>
      <w:r w:rsidR="00367BCE">
        <w:t xml:space="preserve"> August 1956, the NSW Gambling and Betting (Poker Machines) Bill 1956 was passed</w:t>
      </w:r>
      <w:r w:rsidR="00386212">
        <w:t xml:space="preserve"> (</w:t>
      </w:r>
      <w:proofErr w:type="spellStart"/>
      <w:r w:rsidR="00386212">
        <w:t>Hing</w:t>
      </w:r>
      <w:proofErr w:type="spellEnd"/>
      <w:r w:rsidR="00386212">
        <w:t xml:space="preserve">, </w:t>
      </w:r>
      <w:r w:rsidR="00BD5A2D">
        <w:t>2018</w:t>
      </w:r>
      <w:r w:rsidR="00386212" w:rsidRPr="00DD72F5">
        <w:t>).</w:t>
      </w:r>
      <w:r>
        <w:t xml:space="preserve"> </w:t>
      </w:r>
      <w:r w:rsidR="003C05F6">
        <w:t>In 1976, the promulgation of Registered Clubs Act is to differentiate the profit-based organization from other NSW clubs, to limit specific features of club management and performance</w:t>
      </w:r>
      <w:r>
        <w:t>.</w:t>
      </w:r>
    </w:p>
    <w:p w:rsidR="00666199" w:rsidRDefault="00666199" w:rsidP="009F16B5">
      <w:pPr>
        <w:pStyle w:val="NoSpacing"/>
      </w:pPr>
    </w:p>
    <w:p w:rsidR="00EB0B3B" w:rsidRDefault="00D14CB8" w:rsidP="000668F3">
      <w:pPr>
        <w:pStyle w:val="NoSpacing"/>
        <w:tabs>
          <w:tab w:val="left" w:pos="360"/>
        </w:tabs>
      </w:pPr>
      <w:r>
        <w:tab/>
      </w:r>
      <w:r w:rsidR="0051627D">
        <w:t xml:space="preserve">The </w:t>
      </w:r>
      <w:r w:rsidR="000668F3">
        <w:t>sources of law include</w:t>
      </w:r>
      <w:r w:rsidR="0051627D">
        <w:t xml:space="preserve"> obligations imposed by an Act of Parliament </w:t>
      </w:r>
      <w:r w:rsidR="000668F3">
        <w:t>(statue law) and by common law (case or “judge-made” law). The obligations imposed by an Act of Parliament refer to registered clubs, liquor licensing, theatres and public halls, public health, local government, gaming and betting, gaming and betting, gaming machine control, racing, art unions and public amusement, lotteries, keno, association and company incorporation</w:t>
      </w:r>
      <w:r>
        <w:t>. The obligations imposed by common law stemmed from the common law in England</w:t>
      </w:r>
      <w:r w:rsidR="00B7659A">
        <w:t>.</w:t>
      </w:r>
    </w:p>
    <w:p w:rsidR="00CE3FD2" w:rsidRDefault="00CE3FD2" w:rsidP="000668F3">
      <w:pPr>
        <w:pStyle w:val="NoSpacing"/>
        <w:tabs>
          <w:tab w:val="left" w:pos="360"/>
        </w:tabs>
      </w:pPr>
    </w:p>
    <w:p w:rsidR="00A96B73" w:rsidRDefault="00B7659A" w:rsidP="00B7659A">
      <w:pPr>
        <w:pStyle w:val="NoSpacing"/>
        <w:tabs>
          <w:tab w:val="left" w:pos="360"/>
        </w:tabs>
      </w:pPr>
      <w:r>
        <w:tab/>
        <w:t xml:space="preserve">There are two particular legal obligations </w:t>
      </w:r>
      <w:r w:rsidR="00385A94">
        <w:t xml:space="preserve">in club industry </w:t>
      </w:r>
      <w:r>
        <w:t xml:space="preserve">such as Gaming Machine Acts and Liquor Acts. </w:t>
      </w:r>
      <w:r w:rsidR="00D54803">
        <w:t>Gaming Machine Acts is imposed to become a legal tool to regulate the industry, set dow</w:t>
      </w:r>
      <w:r w:rsidR="00A96B73">
        <w:t>n minimum operating compliances (</w:t>
      </w:r>
      <w:proofErr w:type="spellStart"/>
      <w:r w:rsidR="00A96B73">
        <w:t>Hing</w:t>
      </w:r>
      <w:proofErr w:type="spellEnd"/>
      <w:r w:rsidR="00A96B73">
        <w:t xml:space="preserve"> et al, 2002).</w:t>
      </w:r>
    </w:p>
    <w:p w:rsidR="00E35903" w:rsidRDefault="00E35903" w:rsidP="00B7659A">
      <w:pPr>
        <w:pStyle w:val="NoSpacing"/>
        <w:tabs>
          <w:tab w:val="left" w:pos="360"/>
        </w:tabs>
      </w:pPr>
    </w:p>
    <w:tbl>
      <w:tblPr>
        <w:tblStyle w:val="TableGrid"/>
        <w:tblW w:w="0" w:type="auto"/>
        <w:tblLook w:val="04A0" w:firstRow="1" w:lastRow="0" w:firstColumn="1" w:lastColumn="0" w:noHBand="0" w:noVBand="1"/>
      </w:tblPr>
      <w:tblGrid>
        <w:gridCol w:w="3528"/>
        <w:gridCol w:w="7488"/>
      </w:tblGrid>
      <w:tr w:rsidR="009F16B5" w:rsidRPr="004E6869" w:rsidTr="009F16B5">
        <w:tc>
          <w:tcPr>
            <w:tcW w:w="3528" w:type="dxa"/>
          </w:tcPr>
          <w:p w:rsidR="009F16B5" w:rsidRPr="004E6869" w:rsidRDefault="009F16B5" w:rsidP="009F16B5">
            <w:pPr>
              <w:pStyle w:val="NoSpacing"/>
              <w:tabs>
                <w:tab w:val="left" w:pos="360"/>
              </w:tabs>
              <w:jc w:val="center"/>
              <w:rPr>
                <w:b/>
              </w:rPr>
            </w:pPr>
            <w:r w:rsidRPr="004E6869">
              <w:rPr>
                <w:b/>
              </w:rPr>
              <w:t>Australian states and territories</w:t>
            </w:r>
          </w:p>
        </w:tc>
        <w:tc>
          <w:tcPr>
            <w:tcW w:w="7488" w:type="dxa"/>
          </w:tcPr>
          <w:p w:rsidR="009F16B5" w:rsidRPr="004E6869" w:rsidRDefault="004E6869" w:rsidP="009F16B5">
            <w:pPr>
              <w:pStyle w:val="NoSpacing"/>
              <w:tabs>
                <w:tab w:val="left" w:pos="360"/>
              </w:tabs>
              <w:jc w:val="center"/>
              <w:rPr>
                <w:b/>
              </w:rPr>
            </w:pPr>
            <w:r w:rsidRPr="004E6869">
              <w:rPr>
                <w:b/>
              </w:rPr>
              <w:t>Gaming Machine Acts</w:t>
            </w:r>
          </w:p>
        </w:tc>
      </w:tr>
      <w:tr w:rsidR="009F16B5" w:rsidTr="009F16B5">
        <w:tc>
          <w:tcPr>
            <w:tcW w:w="3528" w:type="dxa"/>
          </w:tcPr>
          <w:p w:rsidR="009F16B5" w:rsidRDefault="009F16B5" w:rsidP="00B7659A">
            <w:pPr>
              <w:pStyle w:val="NoSpacing"/>
              <w:tabs>
                <w:tab w:val="left" w:pos="360"/>
              </w:tabs>
            </w:pPr>
            <w:r>
              <w:t>Australian Capital Territory</w:t>
            </w:r>
          </w:p>
        </w:tc>
        <w:tc>
          <w:tcPr>
            <w:tcW w:w="7488" w:type="dxa"/>
          </w:tcPr>
          <w:p w:rsidR="009F16B5" w:rsidRDefault="009F16B5" w:rsidP="00B7659A">
            <w:pPr>
              <w:pStyle w:val="NoSpacing"/>
              <w:tabs>
                <w:tab w:val="left" w:pos="360"/>
              </w:tabs>
            </w:pPr>
            <w:r>
              <w:t xml:space="preserve">The </w:t>
            </w:r>
            <w:r w:rsidRPr="00063799">
              <w:rPr>
                <w:i/>
              </w:rPr>
              <w:t>Gaming Machine Act 1987</w:t>
            </w:r>
          </w:p>
          <w:p w:rsidR="009F16B5" w:rsidRDefault="009F16B5" w:rsidP="00B7659A">
            <w:pPr>
              <w:pStyle w:val="NoSpacing"/>
              <w:tabs>
                <w:tab w:val="left" w:pos="360"/>
              </w:tabs>
            </w:pPr>
            <w:r>
              <w:t xml:space="preserve">The </w:t>
            </w:r>
            <w:r w:rsidRPr="00063799">
              <w:rPr>
                <w:i/>
              </w:rPr>
              <w:t>Gambling and Racing Control Act 1999</w:t>
            </w:r>
          </w:p>
          <w:p w:rsidR="009F16B5" w:rsidRDefault="009F16B5" w:rsidP="00B7659A">
            <w:pPr>
              <w:pStyle w:val="NoSpacing"/>
              <w:tabs>
                <w:tab w:val="left" w:pos="360"/>
              </w:tabs>
            </w:pPr>
            <w:r>
              <w:t xml:space="preserve">The </w:t>
            </w:r>
            <w:r w:rsidRPr="00063799">
              <w:rPr>
                <w:i/>
              </w:rPr>
              <w:t>Interactive Gaming Act 1998</w:t>
            </w:r>
          </w:p>
        </w:tc>
      </w:tr>
      <w:tr w:rsidR="009F16B5" w:rsidTr="009F16B5">
        <w:tc>
          <w:tcPr>
            <w:tcW w:w="3528" w:type="dxa"/>
          </w:tcPr>
          <w:p w:rsidR="009F16B5" w:rsidRDefault="009F16B5" w:rsidP="00B7659A">
            <w:pPr>
              <w:pStyle w:val="NoSpacing"/>
              <w:tabs>
                <w:tab w:val="left" w:pos="360"/>
              </w:tabs>
            </w:pPr>
            <w:r>
              <w:t>New South Wales</w:t>
            </w:r>
          </w:p>
        </w:tc>
        <w:tc>
          <w:tcPr>
            <w:tcW w:w="7488" w:type="dxa"/>
          </w:tcPr>
          <w:p w:rsidR="009F16B5" w:rsidRDefault="009F16B5" w:rsidP="00B7659A">
            <w:pPr>
              <w:pStyle w:val="NoSpacing"/>
              <w:tabs>
                <w:tab w:val="left" w:pos="360"/>
              </w:tabs>
            </w:pPr>
            <w:r>
              <w:t xml:space="preserve">The </w:t>
            </w:r>
            <w:r w:rsidRPr="00063799">
              <w:rPr>
                <w:i/>
              </w:rPr>
              <w:t>Gaming and Betting Act 1912</w:t>
            </w:r>
            <w:r>
              <w:t xml:space="preserve"> </w:t>
            </w:r>
          </w:p>
          <w:p w:rsidR="009F16B5" w:rsidRDefault="009F16B5" w:rsidP="00B7659A">
            <w:pPr>
              <w:pStyle w:val="NoSpacing"/>
              <w:tabs>
                <w:tab w:val="left" w:pos="360"/>
              </w:tabs>
            </w:pPr>
            <w:r>
              <w:t xml:space="preserve">The </w:t>
            </w:r>
            <w:r w:rsidRPr="00063799">
              <w:rPr>
                <w:i/>
              </w:rPr>
              <w:t>Registered Club Act 1976</w:t>
            </w:r>
          </w:p>
          <w:p w:rsidR="009F16B5" w:rsidRDefault="009F16B5" w:rsidP="00B7659A">
            <w:pPr>
              <w:pStyle w:val="NoSpacing"/>
              <w:tabs>
                <w:tab w:val="left" w:pos="360"/>
              </w:tabs>
            </w:pPr>
            <w:r>
              <w:t xml:space="preserve">The </w:t>
            </w:r>
            <w:r w:rsidRPr="00063799">
              <w:rPr>
                <w:i/>
              </w:rPr>
              <w:t>Liquor Act 1982</w:t>
            </w:r>
          </w:p>
          <w:p w:rsidR="009F16B5" w:rsidRDefault="009F16B5" w:rsidP="00B7659A">
            <w:pPr>
              <w:pStyle w:val="NoSpacing"/>
              <w:tabs>
                <w:tab w:val="left" w:pos="360"/>
              </w:tabs>
            </w:pPr>
            <w:r>
              <w:t xml:space="preserve">The </w:t>
            </w:r>
            <w:r w:rsidRPr="00063799">
              <w:rPr>
                <w:i/>
              </w:rPr>
              <w:t>Gambling Legislation Amendment (Responsible Gambling) Act 2000</w:t>
            </w:r>
          </w:p>
        </w:tc>
      </w:tr>
      <w:tr w:rsidR="009F16B5" w:rsidTr="009F16B5">
        <w:tc>
          <w:tcPr>
            <w:tcW w:w="3528" w:type="dxa"/>
          </w:tcPr>
          <w:p w:rsidR="009F16B5" w:rsidRDefault="009F16B5" w:rsidP="00B7659A">
            <w:pPr>
              <w:pStyle w:val="NoSpacing"/>
              <w:tabs>
                <w:tab w:val="left" w:pos="360"/>
              </w:tabs>
            </w:pPr>
            <w:r>
              <w:t>Northern Territory</w:t>
            </w:r>
          </w:p>
        </w:tc>
        <w:tc>
          <w:tcPr>
            <w:tcW w:w="7488" w:type="dxa"/>
          </w:tcPr>
          <w:p w:rsidR="009F16B5" w:rsidRDefault="00D12CC1" w:rsidP="00B7659A">
            <w:pPr>
              <w:pStyle w:val="NoSpacing"/>
              <w:tabs>
                <w:tab w:val="left" w:pos="360"/>
              </w:tabs>
            </w:pPr>
            <w:r>
              <w:t xml:space="preserve">The </w:t>
            </w:r>
            <w:r w:rsidR="009F16B5" w:rsidRPr="00063799">
              <w:rPr>
                <w:i/>
              </w:rPr>
              <w:t>Gaming Machine Act 1995</w:t>
            </w:r>
            <w:r w:rsidR="009F16B5">
              <w:t xml:space="preserve"> </w:t>
            </w:r>
          </w:p>
          <w:p w:rsidR="009F16B5" w:rsidRDefault="009F16B5" w:rsidP="00B7659A">
            <w:pPr>
              <w:pStyle w:val="NoSpacing"/>
              <w:tabs>
                <w:tab w:val="left" w:pos="360"/>
              </w:tabs>
            </w:pPr>
            <w:r>
              <w:t xml:space="preserve">The </w:t>
            </w:r>
            <w:r w:rsidRPr="00063799">
              <w:rPr>
                <w:i/>
              </w:rPr>
              <w:t>Gaming Control Act 1996</w:t>
            </w:r>
          </w:p>
        </w:tc>
      </w:tr>
      <w:tr w:rsidR="009F16B5" w:rsidTr="009F16B5">
        <w:tc>
          <w:tcPr>
            <w:tcW w:w="3528" w:type="dxa"/>
          </w:tcPr>
          <w:p w:rsidR="009F16B5" w:rsidRDefault="009F16B5" w:rsidP="00B7659A">
            <w:pPr>
              <w:pStyle w:val="NoSpacing"/>
              <w:tabs>
                <w:tab w:val="left" w:pos="360"/>
              </w:tabs>
            </w:pPr>
            <w:r>
              <w:t>Queensland</w:t>
            </w:r>
          </w:p>
        </w:tc>
        <w:tc>
          <w:tcPr>
            <w:tcW w:w="7488" w:type="dxa"/>
          </w:tcPr>
          <w:p w:rsidR="009F16B5" w:rsidRDefault="009F16B5" w:rsidP="00B7659A">
            <w:pPr>
              <w:pStyle w:val="NoSpacing"/>
              <w:tabs>
                <w:tab w:val="left" w:pos="360"/>
              </w:tabs>
            </w:pPr>
            <w:r>
              <w:t xml:space="preserve">The </w:t>
            </w:r>
            <w:r w:rsidRPr="009F2ABB">
              <w:rPr>
                <w:i/>
              </w:rPr>
              <w:t>Queensland Gaming Machine Act 1991</w:t>
            </w:r>
          </w:p>
          <w:p w:rsidR="009F16B5" w:rsidRDefault="009F16B5" w:rsidP="00B7659A">
            <w:pPr>
              <w:pStyle w:val="NoSpacing"/>
              <w:tabs>
                <w:tab w:val="left" w:pos="360"/>
              </w:tabs>
            </w:pPr>
            <w:r>
              <w:t xml:space="preserve">The </w:t>
            </w:r>
            <w:r w:rsidRPr="009F2ABB">
              <w:rPr>
                <w:i/>
              </w:rPr>
              <w:t>Interactive Gambling (Player Protection) Act 1998</w:t>
            </w:r>
          </w:p>
        </w:tc>
      </w:tr>
      <w:tr w:rsidR="009F16B5" w:rsidTr="009F16B5">
        <w:tc>
          <w:tcPr>
            <w:tcW w:w="3528" w:type="dxa"/>
          </w:tcPr>
          <w:p w:rsidR="009F16B5" w:rsidRDefault="009F16B5" w:rsidP="00B7659A">
            <w:pPr>
              <w:pStyle w:val="NoSpacing"/>
              <w:tabs>
                <w:tab w:val="left" w:pos="360"/>
              </w:tabs>
            </w:pPr>
            <w:r w:rsidRPr="00294D75">
              <w:t>South Australia</w:t>
            </w:r>
          </w:p>
        </w:tc>
        <w:tc>
          <w:tcPr>
            <w:tcW w:w="7488" w:type="dxa"/>
          </w:tcPr>
          <w:p w:rsidR="009F16B5" w:rsidRDefault="009F16B5" w:rsidP="00B7659A">
            <w:pPr>
              <w:pStyle w:val="NoSpacing"/>
              <w:tabs>
                <w:tab w:val="left" w:pos="360"/>
              </w:tabs>
              <w:rPr>
                <w:i/>
              </w:rPr>
            </w:pPr>
            <w:r>
              <w:t xml:space="preserve">The </w:t>
            </w:r>
            <w:r>
              <w:rPr>
                <w:i/>
              </w:rPr>
              <w:t>Gaming Machine Act 1992</w:t>
            </w:r>
          </w:p>
          <w:p w:rsidR="009F16B5" w:rsidRDefault="009F16B5" w:rsidP="00B7659A">
            <w:pPr>
              <w:pStyle w:val="NoSpacing"/>
              <w:tabs>
                <w:tab w:val="left" w:pos="360"/>
              </w:tabs>
              <w:rPr>
                <w:i/>
              </w:rPr>
            </w:pPr>
            <w:r w:rsidRPr="002C242A">
              <w:t>The</w:t>
            </w:r>
            <w:r>
              <w:rPr>
                <w:i/>
              </w:rPr>
              <w:t xml:space="preserve"> Liquor Licensing Act 1985</w:t>
            </w:r>
          </w:p>
          <w:p w:rsidR="009F16B5" w:rsidRDefault="009F16B5" w:rsidP="00B7659A">
            <w:pPr>
              <w:pStyle w:val="NoSpacing"/>
              <w:tabs>
                <w:tab w:val="left" w:pos="360"/>
              </w:tabs>
            </w:pPr>
            <w:r w:rsidRPr="002C242A">
              <w:t>The</w:t>
            </w:r>
            <w:r>
              <w:rPr>
                <w:i/>
              </w:rPr>
              <w:t xml:space="preserve"> Gaming Machine (Miscellaneous) Act 1996</w:t>
            </w:r>
          </w:p>
        </w:tc>
      </w:tr>
      <w:tr w:rsidR="009F16B5" w:rsidTr="009F16B5">
        <w:tc>
          <w:tcPr>
            <w:tcW w:w="3528" w:type="dxa"/>
          </w:tcPr>
          <w:p w:rsidR="009F16B5" w:rsidRDefault="009F16B5" w:rsidP="00B7659A">
            <w:pPr>
              <w:pStyle w:val="NoSpacing"/>
              <w:tabs>
                <w:tab w:val="left" w:pos="360"/>
              </w:tabs>
            </w:pPr>
            <w:r>
              <w:t>Tasmania</w:t>
            </w:r>
          </w:p>
        </w:tc>
        <w:tc>
          <w:tcPr>
            <w:tcW w:w="7488" w:type="dxa"/>
          </w:tcPr>
          <w:p w:rsidR="009F16B5" w:rsidRDefault="009F16B5" w:rsidP="00B7659A">
            <w:pPr>
              <w:pStyle w:val="NoSpacing"/>
              <w:tabs>
                <w:tab w:val="left" w:pos="360"/>
              </w:tabs>
            </w:pPr>
            <w:r>
              <w:t xml:space="preserve">The </w:t>
            </w:r>
            <w:r w:rsidRPr="002C242A">
              <w:rPr>
                <w:i/>
              </w:rPr>
              <w:t>Gaming Control Act 1993</w:t>
            </w:r>
          </w:p>
          <w:p w:rsidR="009F16B5" w:rsidRDefault="009F16B5" w:rsidP="00B7659A">
            <w:pPr>
              <w:pStyle w:val="NoSpacing"/>
              <w:tabs>
                <w:tab w:val="left" w:pos="360"/>
              </w:tabs>
              <w:rPr>
                <w:i/>
              </w:rPr>
            </w:pPr>
            <w:r>
              <w:rPr>
                <w:i/>
              </w:rPr>
              <w:t>Racing and Gaming Act 1952</w:t>
            </w:r>
          </w:p>
          <w:p w:rsidR="009F16B5" w:rsidRDefault="009F16B5" w:rsidP="00B7659A">
            <w:pPr>
              <w:pStyle w:val="NoSpacing"/>
              <w:tabs>
                <w:tab w:val="left" w:pos="360"/>
              </w:tabs>
            </w:pPr>
            <w:r w:rsidRPr="002C242A">
              <w:rPr>
                <w:i/>
              </w:rPr>
              <w:t>Gaming Control (Coin Denomination Limits) Act 1996</w:t>
            </w:r>
          </w:p>
          <w:p w:rsidR="009F16B5" w:rsidRDefault="009F16B5" w:rsidP="00B7659A">
            <w:pPr>
              <w:pStyle w:val="NoSpacing"/>
              <w:tabs>
                <w:tab w:val="left" w:pos="360"/>
              </w:tabs>
            </w:pPr>
            <w:r w:rsidRPr="002C242A">
              <w:rPr>
                <w:i/>
              </w:rPr>
              <w:t>Gaming Control Amendments and Regulations 1996</w:t>
            </w:r>
          </w:p>
          <w:p w:rsidR="009F16B5" w:rsidRDefault="009F16B5" w:rsidP="00B7659A">
            <w:pPr>
              <w:pStyle w:val="NoSpacing"/>
              <w:tabs>
                <w:tab w:val="left" w:pos="360"/>
              </w:tabs>
            </w:pPr>
            <w:r w:rsidRPr="002C242A">
              <w:rPr>
                <w:i/>
              </w:rPr>
              <w:t>Gaming Control Amendment Act 1998</w:t>
            </w:r>
            <w:r>
              <w:t xml:space="preserve"> </w:t>
            </w:r>
          </w:p>
          <w:p w:rsidR="009F16B5" w:rsidRDefault="009F16B5" w:rsidP="00B7659A">
            <w:pPr>
              <w:pStyle w:val="NoSpacing"/>
              <w:tabs>
                <w:tab w:val="left" w:pos="360"/>
              </w:tabs>
            </w:pPr>
            <w:r>
              <w:t xml:space="preserve">The </w:t>
            </w:r>
            <w:r w:rsidRPr="002C242A">
              <w:rPr>
                <w:i/>
              </w:rPr>
              <w:t>Racing and Gaming Amendment Act 1998</w:t>
            </w:r>
          </w:p>
        </w:tc>
      </w:tr>
      <w:tr w:rsidR="009F16B5" w:rsidTr="009F16B5">
        <w:tc>
          <w:tcPr>
            <w:tcW w:w="3528" w:type="dxa"/>
          </w:tcPr>
          <w:p w:rsidR="009F16B5" w:rsidRDefault="009F16B5" w:rsidP="00B7659A">
            <w:pPr>
              <w:pStyle w:val="NoSpacing"/>
              <w:tabs>
                <w:tab w:val="left" w:pos="360"/>
              </w:tabs>
            </w:pPr>
            <w:r>
              <w:t>Victoria</w:t>
            </w:r>
          </w:p>
        </w:tc>
        <w:tc>
          <w:tcPr>
            <w:tcW w:w="7488" w:type="dxa"/>
          </w:tcPr>
          <w:p w:rsidR="009F16B5" w:rsidRDefault="009F16B5" w:rsidP="00B7659A">
            <w:pPr>
              <w:pStyle w:val="NoSpacing"/>
              <w:tabs>
                <w:tab w:val="left" w:pos="360"/>
              </w:tabs>
            </w:pPr>
            <w:r>
              <w:t xml:space="preserve">The </w:t>
            </w:r>
            <w:r w:rsidRPr="00C874CD">
              <w:rPr>
                <w:i/>
              </w:rPr>
              <w:t>Gaming Machine Control Act 1991</w:t>
            </w:r>
          </w:p>
          <w:p w:rsidR="009F16B5" w:rsidRDefault="009F16B5" w:rsidP="00B7659A">
            <w:pPr>
              <w:pStyle w:val="NoSpacing"/>
              <w:tabs>
                <w:tab w:val="left" w:pos="360"/>
              </w:tabs>
              <w:rPr>
                <w:i/>
              </w:rPr>
            </w:pPr>
            <w:r>
              <w:t xml:space="preserve">The </w:t>
            </w:r>
            <w:r>
              <w:rPr>
                <w:i/>
              </w:rPr>
              <w:t>Gaming and Betting Act 1994</w:t>
            </w:r>
          </w:p>
          <w:p w:rsidR="009F16B5" w:rsidRPr="009F16B5" w:rsidRDefault="009F16B5" w:rsidP="00B7659A">
            <w:pPr>
              <w:pStyle w:val="NoSpacing"/>
              <w:tabs>
                <w:tab w:val="left" w:pos="360"/>
              </w:tabs>
              <w:rPr>
                <w:i/>
              </w:rPr>
            </w:pPr>
            <w:r>
              <w:t xml:space="preserve">The </w:t>
            </w:r>
            <w:r w:rsidRPr="00C874CD">
              <w:rPr>
                <w:i/>
              </w:rPr>
              <w:t>Gambling Legislation (Responsible Gambling) Act 2000</w:t>
            </w:r>
            <w:r>
              <w:rPr>
                <w:i/>
              </w:rPr>
              <w:t>.</w:t>
            </w:r>
          </w:p>
        </w:tc>
      </w:tr>
    </w:tbl>
    <w:p w:rsidR="00B82611" w:rsidRDefault="00D12CC1" w:rsidP="00F811F4">
      <w:pPr>
        <w:pStyle w:val="NoSpacing"/>
        <w:tabs>
          <w:tab w:val="left" w:pos="360"/>
        </w:tabs>
        <w:jc w:val="center"/>
      </w:pPr>
      <w:r>
        <w:t xml:space="preserve">Table 2: </w:t>
      </w:r>
      <w:r w:rsidR="00F811F4">
        <w:t xml:space="preserve">Gaming Machine Acts is </w:t>
      </w:r>
      <w:r w:rsidR="00F811F4" w:rsidRPr="00F811F4">
        <w:t>applied in Australian states and territories</w:t>
      </w:r>
    </w:p>
    <w:p w:rsidR="00B82611" w:rsidRDefault="00F84501" w:rsidP="00B82611">
      <w:pPr>
        <w:pStyle w:val="NoSpacing"/>
        <w:tabs>
          <w:tab w:val="left" w:pos="360"/>
        </w:tabs>
      </w:pPr>
      <w:r>
        <w:tab/>
      </w:r>
      <w:r w:rsidR="00B82611">
        <w:t>Liquor Act refers to the responsibility of alcohol service, the alleviation of over-consumption incident related to alcohol</w:t>
      </w:r>
      <w:r w:rsidR="00363E74">
        <w:t>, the trade and community image improvement</w:t>
      </w:r>
      <w:r w:rsidR="00E74123">
        <w:t xml:space="preserve"> (</w:t>
      </w:r>
      <w:proofErr w:type="spellStart"/>
      <w:r w:rsidR="00E74123">
        <w:t>Hing</w:t>
      </w:r>
      <w:proofErr w:type="spellEnd"/>
      <w:r w:rsidR="00E74123">
        <w:t xml:space="preserve"> et al, 2002).</w:t>
      </w:r>
      <w:r w:rsidRPr="00F84501">
        <w:t xml:space="preserve"> </w:t>
      </w:r>
      <w:r>
        <w:t>Each state imposes different legal structure for controlling liquor and which is outlined in the table below.</w:t>
      </w:r>
    </w:p>
    <w:tbl>
      <w:tblPr>
        <w:tblStyle w:val="TableGrid"/>
        <w:tblW w:w="11016" w:type="dxa"/>
        <w:tblLook w:val="04A0" w:firstRow="1" w:lastRow="0" w:firstColumn="1" w:lastColumn="0" w:noHBand="0" w:noVBand="1"/>
      </w:tblPr>
      <w:tblGrid>
        <w:gridCol w:w="3528"/>
        <w:gridCol w:w="7488"/>
      </w:tblGrid>
      <w:tr w:rsidR="00B82611" w:rsidRPr="00B82611" w:rsidTr="00B82611">
        <w:tc>
          <w:tcPr>
            <w:tcW w:w="3528" w:type="dxa"/>
          </w:tcPr>
          <w:p w:rsidR="00B82611" w:rsidRPr="00B82611" w:rsidRDefault="00B82611" w:rsidP="00B82611">
            <w:pPr>
              <w:pStyle w:val="NoSpacing"/>
              <w:tabs>
                <w:tab w:val="left" w:pos="360"/>
              </w:tabs>
              <w:jc w:val="center"/>
              <w:rPr>
                <w:b/>
              </w:rPr>
            </w:pPr>
            <w:r w:rsidRPr="00B82611">
              <w:rPr>
                <w:b/>
              </w:rPr>
              <w:t>Australian states and territories</w:t>
            </w:r>
          </w:p>
        </w:tc>
        <w:tc>
          <w:tcPr>
            <w:tcW w:w="7488" w:type="dxa"/>
          </w:tcPr>
          <w:p w:rsidR="00B82611" w:rsidRPr="00B82611" w:rsidRDefault="00B82611" w:rsidP="00B82611">
            <w:pPr>
              <w:pStyle w:val="NoSpacing"/>
              <w:tabs>
                <w:tab w:val="left" w:pos="360"/>
              </w:tabs>
              <w:jc w:val="center"/>
              <w:rPr>
                <w:b/>
              </w:rPr>
            </w:pPr>
            <w:r w:rsidRPr="00B82611">
              <w:rPr>
                <w:b/>
              </w:rPr>
              <w:t>Liquor Acts</w:t>
            </w:r>
          </w:p>
        </w:tc>
      </w:tr>
      <w:tr w:rsidR="00B82611" w:rsidTr="00B82611">
        <w:tc>
          <w:tcPr>
            <w:tcW w:w="3528" w:type="dxa"/>
          </w:tcPr>
          <w:p w:rsidR="00B82611" w:rsidRDefault="00B82611" w:rsidP="004E6869">
            <w:pPr>
              <w:pStyle w:val="NoSpacing"/>
              <w:tabs>
                <w:tab w:val="left" w:pos="360"/>
              </w:tabs>
            </w:pPr>
            <w:r>
              <w:t>Australian Capital Territory</w:t>
            </w:r>
          </w:p>
        </w:tc>
        <w:tc>
          <w:tcPr>
            <w:tcW w:w="7488" w:type="dxa"/>
          </w:tcPr>
          <w:p w:rsidR="00B82611" w:rsidRDefault="00B82611" w:rsidP="004E6869">
            <w:pPr>
              <w:pStyle w:val="NoSpacing"/>
              <w:tabs>
                <w:tab w:val="left" w:pos="360"/>
              </w:tabs>
            </w:pPr>
            <w:r>
              <w:t xml:space="preserve">The </w:t>
            </w:r>
            <w:r>
              <w:rPr>
                <w:i/>
              </w:rPr>
              <w:t>Liquor Act 1975</w:t>
            </w:r>
          </w:p>
        </w:tc>
      </w:tr>
      <w:tr w:rsidR="00B82611" w:rsidTr="00B82611">
        <w:tc>
          <w:tcPr>
            <w:tcW w:w="3528" w:type="dxa"/>
          </w:tcPr>
          <w:p w:rsidR="00B82611" w:rsidRDefault="00B82611" w:rsidP="004E6869">
            <w:pPr>
              <w:pStyle w:val="NoSpacing"/>
              <w:tabs>
                <w:tab w:val="left" w:pos="360"/>
              </w:tabs>
            </w:pPr>
            <w:r>
              <w:t>New South Wales</w:t>
            </w:r>
          </w:p>
        </w:tc>
        <w:tc>
          <w:tcPr>
            <w:tcW w:w="7488" w:type="dxa"/>
          </w:tcPr>
          <w:p w:rsidR="00B82611" w:rsidRDefault="00B82611" w:rsidP="004E6869">
            <w:pPr>
              <w:pStyle w:val="NoSpacing"/>
              <w:tabs>
                <w:tab w:val="left" w:pos="360"/>
              </w:tabs>
            </w:pPr>
            <w:r>
              <w:t xml:space="preserve">The </w:t>
            </w:r>
            <w:r>
              <w:rPr>
                <w:i/>
              </w:rPr>
              <w:t>Liquor Act 1982</w:t>
            </w:r>
            <w:r>
              <w:t xml:space="preserve">, </w:t>
            </w:r>
            <w:r w:rsidRPr="00A64E04">
              <w:rPr>
                <w:i/>
              </w:rPr>
              <w:t>Liquor (Amendment) Act 1990</w:t>
            </w:r>
            <w:r>
              <w:t xml:space="preserve"> and </w:t>
            </w:r>
            <w:r w:rsidRPr="00A64E04">
              <w:rPr>
                <w:i/>
              </w:rPr>
              <w:t xml:space="preserve">Liquor </w:t>
            </w:r>
            <w:r w:rsidRPr="00A64E04">
              <w:rPr>
                <w:i/>
              </w:rPr>
              <w:lastRenderedPageBreak/>
              <w:t>Regulation Act 1996</w:t>
            </w:r>
          </w:p>
        </w:tc>
      </w:tr>
      <w:tr w:rsidR="00B82611" w:rsidTr="00B82611">
        <w:tc>
          <w:tcPr>
            <w:tcW w:w="3528" w:type="dxa"/>
          </w:tcPr>
          <w:p w:rsidR="00B82611" w:rsidRDefault="00B82611" w:rsidP="004E6869">
            <w:pPr>
              <w:pStyle w:val="NoSpacing"/>
              <w:tabs>
                <w:tab w:val="left" w:pos="360"/>
              </w:tabs>
            </w:pPr>
            <w:r>
              <w:lastRenderedPageBreak/>
              <w:t>Northern Territory</w:t>
            </w:r>
          </w:p>
        </w:tc>
        <w:tc>
          <w:tcPr>
            <w:tcW w:w="7488" w:type="dxa"/>
          </w:tcPr>
          <w:p w:rsidR="00B82611" w:rsidRDefault="00B82611" w:rsidP="004E6869">
            <w:pPr>
              <w:pStyle w:val="NoSpacing"/>
              <w:tabs>
                <w:tab w:val="left" w:pos="360"/>
              </w:tabs>
            </w:pPr>
            <w:r>
              <w:t xml:space="preserve">The </w:t>
            </w:r>
            <w:r>
              <w:rPr>
                <w:i/>
              </w:rPr>
              <w:t>Liquor Act 1975</w:t>
            </w:r>
          </w:p>
        </w:tc>
      </w:tr>
      <w:tr w:rsidR="00B82611" w:rsidTr="00B82611">
        <w:tc>
          <w:tcPr>
            <w:tcW w:w="3528" w:type="dxa"/>
          </w:tcPr>
          <w:p w:rsidR="00B82611" w:rsidRDefault="00B82611" w:rsidP="004E6869">
            <w:pPr>
              <w:pStyle w:val="NoSpacing"/>
              <w:tabs>
                <w:tab w:val="left" w:pos="360"/>
              </w:tabs>
            </w:pPr>
            <w:r>
              <w:t>Queensland</w:t>
            </w:r>
          </w:p>
        </w:tc>
        <w:tc>
          <w:tcPr>
            <w:tcW w:w="7488" w:type="dxa"/>
          </w:tcPr>
          <w:p w:rsidR="00B82611" w:rsidRDefault="00B82611" w:rsidP="004E6869">
            <w:pPr>
              <w:pStyle w:val="NoSpacing"/>
              <w:tabs>
                <w:tab w:val="left" w:pos="360"/>
              </w:tabs>
            </w:pPr>
            <w:r>
              <w:t xml:space="preserve">The </w:t>
            </w:r>
            <w:r>
              <w:rPr>
                <w:i/>
              </w:rPr>
              <w:t>Liquor Licensing Act 1977</w:t>
            </w:r>
          </w:p>
        </w:tc>
      </w:tr>
      <w:tr w:rsidR="00B82611" w:rsidTr="00B82611">
        <w:tc>
          <w:tcPr>
            <w:tcW w:w="3528" w:type="dxa"/>
          </w:tcPr>
          <w:p w:rsidR="00B82611" w:rsidRDefault="00B82611" w:rsidP="004E6869">
            <w:pPr>
              <w:pStyle w:val="NoSpacing"/>
              <w:tabs>
                <w:tab w:val="left" w:pos="360"/>
              </w:tabs>
            </w:pPr>
            <w:r w:rsidRPr="00294D75">
              <w:t>South Australia</w:t>
            </w:r>
          </w:p>
        </w:tc>
        <w:tc>
          <w:tcPr>
            <w:tcW w:w="7488" w:type="dxa"/>
          </w:tcPr>
          <w:p w:rsidR="00B82611" w:rsidRDefault="00B82611" w:rsidP="004E6869">
            <w:pPr>
              <w:pStyle w:val="NoSpacing"/>
              <w:tabs>
                <w:tab w:val="left" w:pos="360"/>
              </w:tabs>
            </w:pPr>
            <w:r>
              <w:t xml:space="preserve">The </w:t>
            </w:r>
            <w:r>
              <w:rPr>
                <w:i/>
              </w:rPr>
              <w:t>Liquor and Accommodation Act 1990</w:t>
            </w:r>
          </w:p>
        </w:tc>
      </w:tr>
      <w:tr w:rsidR="00B82611" w:rsidTr="00B82611">
        <w:tc>
          <w:tcPr>
            <w:tcW w:w="3528" w:type="dxa"/>
          </w:tcPr>
          <w:p w:rsidR="00B82611" w:rsidRDefault="00B82611" w:rsidP="004E6869">
            <w:pPr>
              <w:pStyle w:val="NoSpacing"/>
              <w:tabs>
                <w:tab w:val="left" w:pos="360"/>
              </w:tabs>
            </w:pPr>
            <w:r>
              <w:t>Tasmania</w:t>
            </w:r>
          </w:p>
        </w:tc>
        <w:tc>
          <w:tcPr>
            <w:tcW w:w="7488" w:type="dxa"/>
          </w:tcPr>
          <w:p w:rsidR="00B82611" w:rsidRDefault="00B82611" w:rsidP="004E6869">
            <w:pPr>
              <w:pStyle w:val="NoSpacing"/>
              <w:tabs>
                <w:tab w:val="left" w:pos="360"/>
              </w:tabs>
            </w:pPr>
            <w:r>
              <w:t xml:space="preserve">The </w:t>
            </w:r>
            <w:r>
              <w:rPr>
                <w:i/>
              </w:rPr>
              <w:t>Liquor Act 1998</w:t>
            </w:r>
          </w:p>
        </w:tc>
      </w:tr>
      <w:tr w:rsidR="00B82611" w:rsidTr="00B82611">
        <w:tc>
          <w:tcPr>
            <w:tcW w:w="3528" w:type="dxa"/>
          </w:tcPr>
          <w:p w:rsidR="00B82611" w:rsidRDefault="00B82611" w:rsidP="004E6869">
            <w:pPr>
              <w:pStyle w:val="NoSpacing"/>
              <w:tabs>
                <w:tab w:val="left" w:pos="360"/>
              </w:tabs>
            </w:pPr>
            <w:r>
              <w:t>Victoria</w:t>
            </w:r>
          </w:p>
        </w:tc>
        <w:tc>
          <w:tcPr>
            <w:tcW w:w="7488" w:type="dxa"/>
          </w:tcPr>
          <w:p w:rsidR="00B82611" w:rsidRDefault="00B82611" w:rsidP="004E6869">
            <w:pPr>
              <w:pStyle w:val="NoSpacing"/>
              <w:tabs>
                <w:tab w:val="left" w:pos="360"/>
              </w:tabs>
            </w:pPr>
            <w:r>
              <w:t xml:space="preserve">The </w:t>
            </w:r>
            <w:r>
              <w:rPr>
                <w:i/>
              </w:rPr>
              <w:t>Liquor Act 1998</w:t>
            </w:r>
          </w:p>
        </w:tc>
      </w:tr>
    </w:tbl>
    <w:p w:rsidR="00716F2C" w:rsidRDefault="00F67681" w:rsidP="00716F2C">
      <w:pPr>
        <w:pStyle w:val="NoSpacing"/>
        <w:tabs>
          <w:tab w:val="left" w:pos="360"/>
        </w:tabs>
        <w:jc w:val="center"/>
      </w:pPr>
      <w:r>
        <w:t xml:space="preserve">Table 3: Liquor Act is </w:t>
      </w:r>
      <w:r w:rsidRPr="00F811F4">
        <w:t>applied in Australian states and territories</w:t>
      </w:r>
    </w:p>
    <w:p w:rsidR="003B4C34" w:rsidRDefault="003B4C34" w:rsidP="003B4C34">
      <w:pPr>
        <w:pStyle w:val="Heading1"/>
      </w:pPr>
      <w:bookmarkStart w:id="16" w:name="_Toc504905290"/>
      <w:bookmarkStart w:id="17" w:name="_Toc504905617"/>
      <w:r>
        <w:t>Conclusion</w:t>
      </w:r>
      <w:bookmarkEnd w:id="16"/>
      <w:bookmarkEnd w:id="17"/>
      <w:r>
        <w:t xml:space="preserve"> </w:t>
      </w:r>
    </w:p>
    <w:p w:rsidR="00C92716" w:rsidRDefault="00C333DF" w:rsidP="00C333DF">
      <w:pPr>
        <w:pStyle w:val="NoSpacing"/>
        <w:tabs>
          <w:tab w:val="left" w:pos="360"/>
        </w:tabs>
      </w:pPr>
      <w:r>
        <w:tab/>
        <w:t xml:space="preserve">For the competition, </w:t>
      </w:r>
      <w:r w:rsidR="00F3720F">
        <w:t xml:space="preserve">some clubs operated to serve the upper class like the Melbourne Club and the Port Phillip Club in Melbourne, the Union Club and the Tattersall’s Club in Sydney, the </w:t>
      </w:r>
      <w:proofErr w:type="spellStart"/>
      <w:r w:rsidR="00F3720F">
        <w:t>Karrakatta</w:t>
      </w:r>
      <w:proofErr w:type="spellEnd"/>
      <w:r w:rsidR="00F3720F">
        <w:t xml:space="preserve"> Club in Perth and the Alexandra Club in Melbourne</w:t>
      </w:r>
      <w:r w:rsidR="0098167A">
        <w:t>.</w:t>
      </w:r>
      <w:r w:rsidR="0098167A" w:rsidRPr="0098167A">
        <w:t xml:space="preserve"> </w:t>
      </w:r>
      <w:r w:rsidR="0098167A">
        <w:t xml:space="preserve">However, after World War II, the club industry witnessed significant changes due to the demand of alcohol, the appearance of pokies machines to serve the club entertainment. From 1990 to present, there have been establishing the casino in some Australia states and territories and expanding the quantity of gaming machines as well. </w:t>
      </w:r>
    </w:p>
    <w:p w:rsidR="00C92716" w:rsidRDefault="00C92716" w:rsidP="00C92716">
      <w:pPr>
        <w:pStyle w:val="NoSpacing"/>
        <w:tabs>
          <w:tab w:val="left" w:pos="360"/>
        </w:tabs>
      </w:pPr>
      <w:r>
        <w:tab/>
      </w:r>
      <w:r w:rsidR="0098167A">
        <w:t xml:space="preserve">For the environment, </w:t>
      </w:r>
      <w:r w:rsidR="00C333DF">
        <w:t xml:space="preserve">the original clubs were non-profit organization, </w:t>
      </w:r>
      <w:r w:rsidR="0098167A">
        <w:t xml:space="preserve">concerned about </w:t>
      </w:r>
      <w:r w:rsidR="00C333DF">
        <w:t>social and community interests</w:t>
      </w:r>
      <w:r w:rsidR="0098167A">
        <w:t>, limited the number of members</w:t>
      </w:r>
      <w:r>
        <w:t>. After World War II, clubs became serving the middle-class and working-class which providing a range of activities like yacht, bowling, golf, jokey, civic, masonic, musician, recreation and social clubs.</w:t>
      </w:r>
      <w:r w:rsidR="00C267ED">
        <w:t xml:space="preserve"> On the other hands, the increasing quantity of club makes </w:t>
      </w:r>
      <w:r w:rsidR="00B04118">
        <w:t>gamblers tolerate problem gambling in Australia.</w:t>
      </w:r>
    </w:p>
    <w:p w:rsidR="00BE7716" w:rsidRDefault="0019434C" w:rsidP="00C92716">
      <w:pPr>
        <w:pStyle w:val="NoSpacing"/>
        <w:tabs>
          <w:tab w:val="left" w:pos="360"/>
        </w:tabs>
      </w:pPr>
      <w:r>
        <w:tab/>
        <w:t xml:space="preserve">For legislation, </w:t>
      </w:r>
      <w:r w:rsidR="00BE7716">
        <w:t xml:space="preserve">the sources of law imposed by an Act of Parliament </w:t>
      </w:r>
      <w:r w:rsidR="002E6DF1">
        <w:t>and by common law. There are two remarkable legal obligation</w:t>
      </w:r>
      <w:r w:rsidR="00385A94">
        <w:t>s</w:t>
      </w:r>
      <w:r w:rsidR="002E6DF1" w:rsidRPr="002E6DF1">
        <w:t xml:space="preserve"> </w:t>
      </w:r>
      <w:r w:rsidR="002E6DF1">
        <w:t>such as Gaming Machine Acts and Liquor Acts</w:t>
      </w:r>
      <w:r w:rsidR="005562D2">
        <w:t xml:space="preserve"> which are applied in club industry</w:t>
      </w:r>
      <w:r w:rsidR="005749E9">
        <w:t>.</w:t>
      </w:r>
    </w:p>
    <w:p w:rsidR="00C92716" w:rsidRDefault="00C92716"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Default="005562D2" w:rsidP="00C333DF">
      <w:pPr>
        <w:pStyle w:val="NoSpacing"/>
        <w:tabs>
          <w:tab w:val="left" w:pos="360"/>
        </w:tabs>
      </w:pPr>
    </w:p>
    <w:p w:rsidR="005562D2" w:rsidRPr="00716F2C" w:rsidRDefault="005562D2" w:rsidP="00C333DF">
      <w:pPr>
        <w:pStyle w:val="NoSpacing"/>
        <w:tabs>
          <w:tab w:val="left" w:pos="360"/>
        </w:tabs>
      </w:pPr>
    </w:p>
    <w:p w:rsidR="00B14FC6" w:rsidRDefault="007F7287" w:rsidP="007F7287">
      <w:pPr>
        <w:pStyle w:val="NoSpacing"/>
        <w:jc w:val="center"/>
        <w:rPr>
          <w:b/>
        </w:rPr>
      </w:pPr>
      <w:r w:rsidRPr="007F7287">
        <w:rPr>
          <w:b/>
        </w:rPr>
        <w:lastRenderedPageBreak/>
        <w:t>REFERENCES</w:t>
      </w:r>
    </w:p>
    <w:p w:rsidR="00AC01F4" w:rsidRPr="00BD5A2D" w:rsidRDefault="00BD5A2D" w:rsidP="00BD5A2D">
      <w:pPr>
        <w:pStyle w:val="NoSpacing"/>
      </w:pPr>
      <w:r w:rsidRPr="00BD5A2D">
        <w:t xml:space="preserve">Australia's </w:t>
      </w:r>
      <w:r w:rsidR="00590FB1" w:rsidRPr="00BD5A2D">
        <w:t>Gambling Industries</w:t>
      </w:r>
      <w:r w:rsidRPr="00BD5A2D">
        <w:t xml:space="preserve">. (1999). </w:t>
      </w:r>
      <w:proofErr w:type="spellStart"/>
      <w:r w:rsidRPr="00BD5A2D">
        <w:t>Belconnen</w:t>
      </w:r>
      <w:proofErr w:type="spellEnd"/>
      <w:r w:rsidRPr="00BD5A2D">
        <w:t>, ACT.</w:t>
      </w:r>
    </w:p>
    <w:p w:rsidR="00BD5A2D" w:rsidRDefault="00BD5A2D" w:rsidP="005749E9">
      <w:pPr>
        <w:pStyle w:val="NoSpacing"/>
      </w:pPr>
    </w:p>
    <w:p w:rsidR="00AC01F4" w:rsidRDefault="00AC01F4" w:rsidP="00AC01F4">
      <w:pPr>
        <w:pStyle w:val="NoSpacing"/>
      </w:pPr>
      <w:r w:rsidRPr="00AC01F4">
        <w:t>Caldwell, G.</w:t>
      </w:r>
      <w:r>
        <w:t xml:space="preserve"> (</w:t>
      </w:r>
      <w:proofErr w:type="spellStart"/>
      <w:r>
        <w:t>n.d</w:t>
      </w:r>
      <w:proofErr w:type="spellEnd"/>
      <w:r>
        <w:t xml:space="preserve">). </w:t>
      </w:r>
      <w:r w:rsidRPr="00AC01F4">
        <w:t> </w:t>
      </w:r>
      <w:r w:rsidRPr="00AC01F4">
        <w:rPr>
          <w:i/>
        </w:rPr>
        <w:t>Leisure co-operatives</w:t>
      </w:r>
      <w:r w:rsidRPr="00AC01F4">
        <w:t>. Canberra: Australian National University.</w:t>
      </w:r>
    </w:p>
    <w:p w:rsidR="001B3C6F" w:rsidRPr="00AC01F4" w:rsidRDefault="001B3C6F" w:rsidP="00AC01F4">
      <w:pPr>
        <w:pStyle w:val="NoSpacing"/>
      </w:pPr>
    </w:p>
    <w:p w:rsidR="001B3C6F" w:rsidRPr="001B3C6F" w:rsidRDefault="001B3C6F" w:rsidP="001B3C6F">
      <w:pPr>
        <w:pStyle w:val="NoSpacing"/>
      </w:pPr>
      <w:r>
        <w:t>City Tattersall's Club</w:t>
      </w:r>
      <w:r w:rsidR="000D19C1">
        <w:t>.</w:t>
      </w:r>
      <w:r>
        <w:t xml:space="preserve"> (1971). </w:t>
      </w:r>
      <w:r w:rsidRPr="001B3C6F">
        <w:rPr>
          <w:i/>
        </w:rPr>
        <w:t>Seventy-five years 1895-1970</w:t>
      </w:r>
      <w:r>
        <w:t xml:space="preserve">. </w:t>
      </w:r>
      <w:r w:rsidRPr="001B3C6F">
        <w:t>Sydney, N.S.W.</w:t>
      </w:r>
    </w:p>
    <w:p w:rsidR="000C0D92" w:rsidRDefault="000C0D92" w:rsidP="008368B1">
      <w:pPr>
        <w:pStyle w:val="NoSpacing"/>
        <w:jc w:val="left"/>
      </w:pPr>
    </w:p>
    <w:p w:rsidR="008368B1" w:rsidRDefault="008368B1" w:rsidP="008368B1">
      <w:pPr>
        <w:pStyle w:val="NoSpacing"/>
        <w:jc w:val="left"/>
      </w:pPr>
      <w:r w:rsidRPr="008368B1">
        <w:t xml:space="preserve">Clarissa </w:t>
      </w:r>
      <w:proofErr w:type="spellStart"/>
      <w:r w:rsidRPr="008368B1">
        <w:t>Sebag</w:t>
      </w:r>
      <w:proofErr w:type="spellEnd"/>
      <w:r w:rsidRPr="008368B1">
        <w:t>-Montefiore, C. (2018). </w:t>
      </w:r>
      <w:r w:rsidRPr="00AC01F4">
        <w:rPr>
          <w:i/>
        </w:rPr>
        <w:t>Why Australia has a serious gambling problem</w:t>
      </w:r>
      <w:r w:rsidRPr="008368B1">
        <w:t xml:space="preserve">. CNN. Retrieved 27 </w:t>
      </w:r>
      <w:r w:rsidR="00AC01F4">
        <w:tab/>
      </w:r>
      <w:r w:rsidRPr="008368B1">
        <w:t xml:space="preserve">January 2018, from </w:t>
      </w:r>
      <w:hyperlink r:id="rId11" w:history="1">
        <w:r w:rsidR="00AC01F4" w:rsidRPr="00606B14">
          <w:rPr>
            <w:rStyle w:val="Hyperlink"/>
          </w:rPr>
          <w:t>http://edition.cnn.com/2017/08/28/health/australia-gambling-addiction-poker-slot-</w:t>
        </w:r>
        <w:r w:rsidR="00AC01F4" w:rsidRPr="00AC01F4">
          <w:rPr>
            <w:rStyle w:val="Hyperlink"/>
            <w:u w:val="none"/>
          </w:rPr>
          <w:tab/>
        </w:r>
        <w:r w:rsidR="00AC01F4" w:rsidRPr="00606B14">
          <w:rPr>
            <w:rStyle w:val="Hyperlink"/>
          </w:rPr>
          <w:t>machines/index.html</w:t>
        </w:r>
      </w:hyperlink>
      <w:r>
        <w:t xml:space="preserve"> </w:t>
      </w:r>
    </w:p>
    <w:p w:rsidR="00AC01F4" w:rsidRDefault="00AC01F4" w:rsidP="008368B1">
      <w:pPr>
        <w:pStyle w:val="NoSpacing"/>
        <w:jc w:val="left"/>
      </w:pPr>
    </w:p>
    <w:p w:rsidR="00AC01F4" w:rsidRDefault="00AC01F4" w:rsidP="00AC01F4">
      <w:pPr>
        <w:pStyle w:val="NoSpacing"/>
      </w:pPr>
      <w:r w:rsidRPr="005749E9">
        <w:t xml:space="preserve">Clubs, pubs, taverns and bars, Australia, 1997-98. (1999). </w:t>
      </w:r>
      <w:proofErr w:type="spellStart"/>
      <w:r w:rsidRPr="005749E9">
        <w:t>Belconnen</w:t>
      </w:r>
      <w:proofErr w:type="spellEnd"/>
      <w:r w:rsidRPr="005749E9">
        <w:t>, ACT.</w:t>
      </w:r>
    </w:p>
    <w:p w:rsidR="008368B1" w:rsidRDefault="008368B1" w:rsidP="00954128">
      <w:pPr>
        <w:pStyle w:val="NoSpacing"/>
        <w:jc w:val="left"/>
      </w:pPr>
    </w:p>
    <w:p w:rsidR="00943020" w:rsidRDefault="0051765C" w:rsidP="00954128">
      <w:pPr>
        <w:pStyle w:val="NoSpacing"/>
        <w:jc w:val="left"/>
      </w:pPr>
      <w:r>
        <w:t>Clubs Australia</w:t>
      </w:r>
      <w:r w:rsidR="00943020">
        <w:t xml:space="preserve">. (2015). Retrieved from: </w:t>
      </w:r>
      <w:hyperlink r:id="rId12" w:history="1">
        <w:r w:rsidRPr="00606B14">
          <w:rPr>
            <w:rStyle w:val="Hyperlink"/>
          </w:rPr>
          <w:t>www.clubsaustralia.com.au/knowledge-centre/research-and-trends</w:t>
        </w:r>
      </w:hyperlink>
      <w:r w:rsidR="00943020">
        <w:t xml:space="preserve"> </w:t>
      </w:r>
    </w:p>
    <w:p w:rsidR="00943020" w:rsidRPr="00943020" w:rsidRDefault="00943020" w:rsidP="00954128">
      <w:pPr>
        <w:pStyle w:val="NoSpacing"/>
        <w:jc w:val="left"/>
      </w:pPr>
    </w:p>
    <w:p w:rsidR="00BF7C09" w:rsidRDefault="002C6FD1" w:rsidP="002C6FD1">
      <w:pPr>
        <w:pStyle w:val="NoSpacing"/>
      </w:pPr>
      <w:proofErr w:type="spellStart"/>
      <w:r w:rsidRPr="002C6FD1">
        <w:t>Cumes</w:t>
      </w:r>
      <w:proofErr w:type="spellEnd"/>
      <w:r w:rsidRPr="002C6FD1">
        <w:t>, J. (1979). </w:t>
      </w:r>
      <w:r w:rsidRPr="002C6FD1">
        <w:rPr>
          <w:i/>
        </w:rPr>
        <w:t>Their chastity was not too rigid</w:t>
      </w:r>
      <w:r w:rsidRPr="002C6FD1">
        <w:t>. Melbourne: Longman Cheshire.</w:t>
      </w:r>
    </w:p>
    <w:p w:rsidR="00DE7EBD" w:rsidRDefault="00DE7EBD" w:rsidP="002C6FD1">
      <w:pPr>
        <w:pStyle w:val="NoSpacing"/>
      </w:pPr>
    </w:p>
    <w:p w:rsidR="00DD72F5" w:rsidRPr="00BD5A2D" w:rsidRDefault="00DE7EBD" w:rsidP="00DE7EBD">
      <w:pPr>
        <w:pStyle w:val="NoSpacing"/>
      </w:pPr>
      <w:proofErr w:type="spellStart"/>
      <w:r w:rsidRPr="00BD5A2D">
        <w:t>Hing</w:t>
      </w:r>
      <w:proofErr w:type="spellEnd"/>
      <w:r w:rsidRPr="00BD5A2D">
        <w:t>, N., Breen, H., &amp; Weeks, P. (2002). </w:t>
      </w:r>
      <w:r w:rsidRPr="00BD5A2D">
        <w:rPr>
          <w:i/>
        </w:rPr>
        <w:t>Club management in Australia</w:t>
      </w:r>
      <w:r w:rsidRPr="00BD5A2D">
        <w:t>. Australia: Hospitality.</w:t>
      </w:r>
    </w:p>
    <w:p w:rsidR="00DE7EBD" w:rsidRPr="00BD5A2D" w:rsidRDefault="00DE7EBD" w:rsidP="00DE7EBD">
      <w:pPr>
        <w:pStyle w:val="NoSpacing"/>
      </w:pPr>
    </w:p>
    <w:p w:rsidR="001B38FC" w:rsidRPr="001B38FC" w:rsidRDefault="001B38FC" w:rsidP="001B38FC">
      <w:pPr>
        <w:pStyle w:val="NoSpacing"/>
      </w:pPr>
      <w:proofErr w:type="spellStart"/>
      <w:r w:rsidRPr="00BD5A2D">
        <w:t>Hing</w:t>
      </w:r>
      <w:proofErr w:type="spellEnd"/>
      <w:r w:rsidRPr="001B38FC">
        <w:t>, N. (2018). </w:t>
      </w:r>
      <w:r w:rsidRPr="001B38FC">
        <w:rPr>
          <w:i/>
        </w:rPr>
        <w:t>A History of Machine Gambling in the NSW Club Industry</w:t>
      </w:r>
      <w:r w:rsidRPr="001B38FC">
        <w:t>. Retrieved 27 January 2018, from</w:t>
      </w:r>
    </w:p>
    <w:p w:rsidR="00674BB5" w:rsidRDefault="001B38FC" w:rsidP="00DD72F5">
      <w:pPr>
        <w:pStyle w:val="NoSpacing"/>
      </w:pPr>
      <w:r>
        <w:tab/>
      </w:r>
      <w:hyperlink r:id="rId13" w:history="1">
        <w:r w:rsidR="008368B1" w:rsidRPr="009F5FDA">
          <w:rPr>
            <w:rStyle w:val="Hyperlink"/>
          </w:rPr>
          <w:t>http://dx.doi.org/10.1300/j149v07n02_05</w:t>
        </w:r>
      </w:hyperlink>
      <w:r w:rsidR="008368B1">
        <w:t xml:space="preserve">  </w:t>
      </w:r>
    </w:p>
    <w:p w:rsidR="007D1AEA" w:rsidRDefault="007D1AEA" w:rsidP="00DD72F5">
      <w:pPr>
        <w:pStyle w:val="NoSpacing"/>
      </w:pPr>
    </w:p>
    <w:p w:rsidR="007D1AEA" w:rsidRPr="007D1AEA" w:rsidRDefault="007D1AEA" w:rsidP="007D1AEA">
      <w:pPr>
        <w:pStyle w:val="NoSpacing"/>
      </w:pPr>
      <w:r>
        <w:t>Registered Clubs Association.</w:t>
      </w:r>
      <w:r w:rsidRPr="007D1AEA">
        <w:t xml:space="preserve"> </w:t>
      </w:r>
      <w:r>
        <w:t>(</w:t>
      </w:r>
      <w:proofErr w:type="spellStart"/>
      <w:r w:rsidRPr="007D1AEA">
        <w:t>n.d.</w:t>
      </w:r>
      <w:proofErr w:type="spellEnd"/>
      <w:r w:rsidRPr="007D1AEA">
        <w:t>). Registered Clubs Association.</w:t>
      </w:r>
    </w:p>
    <w:p w:rsidR="002C2203" w:rsidRPr="00DD72F5" w:rsidRDefault="002C2203" w:rsidP="00DD72F5">
      <w:pPr>
        <w:pStyle w:val="NoSpacing"/>
      </w:pPr>
    </w:p>
    <w:p w:rsidR="00E743A5" w:rsidRPr="002C2203" w:rsidRDefault="002C2203" w:rsidP="002C2203">
      <w:pPr>
        <w:pStyle w:val="NoSpacing"/>
      </w:pPr>
      <w:r w:rsidRPr="002C2203">
        <w:t xml:space="preserve">Report </w:t>
      </w:r>
      <w:r>
        <w:t>On Gaming Machine Concerns a</w:t>
      </w:r>
      <w:r w:rsidRPr="002C2203">
        <w:t>nd Regulations. (1990). [Brisbane].</w:t>
      </w:r>
    </w:p>
    <w:p w:rsidR="005F26C5" w:rsidRDefault="005F26C5" w:rsidP="00954128">
      <w:pPr>
        <w:pStyle w:val="NoSpacing"/>
        <w:jc w:val="left"/>
      </w:pPr>
    </w:p>
    <w:p w:rsidR="00231C64" w:rsidRDefault="005F26C5" w:rsidP="00954128">
      <w:pPr>
        <w:pStyle w:val="NoSpacing"/>
        <w:jc w:val="left"/>
      </w:pPr>
      <w:r>
        <w:t xml:space="preserve">Safi, M. (2014). </w:t>
      </w:r>
      <w:r>
        <w:rPr>
          <w:i/>
        </w:rPr>
        <w:t>Gaming Machine Count Puts NSW Second in The World.</w:t>
      </w:r>
      <w:r>
        <w:t xml:space="preserve"> Retrieved from: </w:t>
      </w:r>
      <w:r>
        <w:tab/>
      </w:r>
      <w:hyperlink r:id="rId14" w:history="1">
        <w:r w:rsidRPr="00094E97">
          <w:rPr>
            <w:rStyle w:val="Hyperlink"/>
          </w:rPr>
          <w:t>https://www.theguardian.com/world/2014/mar/24/gaming-machine-count-puts-nsw-second-in-the-</w:t>
        </w:r>
        <w:r w:rsidRPr="005F26C5">
          <w:rPr>
            <w:rStyle w:val="Hyperlink"/>
            <w:u w:val="none"/>
          </w:rPr>
          <w:tab/>
        </w:r>
        <w:r w:rsidRPr="00094E97">
          <w:rPr>
            <w:rStyle w:val="Hyperlink"/>
          </w:rPr>
          <w:t>world</w:t>
        </w:r>
      </w:hyperlink>
      <w:r>
        <w:t xml:space="preserve"> </w:t>
      </w:r>
    </w:p>
    <w:p w:rsidR="00875D4E" w:rsidRDefault="00875D4E" w:rsidP="00954128">
      <w:pPr>
        <w:pStyle w:val="NoSpacing"/>
        <w:jc w:val="left"/>
      </w:pPr>
    </w:p>
    <w:p w:rsidR="005F26C5" w:rsidRPr="00875D4E" w:rsidRDefault="00875D4E" w:rsidP="00875D4E">
      <w:pPr>
        <w:pStyle w:val="NoSpacing"/>
      </w:pPr>
      <w:proofErr w:type="spellStart"/>
      <w:r w:rsidRPr="00875D4E">
        <w:t>Tildesley</w:t>
      </w:r>
      <w:proofErr w:type="spellEnd"/>
      <w:r w:rsidRPr="00875D4E">
        <w:t>, E. (1970). </w:t>
      </w:r>
      <w:r w:rsidRPr="00875D4E">
        <w:rPr>
          <w:i/>
        </w:rPr>
        <w:t>A history of the Queen's Club</w:t>
      </w:r>
      <w:r w:rsidRPr="00875D4E">
        <w:t>. [Sydney]: [Queen's Club].</w:t>
      </w:r>
    </w:p>
    <w:p w:rsidR="00C34F83" w:rsidRDefault="00C34F83" w:rsidP="00954128">
      <w:pPr>
        <w:pStyle w:val="NoSpacing"/>
        <w:jc w:val="left"/>
      </w:pPr>
    </w:p>
    <w:p w:rsidR="00546380" w:rsidRPr="002048BA" w:rsidRDefault="00546380" w:rsidP="00954128">
      <w:pPr>
        <w:pStyle w:val="NoSpacing"/>
        <w:jc w:val="left"/>
      </w:pPr>
      <w:r w:rsidRPr="002048BA">
        <w:t xml:space="preserve">Wilcox, M. (1983). </w:t>
      </w:r>
      <w:r w:rsidRPr="002048BA">
        <w:rPr>
          <w:i/>
        </w:rPr>
        <w:t xml:space="preserve">Report of Board of Inquiry into Poker Machines. </w:t>
      </w:r>
      <w:r w:rsidRPr="002048BA">
        <w:t>Victorian Government Printer, Melbourne.</w:t>
      </w:r>
    </w:p>
    <w:p w:rsidR="00546380" w:rsidRPr="00875D4E" w:rsidRDefault="00546380" w:rsidP="00954128">
      <w:pPr>
        <w:pStyle w:val="NoSpacing"/>
        <w:jc w:val="left"/>
        <w:rPr>
          <w:b/>
        </w:rPr>
      </w:pPr>
    </w:p>
    <w:p w:rsidR="00E142DC" w:rsidRPr="002048BA" w:rsidRDefault="002048BA" w:rsidP="00954128">
      <w:pPr>
        <w:pStyle w:val="NoSpacing"/>
        <w:jc w:val="left"/>
      </w:pPr>
      <w:r w:rsidRPr="002048BA">
        <w:t>Williams, J.</w:t>
      </w:r>
      <w:r w:rsidR="00C34F83" w:rsidRPr="002048BA">
        <w:t xml:space="preserve"> (1938). </w:t>
      </w:r>
      <w:r w:rsidR="00C34F83" w:rsidRPr="002048BA">
        <w:rPr>
          <w:i/>
        </w:rPr>
        <w:t>Australian Club Centenary 1938</w:t>
      </w:r>
      <w:r w:rsidR="00C34F83" w:rsidRPr="002048BA">
        <w:t>. John Andrew &amp; Co. Printers, Sydney.</w:t>
      </w:r>
      <w:r>
        <w:t xml:space="preserve"> </w:t>
      </w:r>
      <w:r w:rsidR="00E142DC" w:rsidRPr="002048BA">
        <w:t xml:space="preserve">Environment: </w:t>
      </w:r>
      <w:r w:rsidR="008E1286">
        <w:tab/>
      </w:r>
      <w:r w:rsidR="00E142DC" w:rsidRPr="002048BA">
        <w:t>current &amp; social gambling</w:t>
      </w:r>
    </w:p>
    <w:p w:rsidR="00E77736" w:rsidRPr="00875D4E" w:rsidRDefault="00E77736" w:rsidP="00954128">
      <w:pPr>
        <w:pStyle w:val="NoSpacing"/>
        <w:jc w:val="left"/>
        <w:rPr>
          <w:b/>
        </w:rPr>
      </w:pPr>
    </w:p>
    <w:sectPr w:rsidR="00E77736" w:rsidRPr="00875D4E">
      <w:footerReference w:type="default" r:id="rId15"/>
      <w:type w:val="continuous"/>
      <w:pgSz w:w="11900" w:h="16840"/>
      <w:pgMar w:top="620" w:right="3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2BF" w:rsidRDefault="001462BF" w:rsidP="005F29A4">
      <w:r>
        <w:separator/>
      </w:r>
    </w:p>
  </w:endnote>
  <w:endnote w:type="continuationSeparator" w:id="0">
    <w:p w:rsidR="001462BF" w:rsidRDefault="001462BF" w:rsidP="005F2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A4" w:rsidRDefault="005F29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2BF" w:rsidRDefault="001462BF" w:rsidP="005F29A4">
      <w:r>
        <w:separator/>
      </w:r>
    </w:p>
  </w:footnote>
  <w:footnote w:type="continuationSeparator" w:id="0">
    <w:p w:rsidR="001462BF" w:rsidRDefault="001462BF" w:rsidP="005F29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30EC7"/>
    <w:multiLevelType w:val="multilevel"/>
    <w:tmpl w:val="9496C59E"/>
    <w:lvl w:ilvl="0">
      <w:start w:val="1"/>
      <w:numFmt w:val="decimal"/>
      <w:pStyle w:val="Heading3"/>
      <w:suff w:val="space"/>
      <w:lvlText w:val="2.%1."/>
      <w:lvlJc w:val="left"/>
      <w:pPr>
        <w:ind w:left="360" w:hanging="360"/>
      </w:pPr>
      <w:rPr>
        <w:rFonts w:ascii="Times New Roman" w:hAnsi="Times New Roman" w:hint="default"/>
        <w:b/>
        <w:i w:val="0"/>
        <w:sz w:val="24"/>
      </w:rPr>
    </w:lvl>
    <w:lvl w:ilvl="1">
      <w:start w:val="1"/>
      <w:numFmt w:val="decimal"/>
      <w:pStyle w:val="Heading4"/>
      <w:suff w:val="space"/>
      <w:lvlText w:val="2.2.%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none"/>
      <w:suff w:val="space"/>
      <w:lvlText w:val="2.2.1"/>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2617F59"/>
    <w:multiLevelType w:val="hybridMultilevel"/>
    <w:tmpl w:val="04C8C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084A76"/>
    <w:multiLevelType w:val="hybridMultilevel"/>
    <w:tmpl w:val="AA9C9772"/>
    <w:lvl w:ilvl="0" w:tplc="58F65B86">
      <w:start w:val="1"/>
      <w:numFmt w:val="decimal"/>
      <w:lvlText w:val="%1."/>
      <w:lvlJc w:val="left"/>
      <w:pPr>
        <w:ind w:left="566" w:hanging="459"/>
      </w:pPr>
      <w:rPr>
        <w:rFonts w:ascii="Arial" w:eastAsia="Arial" w:hAnsi="Arial" w:cs="Arial" w:hint="default"/>
        <w:spacing w:val="-4"/>
        <w:w w:val="99"/>
        <w:sz w:val="18"/>
        <w:szCs w:val="18"/>
        <w:lang w:val="en-US" w:eastAsia="en-US" w:bidi="en-US"/>
      </w:rPr>
    </w:lvl>
    <w:lvl w:ilvl="1" w:tplc="B4B2BD2E">
      <w:numFmt w:val="bullet"/>
      <w:lvlText w:val="•"/>
      <w:lvlJc w:val="left"/>
      <w:pPr>
        <w:ind w:left="1538" w:hanging="459"/>
      </w:pPr>
      <w:rPr>
        <w:rFonts w:hint="default"/>
        <w:lang w:val="en-US" w:eastAsia="en-US" w:bidi="en-US"/>
      </w:rPr>
    </w:lvl>
    <w:lvl w:ilvl="2" w:tplc="307C4EE0">
      <w:numFmt w:val="bullet"/>
      <w:lvlText w:val="•"/>
      <w:lvlJc w:val="left"/>
      <w:pPr>
        <w:ind w:left="2516" w:hanging="459"/>
      </w:pPr>
      <w:rPr>
        <w:rFonts w:hint="default"/>
        <w:lang w:val="en-US" w:eastAsia="en-US" w:bidi="en-US"/>
      </w:rPr>
    </w:lvl>
    <w:lvl w:ilvl="3" w:tplc="79787F50">
      <w:numFmt w:val="bullet"/>
      <w:lvlText w:val="•"/>
      <w:lvlJc w:val="left"/>
      <w:pPr>
        <w:ind w:left="3494" w:hanging="459"/>
      </w:pPr>
      <w:rPr>
        <w:rFonts w:hint="default"/>
        <w:lang w:val="en-US" w:eastAsia="en-US" w:bidi="en-US"/>
      </w:rPr>
    </w:lvl>
    <w:lvl w:ilvl="4" w:tplc="C184A000">
      <w:numFmt w:val="bullet"/>
      <w:lvlText w:val="•"/>
      <w:lvlJc w:val="left"/>
      <w:pPr>
        <w:ind w:left="4472" w:hanging="459"/>
      </w:pPr>
      <w:rPr>
        <w:rFonts w:hint="default"/>
        <w:lang w:val="en-US" w:eastAsia="en-US" w:bidi="en-US"/>
      </w:rPr>
    </w:lvl>
    <w:lvl w:ilvl="5" w:tplc="96F6E908">
      <w:numFmt w:val="bullet"/>
      <w:lvlText w:val="•"/>
      <w:lvlJc w:val="left"/>
      <w:pPr>
        <w:ind w:left="5450" w:hanging="459"/>
      </w:pPr>
      <w:rPr>
        <w:rFonts w:hint="default"/>
        <w:lang w:val="en-US" w:eastAsia="en-US" w:bidi="en-US"/>
      </w:rPr>
    </w:lvl>
    <w:lvl w:ilvl="6" w:tplc="721C3E18">
      <w:numFmt w:val="bullet"/>
      <w:lvlText w:val="•"/>
      <w:lvlJc w:val="left"/>
      <w:pPr>
        <w:ind w:left="6428" w:hanging="459"/>
      </w:pPr>
      <w:rPr>
        <w:rFonts w:hint="default"/>
        <w:lang w:val="en-US" w:eastAsia="en-US" w:bidi="en-US"/>
      </w:rPr>
    </w:lvl>
    <w:lvl w:ilvl="7" w:tplc="85881324">
      <w:numFmt w:val="bullet"/>
      <w:lvlText w:val="•"/>
      <w:lvlJc w:val="left"/>
      <w:pPr>
        <w:ind w:left="7406" w:hanging="459"/>
      </w:pPr>
      <w:rPr>
        <w:rFonts w:hint="default"/>
        <w:lang w:val="en-US" w:eastAsia="en-US" w:bidi="en-US"/>
      </w:rPr>
    </w:lvl>
    <w:lvl w:ilvl="8" w:tplc="915E33EA">
      <w:numFmt w:val="bullet"/>
      <w:lvlText w:val="•"/>
      <w:lvlJc w:val="left"/>
      <w:pPr>
        <w:ind w:left="8384" w:hanging="459"/>
      </w:pPr>
      <w:rPr>
        <w:rFonts w:hint="default"/>
        <w:lang w:val="en-US" w:eastAsia="en-US" w:bidi="en-US"/>
      </w:rPr>
    </w:lvl>
  </w:abstractNum>
  <w:abstractNum w:abstractNumId="3" w15:restartNumberingAfterBreak="0">
    <w:nsid w:val="3DB056CA"/>
    <w:multiLevelType w:val="hybridMultilevel"/>
    <w:tmpl w:val="A82AC34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45CC68B4"/>
    <w:multiLevelType w:val="multilevel"/>
    <w:tmpl w:val="0409001D"/>
    <w:styleLink w:val="Style1"/>
    <w:lvl w:ilvl="0">
      <w:start w:val="1"/>
      <w:numFmt w:val="decimal"/>
      <w:lvlText w:val="%1)"/>
      <w:lvlJc w:val="left"/>
      <w:pPr>
        <w:ind w:left="360" w:hanging="360"/>
      </w:pPr>
      <w:rPr>
        <w:rFonts w:ascii="Calibri" w:hAnsi="Calibri"/>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FF5BA5"/>
    <w:multiLevelType w:val="multilevel"/>
    <w:tmpl w:val="38F2218C"/>
    <w:lvl w:ilvl="0">
      <w:start w:val="1"/>
      <w:numFmt w:val="decimal"/>
      <w:suff w:val="space"/>
      <w:lvlText w:val="2.%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04C71E8"/>
    <w:multiLevelType w:val="multilevel"/>
    <w:tmpl w:val="A816BD80"/>
    <w:lvl w:ilvl="0">
      <w:start w:val="1"/>
      <w:numFmt w:val="decimal"/>
      <w:pStyle w:val="Heading1"/>
      <w:suff w:val="space"/>
      <w:lvlText w:val="%1."/>
      <w:lvlJc w:val="left"/>
      <w:pPr>
        <w:ind w:left="720" w:hanging="720"/>
      </w:pPr>
      <w:rPr>
        <w:rFonts w:ascii="Times New Roman" w:hAnsi="Times New Roman" w:hint="default"/>
        <w:b/>
        <w:i w:val="0"/>
        <w:sz w:val="24"/>
      </w:rPr>
    </w:lvl>
    <w:lvl w:ilvl="1">
      <w:start w:val="1"/>
      <w:numFmt w:val="decimal"/>
      <w:pStyle w:val="Heading2"/>
      <w:suff w:val="space"/>
      <w:lvlText w:val="2.%2."/>
      <w:lvlJc w:val="left"/>
      <w:pPr>
        <w:ind w:left="720" w:hanging="360"/>
      </w:pPr>
      <w:rPr>
        <w:rFonts w:ascii="Calibri" w:hAnsi="Calibri"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3"/>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04596F"/>
    <w:rsid w:val="00025213"/>
    <w:rsid w:val="00033780"/>
    <w:rsid w:val="000441C9"/>
    <w:rsid w:val="0004596F"/>
    <w:rsid w:val="00056195"/>
    <w:rsid w:val="00063799"/>
    <w:rsid w:val="000668F3"/>
    <w:rsid w:val="00081598"/>
    <w:rsid w:val="000A7FF4"/>
    <w:rsid w:val="000C0D92"/>
    <w:rsid w:val="000C235E"/>
    <w:rsid w:val="000C40E9"/>
    <w:rsid w:val="000D19C1"/>
    <w:rsid w:val="000D6D1E"/>
    <w:rsid w:val="000F40EE"/>
    <w:rsid w:val="001462BF"/>
    <w:rsid w:val="0015108F"/>
    <w:rsid w:val="00152FB0"/>
    <w:rsid w:val="0016301F"/>
    <w:rsid w:val="0017114C"/>
    <w:rsid w:val="00185065"/>
    <w:rsid w:val="00185452"/>
    <w:rsid w:val="00190E1E"/>
    <w:rsid w:val="0019434C"/>
    <w:rsid w:val="001B06FD"/>
    <w:rsid w:val="001B320A"/>
    <w:rsid w:val="001B38FC"/>
    <w:rsid w:val="001B3C6F"/>
    <w:rsid w:val="001B4BDD"/>
    <w:rsid w:val="001D482D"/>
    <w:rsid w:val="001F19D0"/>
    <w:rsid w:val="001F1F88"/>
    <w:rsid w:val="002048BA"/>
    <w:rsid w:val="002054E0"/>
    <w:rsid w:val="00231C64"/>
    <w:rsid w:val="00250265"/>
    <w:rsid w:val="002618A7"/>
    <w:rsid w:val="00294D75"/>
    <w:rsid w:val="002C2203"/>
    <w:rsid w:val="002C242A"/>
    <w:rsid w:val="002C6FD1"/>
    <w:rsid w:val="002D7299"/>
    <w:rsid w:val="002E5487"/>
    <w:rsid w:val="002E6DF1"/>
    <w:rsid w:val="00303690"/>
    <w:rsid w:val="0031064C"/>
    <w:rsid w:val="003452A2"/>
    <w:rsid w:val="00363CC5"/>
    <w:rsid w:val="00363E74"/>
    <w:rsid w:val="00366ECE"/>
    <w:rsid w:val="00367BCE"/>
    <w:rsid w:val="003715AE"/>
    <w:rsid w:val="00385A94"/>
    <w:rsid w:val="00386212"/>
    <w:rsid w:val="003B4C34"/>
    <w:rsid w:val="003C05F6"/>
    <w:rsid w:val="003C0D21"/>
    <w:rsid w:val="004101E4"/>
    <w:rsid w:val="0041660B"/>
    <w:rsid w:val="00434F43"/>
    <w:rsid w:val="004847AC"/>
    <w:rsid w:val="004B16F6"/>
    <w:rsid w:val="004B2D4E"/>
    <w:rsid w:val="004E2BE3"/>
    <w:rsid w:val="004E6869"/>
    <w:rsid w:val="004F49A0"/>
    <w:rsid w:val="00510DEB"/>
    <w:rsid w:val="0051627D"/>
    <w:rsid w:val="0051765C"/>
    <w:rsid w:val="00546380"/>
    <w:rsid w:val="005562D2"/>
    <w:rsid w:val="005749E9"/>
    <w:rsid w:val="0058595D"/>
    <w:rsid w:val="00590FB1"/>
    <w:rsid w:val="005B2488"/>
    <w:rsid w:val="005B5E09"/>
    <w:rsid w:val="005D271E"/>
    <w:rsid w:val="005E4D9A"/>
    <w:rsid w:val="005E4DA5"/>
    <w:rsid w:val="005F26C5"/>
    <w:rsid w:val="005F29A4"/>
    <w:rsid w:val="0060540D"/>
    <w:rsid w:val="0062415A"/>
    <w:rsid w:val="00666199"/>
    <w:rsid w:val="00674BB5"/>
    <w:rsid w:val="0068445C"/>
    <w:rsid w:val="006A03D5"/>
    <w:rsid w:val="006B1929"/>
    <w:rsid w:val="006B710E"/>
    <w:rsid w:val="006C5A18"/>
    <w:rsid w:val="006D52B8"/>
    <w:rsid w:val="006E634C"/>
    <w:rsid w:val="00715100"/>
    <w:rsid w:val="00716F2C"/>
    <w:rsid w:val="00724F7D"/>
    <w:rsid w:val="00725ED3"/>
    <w:rsid w:val="007403EE"/>
    <w:rsid w:val="007541A9"/>
    <w:rsid w:val="007659AA"/>
    <w:rsid w:val="0079461F"/>
    <w:rsid w:val="007D1AEA"/>
    <w:rsid w:val="007E71C5"/>
    <w:rsid w:val="007F7287"/>
    <w:rsid w:val="008200FE"/>
    <w:rsid w:val="00820FF3"/>
    <w:rsid w:val="00827916"/>
    <w:rsid w:val="008368B1"/>
    <w:rsid w:val="00850FC1"/>
    <w:rsid w:val="0085686C"/>
    <w:rsid w:val="00862369"/>
    <w:rsid w:val="00865535"/>
    <w:rsid w:val="00875D4E"/>
    <w:rsid w:val="008C3911"/>
    <w:rsid w:val="008E1286"/>
    <w:rsid w:val="00901DD2"/>
    <w:rsid w:val="00902BA7"/>
    <w:rsid w:val="00920C9D"/>
    <w:rsid w:val="00943020"/>
    <w:rsid w:val="009441C0"/>
    <w:rsid w:val="00954128"/>
    <w:rsid w:val="0095495C"/>
    <w:rsid w:val="00962E57"/>
    <w:rsid w:val="00966BF5"/>
    <w:rsid w:val="00971CE4"/>
    <w:rsid w:val="00971D4B"/>
    <w:rsid w:val="00972C77"/>
    <w:rsid w:val="00980BB3"/>
    <w:rsid w:val="0098167A"/>
    <w:rsid w:val="009843CE"/>
    <w:rsid w:val="00991243"/>
    <w:rsid w:val="00995CC2"/>
    <w:rsid w:val="009B33EE"/>
    <w:rsid w:val="009D2317"/>
    <w:rsid w:val="009F16B5"/>
    <w:rsid w:val="009F2ABB"/>
    <w:rsid w:val="00A4066A"/>
    <w:rsid w:val="00A64E04"/>
    <w:rsid w:val="00A833B5"/>
    <w:rsid w:val="00A96B73"/>
    <w:rsid w:val="00AA7468"/>
    <w:rsid w:val="00AB15DD"/>
    <w:rsid w:val="00AC01F4"/>
    <w:rsid w:val="00AD128F"/>
    <w:rsid w:val="00AD658A"/>
    <w:rsid w:val="00AE08F7"/>
    <w:rsid w:val="00AE43B4"/>
    <w:rsid w:val="00AF1144"/>
    <w:rsid w:val="00AF2BE0"/>
    <w:rsid w:val="00B04118"/>
    <w:rsid w:val="00B14FC6"/>
    <w:rsid w:val="00B7659A"/>
    <w:rsid w:val="00B82611"/>
    <w:rsid w:val="00B83A63"/>
    <w:rsid w:val="00BB21DC"/>
    <w:rsid w:val="00BD58C3"/>
    <w:rsid w:val="00BD5A2D"/>
    <w:rsid w:val="00BE1744"/>
    <w:rsid w:val="00BE6C11"/>
    <w:rsid w:val="00BE7716"/>
    <w:rsid w:val="00BF7C09"/>
    <w:rsid w:val="00C23347"/>
    <w:rsid w:val="00C267ED"/>
    <w:rsid w:val="00C333DF"/>
    <w:rsid w:val="00C34F83"/>
    <w:rsid w:val="00C35817"/>
    <w:rsid w:val="00C606ED"/>
    <w:rsid w:val="00C874CD"/>
    <w:rsid w:val="00C92716"/>
    <w:rsid w:val="00CA25D0"/>
    <w:rsid w:val="00CD62F0"/>
    <w:rsid w:val="00CE3FD2"/>
    <w:rsid w:val="00CF2A93"/>
    <w:rsid w:val="00CF606D"/>
    <w:rsid w:val="00D11E7C"/>
    <w:rsid w:val="00D12CC1"/>
    <w:rsid w:val="00D14CB8"/>
    <w:rsid w:val="00D42242"/>
    <w:rsid w:val="00D54803"/>
    <w:rsid w:val="00D76C69"/>
    <w:rsid w:val="00D95B18"/>
    <w:rsid w:val="00DA0371"/>
    <w:rsid w:val="00DB3366"/>
    <w:rsid w:val="00DD4F44"/>
    <w:rsid w:val="00DD566E"/>
    <w:rsid w:val="00DD72F5"/>
    <w:rsid w:val="00DE0C92"/>
    <w:rsid w:val="00DE7EBD"/>
    <w:rsid w:val="00E02291"/>
    <w:rsid w:val="00E037A8"/>
    <w:rsid w:val="00E142DC"/>
    <w:rsid w:val="00E35903"/>
    <w:rsid w:val="00E65D8F"/>
    <w:rsid w:val="00E74123"/>
    <w:rsid w:val="00E743A5"/>
    <w:rsid w:val="00E77736"/>
    <w:rsid w:val="00EB0B3B"/>
    <w:rsid w:val="00ED2212"/>
    <w:rsid w:val="00EE116F"/>
    <w:rsid w:val="00EE1250"/>
    <w:rsid w:val="00F06B2B"/>
    <w:rsid w:val="00F106B1"/>
    <w:rsid w:val="00F12A19"/>
    <w:rsid w:val="00F13CBD"/>
    <w:rsid w:val="00F3720F"/>
    <w:rsid w:val="00F67681"/>
    <w:rsid w:val="00F811F4"/>
    <w:rsid w:val="00F84071"/>
    <w:rsid w:val="00F84501"/>
    <w:rsid w:val="00F87023"/>
    <w:rsid w:val="00FA4234"/>
    <w:rsid w:val="00FC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415A2A"/>
  <w15:docId w15:val="{E1F7E49A-C5DE-489D-97B6-D4D28B40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715100"/>
    <w:pPr>
      <w:keepNext/>
      <w:keepLines/>
      <w:numPr>
        <w:numId w:val="3"/>
      </w:numPr>
      <w:spacing w:line="360" w:lineRule="auto"/>
      <w:ind w:left="108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rsid w:val="003B4C34"/>
    <w:pPr>
      <w:keepNext/>
      <w:keepLines/>
      <w:numPr>
        <w:ilvl w:val="1"/>
        <w:numId w:val="3"/>
      </w:numPr>
      <w:spacing w:line="360" w:lineRule="auto"/>
      <w:jc w:val="both"/>
      <w:outlineLvl w:val="1"/>
    </w:pPr>
    <w:rPr>
      <w:rFonts w:ascii="Calibri" w:eastAsiaTheme="majorEastAsia" w:hAnsi="Calibri" w:cstheme="majorBidi"/>
      <w:b/>
      <w:color w:val="000000" w:themeColor="text1"/>
      <w:sz w:val="24"/>
      <w:szCs w:val="26"/>
    </w:rPr>
  </w:style>
  <w:style w:type="paragraph" w:styleId="Heading3">
    <w:name w:val="heading 3"/>
    <w:basedOn w:val="Normal"/>
    <w:next w:val="Normal"/>
    <w:link w:val="Heading3Char"/>
    <w:uiPriority w:val="9"/>
    <w:unhideWhenUsed/>
    <w:qFormat/>
    <w:rsid w:val="00D95B18"/>
    <w:pPr>
      <w:keepNext/>
      <w:keepLines/>
      <w:numPr>
        <w:numId w:val="9"/>
      </w:numPr>
      <w:spacing w:line="360" w:lineRule="auto"/>
      <w:ind w:left="1080"/>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D95B18"/>
    <w:pPr>
      <w:keepNext/>
      <w:keepLines/>
      <w:numPr>
        <w:ilvl w:val="1"/>
        <w:numId w:val="9"/>
      </w:numPr>
      <w:spacing w:line="360" w:lineRule="auto"/>
      <w:ind w:left="1440"/>
      <w:jc w:val="both"/>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customStyle="1" w:styleId="Text">
    <w:name w:val="Text"/>
    <w:basedOn w:val="Normal"/>
    <w:link w:val="TextChar"/>
    <w:uiPriority w:val="99"/>
    <w:rsid w:val="00D42242"/>
    <w:pPr>
      <w:widowControl/>
      <w:autoSpaceDE/>
      <w:autoSpaceDN/>
      <w:spacing w:before="80" w:after="40"/>
      <w:jc w:val="both"/>
    </w:pPr>
    <w:rPr>
      <w:rFonts w:eastAsia="Times New Roman" w:cs="Times New Roman"/>
      <w:szCs w:val="20"/>
      <w:lang w:val="en-AU" w:bidi="ar-SA"/>
    </w:rPr>
  </w:style>
  <w:style w:type="character" w:customStyle="1" w:styleId="TextChar">
    <w:name w:val="Text Char"/>
    <w:link w:val="Text"/>
    <w:uiPriority w:val="99"/>
    <w:locked/>
    <w:rsid w:val="00D42242"/>
    <w:rPr>
      <w:rFonts w:ascii="Arial" w:eastAsia="Times New Roman" w:hAnsi="Arial" w:cs="Times New Roman"/>
      <w:szCs w:val="20"/>
      <w:lang w:val="en-AU"/>
    </w:rPr>
  </w:style>
  <w:style w:type="paragraph" w:styleId="NoSpacing">
    <w:name w:val="No Spacing"/>
    <w:uiPriority w:val="1"/>
    <w:qFormat/>
    <w:rsid w:val="007659AA"/>
    <w:pPr>
      <w:spacing w:line="360" w:lineRule="auto"/>
      <w:jc w:val="both"/>
    </w:pPr>
    <w:rPr>
      <w:rFonts w:ascii="Times New Roman" w:eastAsia="Arial" w:hAnsi="Times New Roman" w:cs="Arial"/>
      <w:sz w:val="24"/>
      <w:lang w:bidi="en-US"/>
    </w:rPr>
  </w:style>
  <w:style w:type="character" w:customStyle="1" w:styleId="Heading1Char">
    <w:name w:val="Heading 1 Char"/>
    <w:basedOn w:val="DefaultParagraphFont"/>
    <w:link w:val="Heading1"/>
    <w:uiPriority w:val="9"/>
    <w:rsid w:val="00715100"/>
    <w:rPr>
      <w:rFonts w:ascii="Times New Roman" w:eastAsiaTheme="majorEastAsia" w:hAnsi="Times New Roman" w:cstheme="majorBidi"/>
      <w:b/>
      <w:color w:val="000000" w:themeColor="text1"/>
      <w:sz w:val="24"/>
      <w:szCs w:val="32"/>
      <w:lang w:bidi="en-US"/>
    </w:rPr>
  </w:style>
  <w:style w:type="character" w:customStyle="1" w:styleId="Heading2Char">
    <w:name w:val="Heading 2 Char"/>
    <w:basedOn w:val="DefaultParagraphFont"/>
    <w:link w:val="Heading2"/>
    <w:uiPriority w:val="9"/>
    <w:rsid w:val="003B4C34"/>
    <w:rPr>
      <w:rFonts w:ascii="Calibri" w:eastAsiaTheme="majorEastAsia" w:hAnsi="Calibri" w:cstheme="majorBidi"/>
      <w:b/>
      <w:color w:val="000000" w:themeColor="text1"/>
      <w:sz w:val="24"/>
      <w:szCs w:val="26"/>
      <w:lang w:bidi="en-US"/>
    </w:rPr>
  </w:style>
  <w:style w:type="character" w:customStyle="1" w:styleId="Heading3Char">
    <w:name w:val="Heading 3 Char"/>
    <w:basedOn w:val="DefaultParagraphFont"/>
    <w:link w:val="Heading3"/>
    <w:uiPriority w:val="9"/>
    <w:rsid w:val="00D95B18"/>
    <w:rPr>
      <w:rFonts w:ascii="Times New Roman" w:eastAsiaTheme="majorEastAsia" w:hAnsi="Times New Roman" w:cstheme="majorBidi"/>
      <w:b/>
      <w:color w:val="000000" w:themeColor="text1"/>
      <w:sz w:val="24"/>
      <w:szCs w:val="24"/>
      <w:lang w:bidi="en-US"/>
    </w:rPr>
  </w:style>
  <w:style w:type="numbering" w:customStyle="1" w:styleId="Style1">
    <w:name w:val="Style1"/>
    <w:uiPriority w:val="99"/>
    <w:rsid w:val="002054E0"/>
    <w:pPr>
      <w:numPr>
        <w:numId w:val="5"/>
      </w:numPr>
    </w:pPr>
  </w:style>
  <w:style w:type="character" w:styleId="Hyperlink">
    <w:name w:val="Hyperlink"/>
    <w:basedOn w:val="DefaultParagraphFont"/>
    <w:uiPriority w:val="99"/>
    <w:unhideWhenUsed/>
    <w:rsid w:val="005F26C5"/>
    <w:rPr>
      <w:color w:val="0000FF" w:themeColor="hyperlink"/>
      <w:u w:val="single"/>
    </w:rPr>
  </w:style>
  <w:style w:type="table" w:styleId="TableGrid">
    <w:name w:val="Table Grid"/>
    <w:basedOn w:val="TableNormal"/>
    <w:uiPriority w:val="39"/>
    <w:rsid w:val="00AD1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95B18"/>
    <w:rPr>
      <w:rFonts w:ascii="Times New Roman" w:eastAsiaTheme="majorEastAsia" w:hAnsi="Times New Roman" w:cstheme="majorBidi"/>
      <w:b/>
      <w:iCs/>
      <w:color w:val="000000" w:themeColor="text1"/>
      <w:sz w:val="24"/>
      <w:lang w:bidi="en-US"/>
    </w:rPr>
  </w:style>
  <w:style w:type="character" w:styleId="FollowedHyperlink">
    <w:name w:val="FollowedHyperlink"/>
    <w:basedOn w:val="DefaultParagraphFont"/>
    <w:uiPriority w:val="99"/>
    <w:semiHidden/>
    <w:unhideWhenUsed/>
    <w:rsid w:val="008368B1"/>
    <w:rPr>
      <w:color w:val="800080" w:themeColor="followedHyperlink"/>
      <w:u w:val="single"/>
    </w:rPr>
  </w:style>
  <w:style w:type="paragraph" w:styleId="TOC1">
    <w:name w:val="toc 1"/>
    <w:basedOn w:val="Normal"/>
    <w:next w:val="Normal"/>
    <w:autoRedefine/>
    <w:uiPriority w:val="39"/>
    <w:unhideWhenUsed/>
    <w:rsid w:val="00190E1E"/>
    <w:pPr>
      <w:spacing w:after="100"/>
    </w:pPr>
  </w:style>
  <w:style w:type="paragraph" w:styleId="TOC3">
    <w:name w:val="toc 3"/>
    <w:basedOn w:val="Normal"/>
    <w:next w:val="Normal"/>
    <w:autoRedefine/>
    <w:uiPriority w:val="39"/>
    <w:unhideWhenUsed/>
    <w:rsid w:val="00190E1E"/>
    <w:pPr>
      <w:spacing w:after="100"/>
      <w:ind w:left="440"/>
    </w:pPr>
  </w:style>
  <w:style w:type="paragraph" w:styleId="TOC4">
    <w:name w:val="toc 4"/>
    <w:basedOn w:val="Normal"/>
    <w:next w:val="Normal"/>
    <w:autoRedefine/>
    <w:uiPriority w:val="39"/>
    <w:unhideWhenUsed/>
    <w:rsid w:val="00190E1E"/>
    <w:pPr>
      <w:spacing w:after="100"/>
      <w:ind w:left="660"/>
    </w:pPr>
  </w:style>
  <w:style w:type="paragraph" w:styleId="Header">
    <w:name w:val="header"/>
    <w:basedOn w:val="Normal"/>
    <w:link w:val="HeaderChar"/>
    <w:uiPriority w:val="99"/>
    <w:unhideWhenUsed/>
    <w:rsid w:val="005F29A4"/>
    <w:pPr>
      <w:tabs>
        <w:tab w:val="center" w:pos="4680"/>
        <w:tab w:val="right" w:pos="9360"/>
      </w:tabs>
    </w:pPr>
  </w:style>
  <w:style w:type="character" w:customStyle="1" w:styleId="HeaderChar">
    <w:name w:val="Header Char"/>
    <w:basedOn w:val="DefaultParagraphFont"/>
    <w:link w:val="Header"/>
    <w:uiPriority w:val="99"/>
    <w:rsid w:val="005F29A4"/>
    <w:rPr>
      <w:rFonts w:ascii="Arial" w:eastAsia="Arial" w:hAnsi="Arial" w:cs="Arial"/>
      <w:lang w:bidi="en-US"/>
    </w:rPr>
  </w:style>
  <w:style w:type="paragraph" w:styleId="Footer">
    <w:name w:val="footer"/>
    <w:basedOn w:val="Normal"/>
    <w:link w:val="FooterChar"/>
    <w:uiPriority w:val="99"/>
    <w:unhideWhenUsed/>
    <w:rsid w:val="005F29A4"/>
    <w:pPr>
      <w:tabs>
        <w:tab w:val="center" w:pos="4680"/>
        <w:tab w:val="right" w:pos="9360"/>
      </w:tabs>
    </w:pPr>
  </w:style>
  <w:style w:type="character" w:customStyle="1" w:styleId="FooterChar">
    <w:name w:val="Footer Char"/>
    <w:basedOn w:val="DefaultParagraphFont"/>
    <w:link w:val="Footer"/>
    <w:uiPriority w:val="99"/>
    <w:rsid w:val="005F29A4"/>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1300/j149v07n02_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ubsaustralia.com.au/knowledge-centre/research-and-tren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ition.cnn.com/2017/08/28/health/australia-gambling-addiction-poker-slot-%09machines/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cu.edu.au/policy/allitoz/JCUDEV_005375.html" TargetMode="External"/><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hyperlink" Target="https://www.theguardian.com/world/2014/mar/24/gaming-machine-count-puts-nsw-second-in-the-%09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35173-77EE-4C28-9589-97D6FF4C0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Individual Task Cover Sheet - Jan 2017</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Task Cover Sheet - Jan 2017</dc:title>
  <dc:creator>James Cook University</dc:creator>
  <cp:keywords>Individual Task Cover Sheet</cp:keywords>
  <cp:lastModifiedBy>leeping1604@gmail.com</cp:lastModifiedBy>
  <cp:revision>150</cp:revision>
  <dcterms:created xsi:type="dcterms:W3CDTF">2017-12-28T14:28:00Z</dcterms:created>
  <dcterms:modified xsi:type="dcterms:W3CDTF">2018-01-28T04:26:00Z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2017-12-28T00:00:00Z</vt:filetime>
  </property>
</Properties>
</file>