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4.jfif"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after="80" w:line="252" w:lineRule="auto"/>
        <w:jc w:val="center"/>
      </w:pPr>
      <w:r>
        <w:rPr>
          <w:rFonts w:ascii="Arial" w:hAnsi="Arial"/>
          <w:b/>
          <w:color w:val="6D0F24"/>
          <w:sz w:val="36"/>
        </w:rPr>
        <w:t>UNIVERSITY OF BOTSWANA</w:t>
      </w:r>
    </w:p>
    <w:p>
      <w:pPr>
        <w:spacing w:after="80" w:line="252" w:lineRule="auto"/>
        <w:jc w:val="center"/>
      </w:pPr>
      <w:r>
        <w:rPr>
          <w:rFonts w:ascii="Arial" w:hAnsi="Arial"/>
          <w:b/>
          <w:sz w:val="32"/>
        </w:rPr>
        <w:t>CSI473 Project Design Report</w:t>
      </w:r>
    </w:p>
    <w:p>
      <w:pPr>
        <w:spacing w:after="80" w:line="252" w:lineRule="auto"/>
        <w:jc w:val="center"/>
      </w:pPr>
      <w:r>
        <w:rPr>
          <w:rFonts w:ascii="Arial" w:hAnsi="Arial"/>
          <w:b/>
          <w:sz w:val="28"/>
        </w:rPr>
        <w:t>TRANS-UB - University of Botswana Student Marketplace Hub</w:t>
      </w:r>
    </w:p>
    <w:p>
      <w:pPr>
        <w:spacing w:after="80" w:line="252" w:lineRule="auto"/>
        <w:jc w:val="center"/>
      </w:pPr>
      <w:r>
        <w:rPr>
          <w:rFonts w:ascii="Arial" w:hAnsi="Arial"/>
          <w:b/>
          <w:color w:val="2F7F8F"/>
          <w:sz w:val="24"/>
        </w:rPr>
        <w:t>Team 9 | Phase 2 Project Design Report</w:t>
      </w:r>
    </w:p>
    <w:tbl>
      <w:tblPr>
        <w:tblW w:type="auto" w:w="0"/>
        <w:jc w:val="center"/>
        <w:tblLayout w:type="autofit"/>
        <w:tblLook w:firstColumn="1" w:firstRow="1" w:lastColumn="0" w:lastRow="0" w:noHBand="0" w:noVBand="1" w:val="04A0"/>
      </w:tblPr>
      <w:tblGrid>
        <w:gridCol w:w="4873"/>
        <w:gridCol w:w="4873"/>
      </w:tblGrid>
      <w:tr>
        <w:trPr>
          <w:cantSplit/>
        </w:trPr>
        <w:tc>
          <w:tcPr>
            <w:tcW w:type="dxa" w:w="4873"/>
            <w:vAlign w:val="center"/>
            <w:shd w:fill="6D0F24"/>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b/>
                <w:color w:val="FFFFFF"/>
                <w:sz w:val="18"/>
              </w:rPr>
              <w:t>Field</w:t>
            </w:r>
          </w:p>
        </w:tc>
        <w:tc>
          <w:tcPr>
            <w:tcW w:type="dxa" w:w="4873"/>
            <w:vAlign w:val="center"/>
            <w:shd w:fill="6D0F24"/>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b/>
                <w:color w:val="FFFFFF"/>
                <w:sz w:val="18"/>
              </w:rPr>
              <w:t>Complete</w:t>
            </w:r>
          </w:p>
        </w:tc>
      </w:tr>
      <w:tr>
        <w:trPr>
          <w:cantSplit/>
        </w:trPr>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Assignment/phase</w:t>
            </w:r>
          </w:p>
        </w:tc>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Phase 2 Project Design Report (Assignment 3)</w:t>
            </w:r>
          </w:p>
        </w:tc>
      </w:tr>
      <w:tr>
        <w:trPr>
          <w:cantSplit/>
        </w:trPr>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Approved project title</w:t>
            </w:r>
          </w:p>
        </w:tc>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TRANS-UB - University of Botswana Student Marketplace Hub</w:t>
            </w:r>
          </w:p>
        </w:tc>
      </w:tr>
      <w:tr>
        <w:trPr>
          <w:cantSplit/>
        </w:trPr>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Approval decision/date</w:t>
            </w:r>
          </w:p>
        </w:tc>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Approved with minor conditions; approval evidence carried forward from Phase 1</w:t>
            </w:r>
          </w:p>
        </w:tc>
      </w:tr>
      <w:tr>
        <w:trPr>
          <w:cantSplit/>
        </w:trPr>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Team number</w:t>
            </w:r>
          </w:p>
        </w:tc>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9</w:t>
            </w:r>
          </w:p>
        </w:tc>
      </w:tr>
      <w:tr>
        <w:trPr>
          <w:cantSplit/>
        </w:trPr>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Members and IDs</w:t>
            </w:r>
          </w:p>
        </w:tc>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Letlhabile Xoliso Serufo - 202302072</w:t>
              <w:br/>
              <w:t>Lebogang Rantlheng - 202400279</w:t>
              <w:br/>
              <w:t>Tshegofatso Botho Wakwena - 202302811</w:t>
              <w:br/>
              <w:t>Amanda Mapete - 202303699</w:t>
              <w:br/>
              <w:t>Lame Vambu - 202203427</w:t>
            </w:r>
          </w:p>
        </w:tc>
      </w:tr>
      <w:tr>
        <w:trPr>
          <w:cantSplit/>
        </w:trPr>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Repository URL</w:t>
            </w:r>
          </w:p>
        </w:tc>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https://github.com/lebogang00279/Trans-UB</w:t>
            </w:r>
          </w:p>
        </w:tc>
      </w:tr>
      <w:tr>
        <w:trPr>
          <w:cantSplit/>
        </w:trPr>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Submission tag</w:t>
            </w:r>
          </w:p>
        </w:tc>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phase2-submission</w:t>
            </w:r>
          </w:p>
        </w:tc>
      </w:tr>
      <w:tr>
        <w:trPr>
          <w:cantSplit/>
        </w:trPr>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Date</w:t>
            </w:r>
          </w:p>
        </w:tc>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30 October 2026</w:t>
            </w:r>
          </w:p>
        </w:tc>
      </w:tr>
    </w:tbl>
    <w:p>
      <w:pPr>
        <w:spacing w:after="80" w:line="252" w:lineRule="auto"/>
      </w:pPr>
      <w:r>
        <w:rPr>
          <w:rFonts w:ascii="Arial" w:hAnsi="Arial"/>
        </w:rPr>
        <w:br w:type="page"/>
      </w:r>
    </w:p>
    <w:p>
      <w:pPr>
        <w:pStyle w:val="Heading1"/>
      </w:pPr>
      <w:r>
        <w:rPr>
          <w:rFonts w:ascii="Arial" w:hAnsi="Arial"/>
        </w:rPr>
        <w:t>1. Executive summary</w:t>
      </w:r>
    </w:p>
    <w:p>
      <w:pPr>
        <w:spacing w:after="80" w:line="252" w:lineRule="auto"/>
      </w:pPr>
      <w:r>
        <w:rPr>
          <w:rFonts w:ascii="Arial" w:hAnsi="Arial"/>
        </w:rPr>
        <w:t>TRANS-UB is a student-to-student marketplace for the University of Botswana. Phase 2 carries the approved Phase 1 design into an implementable vertical slice centred on UC-05, Reserve an Available Listing. The implemented slice is intentionally narrow: it demonstrates the reservation workflow end to end rather than claiming that every marketplace function has been implemented.</w:t>
      </w:r>
    </w:p>
    <w:p>
      <w:pPr>
        <w:spacing w:after="80" w:line="252" w:lineRule="auto"/>
      </w:pPr>
      <w:r>
        <w:rPr>
          <w:rFonts w:ascii="Arial" w:hAnsi="Arial"/>
        </w:rPr>
        <w:t>The runnable implementation uses Python and SQLite and exposes POST /api/listings/{listingId}/reserve. It validates the buyer and listing, creates a Pending Order, records the initial OrderStatusChange, changes the Listing from Available to Reserved in the same core transaction, and attempts seller notification only after the reservation state has committed.</w:t>
      </w:r>
    </w:p>
    <w:p>
      <w:pPr>
        <w:spacing w:after="80" w:line="252" w:lineRule="auto"/>
      </w:pPr>
      <w:r>
        <w:rPr>
          <w:rFonts w:ascii="Arial" w:hAnsi="Arial"/>
        </w:rPr>
        <w:t>Seven automated tests were executed successfully with zero failures. The tests cover the happy path, invalid input, the own-listing rule, ineligible buyers, duplicate prevention, simultaneous reservation attempts and notification-failure tolerance. A real HTTP smoke test also returned a Pending Order with the Listing in Reserved state.</w:t>
      </w:r>
    </w:p>
    <w:p>
      <w:pPr>
        <w:spacing w:after="80" w:line="252" w:lineRule="auto"/>
      </w:pPr>
      <w:r>
        <w:rPr>
          <w:rFonts w:ascii="Arial" w:hAnsi="Arial"/>
        </w:rPr>
        <w:t>The principal Phase 2 release conclusion is therefore conditional: the UC-05 academic vertical slice is runnable and internally consistent, but TRANS-UB remains a prototype. Student verification is synthetic, notification delivery is simplified, automatic expiry is not scheduled, and the wider FR-01 to FR-10 marketplace is not fully implemented.</w:t>
      </w:r>
    </w:p>
    <w:p>
      <w:pPr>
        <w:pStyle w:val="Heading1"/>
      </w:pPr>
      <w:r>
        <w:rPr>
          <w:rFonts w:ascii="Arial" w:hAnsi="Arial"/>
        </w:rPr>
        <w:t>2. Problem evidence, stakeholders and scope</w:t>
      </w:r>
    </w:p>
    <w:p>
      <w:pPr>
        <w:pStyle w:val="Heading2"/>
      </w:pPr>
      <w:r>
        <w:rPr>
          <w:rFonts w:ascii="Arial" w:hAnsi="Arial"/>
        </w:rPr>
        <w:t>2.1 Problem evidence carried forward</w:t>
      </w:r>
    </w:p>
    <w:p>
      <w:pPr>
        <w:spacing w:after="80" w:line="252" w:lineRule="auto"/>
      </w:pPr>
      <w:r>
        <w:rPr>
          <w:rFonts w:ascii="Arial" w:hAnsi="Arial"/>
        </w:rPr>
        <w:t>Phase 1 evidence established that UB student trading occurs through fragmented channels such as student messaging groups, Facebook posts, notice boards and word of mouth. The approved design therefore focuses on structured approved listings, reservation state, moderation and transaction-linked reputation.</w:t>
      </w:r>
    </w:p>
    <w:tbl>
      <w:tblPr>
        <w:tblW w:type="auto" w:w="0"/>
        <w:jc w:val="center"/>
        <w:tblLayout w:type="autofit"/>
        <w:tblLook w:firstColumn="1" w:firstRow="1" w:lastColumn="0" w:lastRow="0" w:noHBand="0" w:noVBand="1" w:val="04A0"/>
      </w:tblPr>
      <w:tblGrid>
        <w:gridCol w:w="4873"/>
        <w:gridCol w:w="4873"/>
      </w:tblGrid>
      <w:tr>
        <w:trPr>
          <w:cantSplit/>
        </w:trPr>
        <w:tc>
          <w:tcPr>
            <w:tcW w:type="dxa" w:w="4873"/>
            <w:vAlign w:val="center"/>
            <w:shd w:fill="6D0F24"/>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b/>
                <w:color w:val="FFFFFF"/>
                <w:sz w:val="18"/>
              </w:rPr>
              <w:t>Evidence</w:t>
            </w:r>
          </w:p>
        </w:tc>
        <w:tc>
          <w:tcPr>
            <w:tcW w:type="dxa" w:w="4873"/>
            <w:vAlign w:val="center"/>
            <w:shd w:fill="6D0F24"/>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b/>
                <w:color w:val="FFFFFF"/>
                <w:sz w:val="18"/>
              </w:rPr>
              <w:t>What it established</w:t>
            </w:r>
          </w:p>
        </w:tc>
      </w:tr>
      <w:tr>
        <w:trPr>
          <w:cantSplit/>
        </w:trPr>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Student buy-and-sell group screenshots</w:t>
            </w:r>
          </w:p>
        </w:tc>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Active trading exists but listings and seller history are difficult to retain and compare.</w:t>
            </w:r>
          </w:p>
        </w:tc>
      </w:tr>
      <w:tr>
        <w:trPr>
          <w:cantSplit/>
        </w:trPr>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Buyer/seller interviews</w:t>
            </w:r>
          </w:p>
        </w:tc>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Trust, visibility and reliable reservation status are recurring concerns.</w:t>
            </w:r>
          </w:p>
        </w:tc>
      </w:tr>
      <w:tr>
        <w:trPr>
          <w:cantSplit/>
        </w:trPr>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Public sales posts</w:t>
            </w:r>
          </w:p>
        </w:tc>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Comparable items are advertised separately, making structured comparison difficult.</w:t>
            </w:r>
          </w:p>
        </w:tc>
      </w:tr>
    </w:tbl>
    <w:p>
      <w:pPr>
        <w:pStyle w:val="Heading2"/>
      </w:pPr>
      <w:r>
        <w:rPr>
          <w:rFonts w:ascii="Arial" w:hAnsi="Arial"/>
        </w:rPr>
        <w:t>2.2 Stakeholders</w:t>
      </w:r>
    </w:p>
    <w:tbl>
      <w:tblPr>
        <w:tblW w:type="auto" w:w="0"/>
        <w:jc w:val="center"/>
        <w:tblLayout w:type="autofit"/>
        <w:tblLook w:firstColumn="1" w:firstRow="1" w:lastColumn="0" w:lastRow="0" w:noHBand="0" w:noVBand="1" w:val="04A0"/>
      </w:tblPr>
      <w:tblGrid>
        <w:gridCol w:w="4873"/>
        <w:gridCol w:w="4873"/>
      </w:tblGrid>
      <w:tr>
        <w:trPr>
          <w:cantSplit/>
        </w:trPr>
        <w:tc>
          <w:tcPr>
            <w:tcW w:type="dxa" w:w="4873"/>
            <w:vAlign w:val="center"/>
            <w:shd w:fill="6D0F24"/>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b/>
                <w:color w:val="FFFFFF"/>
                <w:sz w:val="18"/>
              </w:rPr>
              <w:t>Stakeholder</w:t>
            </w:r>
          </w:p>
        </w:tc>
        <w:tc>
          <w:tcPr>
            <w:tcW w:type="dxa" w:w="4873"/>
            <w:vAlign w:val="center"/>
            <w:shd w:fill="6D0F24"/>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b/>
                <w:color w:val="FFFFFF"/>
                <w:sz w:val="18"/>
              </w:rPr>
              <w:t>Phase 2 relevance</w:t>
            </w:r>
          </w:p>
        </w:tc>
      </w:tr>
      <w:tr>
        <w:trPr>
          <w:cantSplit/>
        </w:trPr>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Student Buyer</w:t>
            </w:r>
          </w:p>
        </w:tc>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Primary actor for the implemented UC-05 reservation slice.</w:t>
            </w:r>
          </w:p>
        </w:tc>
      </w:tr>
      <w:tr>
        <w:trPr>
          <w:cantSplit/>
        </w:trPr>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Student Seller</w:t>
            </w:r>
          </w:p>
        </w:tc>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Owns the listing and receives a reservation notification.</w:t>
            </w:r>
          </w:p>
        </w:tc>
      </w:tr>
      <w:tr>
        <w:trPr>
          <w:cantSplit/>
        </w:trPr>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Platform Administrator</w:t>
            </w:r>
          </w:p>
        </w:tc>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Design responsibility retained for moderation; not part of the runnable UC-05 slice.</w:t>
            </w:r>
          </w:p>
        </w:tc>
      </w:tr>
      <w:tr>
        <w:trPr>
          <w:cantSplit/>
        </w:trPr>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SRC</w:t>
            </w:r>
          </w:p>
        </w:tc>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External escalation participant for serious disputes; not part of the runnable slice.</w:t>
            </w:r>
          </w:p>
        </w:tc>
      </w:tr>
    </w:tbl>
    <w:p>
      <w:pPr>
        <w:pStyle w:val="Heading2"/>
      </w:pPr>
      <w:r>
        <w:rPr>
          <w:rFonts w:ascii="Arial" w:hAnsi="Arial"/>
        </w:rPr>
        <w:t>2.3 Scope and constraints</w:t>
      </w:r>
    </w:p>
    <w:p>
      <w:pPr>
        <w:pStyle w:val="ListBullet"/>
      </w:pPr>
      <w:r>
        <w:rPr>
          <w:rFonts w:ascii="Arial" w:hAnsi="Arial"/>
        </w:rPr>
        <w:t>Low-risk physical goods remain the approved product scope.</w:t>
      </w:r>
    </w:p>
    <w:p>
      <w:pPr>
        <w:pStyle w:val="ListBullet"/>
      </w:pPr>
      <w:r>
        <w:rPr>
          <w:rFonts w:ascii="Arial" w:hAnsi="Arial"/>
        </w:rPr>
        <w:t>Food, medicines, alcohol, stolen/restricted goods and high-risk services remain excluded.</w:t>
      </w:r>
    </w:p>
    <w:p>
      <w:pPr>
        <w:pStyle w:val="ListBullet"/>
      </w:pPr>
      <w:r>
        <w:rPr>
          <w:rFonts w:ascii="Arial" w:hAnsi="Arial"/>
        </w:rPr>
        <w:t>Payment and physical handover remain outside TRANS-UB under D-001.</w:t>
      </w:r>
    </w:p>
    <w:p>
      <w:pPr>
        <w:pStyle w:val="ListBullet"/>
      </w:pPr>
      <w:r>
        <w:rPr>
          <w:rFonts w:ascii="Arial" w:hAnsi="Arial"/>
        </w:rPr>
        <w:t>Student verification remains synthetic/prototype-only and does not represent official UB integration.</w:t>
      </w:r>
    </w:p>
    <w:p>
      <w:pPr>
        <w:pStyle w:val="ListBullet"/>
      </w:pPr>
      <w:r>
        <w:rPr>
          <w:rFonts w:ascii="Arial" w:hAnsi="Arial"/>
        </w:rPr>
        <w:t>Phase 2 implementation evidence is limited to the approved UC-05 reservation vertical slice.</w:t>
      </w:r>
    </w:p>
    <w:p>
      <w:pPr>
        <w:pStyle w:val="Heading1"/>
      </w:pPr>
      <w:r>
        <w:rPr>
          <w:rFonts w:ascii="Arial" w:hAnsi="Arial"/>
        </w:rPr>
        <w:t>3. Glossary</w:t>
      </w:r>
    </w:p>
    <w:tbl>
      <w:tblPr>
        <w:tblW w:type="auto" w:w="0"/>
        <w:jc w:val="center"/>
        <w:tblLayout w:type="autofit"/>
        <w:tblLook w:firstColumn="1" w:firstRow="1" w:lastColumn="0" w:lastRow="0" w:noHBand="0" w:noVBand="1" w:val="04A0"/>
      </w:tblPr>
      <w:tblGrid>
        <w:gridCol w:w="4873"/>
        <w:gridCol w:w="4873"/>
      </w:tblGrid>
      <w:tr>
        <w:trPr>
          <w:cantSplit/>
        </w:trPr>
        <w:tc>
          <w:tcPr>
            <w:tcW w:type="dxa" w:w="4873"/>
            <w:vAlign w:val="center"/>
            <w:shd w:fill="6D0F24"/>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b/>
                <w:color w:val="FFFFFF"/>
                <w:sz w:val="18"/>
              </w:rPr>
              <w:t>Term</w:t>
            </w:r>
          </w:p>
        </w:tc>
        <w:tc>
          <w:tcPr>
            <w:tcW w:type="dxa" w:w="4873"/>
            <w:vAlign w:val="center"/>
            <w:shd w:fill="6D0F24"/>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b/>
                <w:color w:val="FFFFFF"/>
                <w:sz w:val="18"/>
              </w:rPr>
              <w:t>Definition</w:t>
            </w:r>
          </w:p>
        </w:tc>
      </w:tr>
      <w:tr>
        <w:trPr>
          <w:cantSplit/>
        </w:trPr>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Available</w:t>
            </w:r>
          </w:p>
        </w:tc>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Approved Listing that can currently be reserved.</w:t>
            </w:r>
          </w:p>
        </w:tc>
      </w:tr>
      <w:tr>
        <w:trPr>
          <w:cantSplit/>
        </w:trPr>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Reserved</w:t>
            </w:r>
          </w:p>
        </w:tc>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Listing with one live reservation/order.</w:t>
            </w:r>
          </w:p>
        </w:tc>
      </w:tr>
      <w:tr>
        <w:trPr>
          <w:cantSplit/>
        </w:trPr>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Pending</w:t>
            </w:r>
          </w:p>
        </w:tc>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Order created by a successful reservation and awaiting seller response.</w:t>
            </w:r>
          </w:p>
        </w:tc>
      </w:tr>
      <w:tr>
        <w:trPr>
          <w:cantSplit/>
        </w:trPr>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OrderStatusChange</w:t>
            </w:r>
          </w:p>
        </w:tc>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Persistent audit record of an Order state transition.</w:t>
            </w:r>
          </w:p>
        </w:tc>
      </w:tr>
      <w:tr>
        <w:trPr>
          <w:cantSplit/>
        </w:trPr>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Live order</w:t>
            </w:r>
          </w:p>
        </w:tc>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For the implemented integrity constraint: Pending, Accepted or Delivered.</w:t>
            </w:r>
          </w:p>
        </w:tc>
      </w:tr>
      <w:tr>
        <w:trPr>
          <w:cantSplit/>
        </w:trPr>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NotificationPort</w:t>
            </w:r>
          </w:p>
        </w:tc>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Boundary through which the core workflow requests seller notification.</w:t>
            </w:r>
          </w:p>
        </w:tc>
      </w:tr>
      <w:tr>
        <w:trPr>
          <w:cantSplit/>
        </w:trPr>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Vertical slice</w:t>
            </w:r>
          </w:p>
        </w:tc>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A runnable end-to-end path through interface/API, application logic and persistence.</w:t>
            </w:r>
          </w:p>
        </w:tc>
      </w:tr>
      <w:tr>
        <w:trPr>
          <w:cantSplit/>
        </w:trPr>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Synthetic identity</w:t>
            </w:r>
          </w:p>
        </w:tc>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Prototype-only student account data, not official UB records.</w:t>
            </w:r>
          </w:p>
        </w:tc>
      </w:tr>
    </w:tbl>
    <w:p>
      <w:pPr>
        <w:pStyle w:val="Heading1"/>
      </w:pPr>
      <w:r>
        <w:rPr>
          <w:rFonts w:ascii="Arial" w:hAnsi="Arial"/>
        </w:rPr>
        <w:t>4. Functional requirements and use cases</w:t>
      </w:r>
    </w:p>
    <w:tbl>
      <w:tblPr>
        <w:tblW w:type="auto" w:w="0"/>
        <w:jc w:val="center"/>
        <w:tblLayout w:type="autofit"/>
        <w:tblLook w:firstColumn="1" w:firstRow="1" w:lastColumn="0" w:lastRow="0" w:noHBand="0" w:noVBand="1" w:val="04A0"/>
      </w:tblPr>
      <w:tblGrid>
        <w:gridCol w:w="3249"/>
        <w:gridCol w:w="3249"/>
        <w:gridCol w:w="3249"/>
      </w:tblGrid>
      <w:tr>
        <w:trPr>
          <w:cantSplit/>
        </w:trPr>
        <w:tc>
          <w:tcPr>
            <w:tcW w:type="dxa" w:w="3249"/>
            <w:vAlign w:val="center"/>
            <w:shd w:fill="6D0F24"/>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b/>
                <w:color w:val="FFFFFF"/>
                <w:sz w:val="18"/>
              </w:rPr>
              <w:t>ID</w:t>
            </w:r>
          </w:p>
        </w:tc>
        <w:tc>
          <w:tcPr>
            <w:tcW w:type="dxa" w:w="3249"/>
            <w:vAlign w:val="center"/>
            <w:shd w:fill="6D0F24"/>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b/>
                <w:color w:val="FFFFFF"/>
                <w:sz w:val="18"/>
              </w:rPr>
              <w:t>Requirement</w:t>
            </w:r>
          </w:p>
        </w:tc>
        <w:tc>
          <w:tcPr>
            <w:tcW w:type="dxa" w:w="3249"/>
            <w:vAlign w:val="center"/>
            <w:shd w:fill="6D0F24"/>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b/>
                <w:color w:val="FFFFFF"/>
                <w:sz w:val="18"/>
              </w:rPr>
              <w:t>Phase 2 status</w:t>
            </w:r>
          </w:p>
        </w:tc>
      </w:tr>
      <w:tr>
        <w:trPr>
          <w:cantSplit/>
        </w:trPr>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FR-01</w:t>
            </w:r>
          </w:p>
        </w:tc>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Prototype account/login with simulated student verification.</w:t>
            </w:r>
          </w:p>
        </w:tc>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Design baseline; not implemented in UC-05 slice.</w:t>
            </w:r>
          </w:p>
        </w:tc>
      </w:tr>
      <w:tr>
        <w:trPr>
          <w:cantSplit/>
        </w:trPr>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FR-02</w:t>
            </w:r>
          </w:p>
        </w:tc>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Seller creates/edits listing.</w:t>
            </w:r>
          </w:p>
        </w:tc>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Design baseline.</w:t>
            </w:r>
          </w:p>
        </w:tc>
      </w:tr>
      <w:tr>
        <w:trPr>
          <w:cantSplit/>
        </w:trPr>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FR-03</w:t>
            </w:r>
          </w:p>
        </w:tc>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Administrator approves/rejects/removes listing.</w:t>
            </w:r>
          </w:p>
        </w:tc>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Design baseline; seed data supplies approved listing.</w:t>
            </w:r>
          </w:p>
        </w:tc>
      </w:tr>
      <w:tr>
        <w:trPr>
          <w:cantSplit/>
        </w:trPr>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FR-04</w:t>
            </w:r>
          </w:p>
        </w:tc>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Buyer searches/browses/filters/compares listings.</w:t>
            </w:r>
          </w:p>
        </w:tc>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Design baseline.</w:t>
            </w:r>
          </w:p>
        </w:tc>
      </w:tr>
      <w:tr>
        <w:trPr>
          <w:cantSplit/>
        </w:trPr>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FR-05</w:t>
            </w:r>
          </w:p>
        </w:tc>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Buyer reserves/orders an Available listing.</w:t>
            </w:r>
          </w:p>
        </w:tc>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Implemented and tested.</w:t>
            </w:r>
          </w:p>
        </w:tc>
      </w:tr>
      <w:tr>
        <w:trPr>
          <w:cantSplit/>
        </w:trPr>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FR-06</w:t>
            </w:r>
          </w:p>
        </w:tc>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Seller accepts/rejects Pending order.</w:t>
            </w:r>
          </w:p>
        </w:tc>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Design/state model retained.</w:t>
            </w:r>
          </w:p>
        </w:tc>
      </w:tr>
      <w:tr>
        <w:trPr>
          <w:cantSplit/>
        </w:trPr>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FR-07</w:t>
            </w:r>
          </w:p>
        </w:tc>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Expiry/cancellation releases listing.</w:t>
            </w:r>
          </w:p>
        </w:tc>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Design/state model retained.</w:t>
            </w:r>
          </w:p>
        </w:tc>
      </w:tr>
      <w:tr>
        <w:trPr>
          <w:cantSplit/>
        </w:trPr>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FR-08</w:t>
            </w:r>
          </w:p>
        </w:tc>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Delivered/Completed lifecycle; Listing becomes Sold.</w:t>
            </w:r>
          </w:p>
        </w:tc>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Design/state model retained.</w:t>
            </w:r>
          </w:p>
        </w:tc>
      </w:tr>
      <w:tr>
        <w:trPr>
          <w:cantSplit/>
        </w:trPr>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FR-09</w:t>
            </w:r>
          </w:p>
        </w:tc>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One review only after Completed order.</w:t>
            </w:r>
          </w:p>
        </w:tc>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Design baseline.</w:t>
            </w:r>
          </w:p>
        </w:tc>
      </w:tr>
      <w:tr>
        <w:trPr>
          <w:cantSplit/>
        </w:trPr>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FR-10</w:t>
            </w:r>
          </w:p>
        </w:tc>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Report/moderate/escalate disputes.</w:t>
            </w:r>
          </w:p>
        </w:tc>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Design baseline.</w:t>
            </w:r>
          </w:p>
        </w:tc>
      </w:tr>
    </w:tbl>
    <w:p>
      <w:pPr>
        <w:spacing w:after="80" w:line="252" w:lineRule="auto"/>
        <w:jc w:val="center"/>
      </w:pPr>
      <w:r>
        <w:drawing>
          <wp:inline xmlns:a="http://schemas.openxmlformats.org/drawingml/2006/main" xmlns:pic="http://schemas.openxmlformats.org/drawingml/2006/picture">
            <wp:extent cx="6080760" cy="3934609"/>
            <wp:docPr id="14" name="Picture 14"/>
            <wp:cNvGraphicFramePr>
              <a:graphicFrameLocks noChangeAspect="1"/>
            </wp:cNvGraphicFramePr>
            <a:graphic>
              <a:graphicData uri="http://schemas.openxmlformats.org/drawingml/2006/picture">
                <pic:pic>
                  <pic:nvPicPr>
                    <pic:cNvPr id="0" name="use-case-model-single-actors.png"/>
                    <pic:cNvPicPr/>
                  </pic:nvPicPr>
                  <pic:blipFill>
                    <a:blip r:embed="rId33"/>
                    <a:stretch>
                      <a:fillRect/>
                    </a:stretch>
                  </pic:blipFill>
                  <pic:spPr>
                    <a:xfrm>
                      <a:off x="0" y="0"/>
                      <a:ext cx="6080760" cy="3934609"/>
                    </a:xfrm>
                    <a:prstGeom prst="rect"/>
                  </pic:spPr>
                </pic:pic>
              </a:graphicData>
            </a:graphic>
          </wp:inline>
        </w:drawing>
      </w:r>
    </w:p>
    <w:p>
      <w:pPr>
        <w:spacing w:after="80" w:line="252" w:lineRule="auto"/>
        <w:jc w:val="center"/>
      </w:pPr>
      <w:r>
        <w:rPr>
          <w:rFonts w:ascii="Arial" w:hAnsi="Arial"/>
          <w:b/>
          <w:sz w:val="18"/>
        </w:rPr>
        <w:t>Figure 1. TRANS-UB requirements-aligned use-case model.</w:t>
      </w:r>
    </w:p>
    <w:p>
      <w:pPr>
        <w:pStyle w:val="Heading2"/>
      </w:pPr>
      <w:r>
        <w:rPr>
          <w:rFonts w:ascii="Arial" w:hAnsi="Arial"/>
        </w:rPr>
        <w:t>4.1 Implemented detailed use case: UC-05</w:t>
      </w:r>
    </w:p>
    <w:p>
      <w:pPr>
        <w:pStyle w:val="ListNumber"/>
      </w:pPr>
      <w:r>
        <w:rPr>
          <w:rFonts w:ascii="Arial" w:hAnsi="Arial"/>
        </w:rPr>
        <w:t>Buyer selects Reserve on an Available listing.</w:t>
      </w:r>
    </w:p>
    <w:p>
      <w:pPr>
        <w:pStyle w:val="ListNumber"/>
      </w:pPr>
      <w:r>
        <w:rPr>
          <w:rFonts w:ascii="Arial" w:hAnsi="Arial"/>
        </w:rPr>
        <w:t>System validates buyer identity/eligibility and rejects own-listing reservation.</w:t>
      </w:r>
    </w:p>
    <w:p>
      <w:pPr>
        <w:pStyle w:val="ListNumber"/>
      </w:pPr>
      <w:r>
        <w:rPr>
          <w:rFonts w:ascii="Arial" w:hAnsi="Arial"/>
        </w:rPr>
        <w:t>System performs a final availability check.</w:t>
      </w:r>
    </w:p>
    <w:p>
      <w:pPr>
        <w:pStyle w:val="ListNumber"/>
      </w:pPr>
      <w:r>
        <w:rPr>
          <w:rFonts w:ascii="Arial" w:hAnsi="Arial"/>
        </w:rPr>
        <w:t>System creates a Pending Order and initial OrderStatusChange.</w:t>
      </w:r>
    </w:p>
    <w:p>
      <w:pPr>
        <w:pStyle w:val="ListNumber"/>
      </w:pPr>
      <w:r>
        <w:rPr>
          <w:rFonts w:ascii="Arial" w:hAnsi="Arial"/>
        </w:rPr>
        <w:t>System changes Listing Available -&gt; Reserved atomically with the Order creation.</w:t>
      </w:r>
    </w:p>
    <w:p>
      <w:pPr>
        <w:pStyle w:val="ListNumber"/>
      </w:pPr>
      <w:r>
        <w:rPr>
          <w:rFonts w:ascii="Arial" w:hAnsi="Arial"/>
        </w:rPr>
        <w:t>After commit, seller notification is attempted.</w:t>
      </w:r>
    </w:p>
    <w:p>
      <w:pPr>
        <w:pStyle w:val="ListNumber"/>
      </w:pPr>
      <w:r>
        <w:rPr>
          <w:rFonts w:ascii="Arial" w:hAnsi="Arial"/>
        </w:rPr>
        <w:t>The API returns the Order reference, Pending status, Reserved listing status and response deadline.</w:t>
      </w:r>
    </w:p>
    <w:p>
      <w:pPr>
        <w:pStyle w:val="Heading1"/>
      </w:pPr>
      <w:r>
        <w:rPr>
          <w:rFonts w:ascii="Arial" w:hAnsi="Arial"/>
        </w:rPr>
        <w:t>5. Quality requirements</w:t>
      </w:r>
    </w:p>
    <w:tbl>
      <w:tblPr>
        <w:tblW w:type="auto" w:w="0"/>
        <w:jc w:val="center"/>
        <w:tblLayout w:type="autofit"/>
        <w:tblLook w:firstColumn="1" w:firstRow="1" w:lastColumn="0" w:lastRow="0" w:noHBand="0" w:noVBand="1" w:val="04A0"/>
      </w:tblPr>
      <w:tblGrid>
        <w:gridCol w:w="3249"/>
        <w:gridCol w:w="3249"/>
        <w:gridCol w:w="3249"/>
      </w:tblGrid>
      <w:tr>
        <w:trPr>
          <w:cantSplit/>
        </w:trPr>
        <w:tc>
          <w:tcPr>
            <w:tcW w:type="dxa" w:w="3249"/>
            <w:vAlign w:val="center"/>
            <w:shd w:fill="6D0F24"/>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b/>
                <w:color w:val="FFFFFF"/>
                <w:sz w:val="18"/>
              </w:rPr>
              <w:t>Quality concern</w:t>
            </w:r>
          </w:p>
        </w:tc>
        <w:tc>
          <w:tcPr>
            <w:tcW w:type="dxa" w:w="3249"/>
            <w:vAlign w:val="center"/>
            <w:shd w:fill="6D0F24"/>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b/>
                <w:color w:val="FFFFFF"/>
                <w:sz w:val="18"/>
              </w:rPr>
              <w:t>Design obligation</w:t>
            </w:r>
          </w:p>
        </w:tc>
        <w:tc>
          <w:tcPr>
            <w:tcW w:type="dxa" w:w="3249"/>
            <w:vAlign w:val="center"/>
            <w:shd w:fill="6D0F24"/>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b/>
                <w:color w:val="FFFFFF"/>
                <w:sz w:val="18"/>
              </w:rPr>
              <w:t>Implemented evidence</w:t>
            </w:r>
          </w:p>
        </w:tc>
      </w:tr>
      <w:tr>
        <w:trPr>
          <w:cantSplit/>
        </w:trPr>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Duplicate prevention</w:t>
            </w:r>
          </w:p>
        </w:tc>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At most one live reservation per Listing.</w:t>
            </w:r>
          </w:p>
        </w:tc>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Partial unique index + concurrent/duplicate tests.</w:t>
            </w:r>
          </w:p>
        </w:tc>
      </w:tr>
      <w:tr>
        <w:trPr>
          <w:cantSplit/>
        </w:trPr>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Transaction consistency</w:t>
            </w:r>
          </w:p>
        </w:tc>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Order creation and Listing reservation cannot diverge.</w:t>
            </w:r>
          </w:p>
        </w:tc>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SQLite BEGIN IMMEDIATE transaction and rollback behavior.</w:t>
            </w:r>
          </w:p>
        </w:tc>
      </w:tr>
      <w:tr>
        <w:trPr>
          <w:cantSplit/>
        </w:trPr>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Stale availability</w:t>
            </w:r>
          </w:p>
        </w:tc>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Final availability check before commit.</w:t>
            </w:r>
          </w:p>
        </w:tc>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Service checks status and guarded UPDATE.</w:t>
            </w:r>
          </w:p>
        </w:tc>
      </w:tr>
      <w:tr>
        <w:trPr>
          <w:cantSplit/>
        </w:trPr>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Failure tolerance</w:t>
            </w:r>
          </w:p>
        </w:tc>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Notification failure must not roll back reservation.</w:t>
            </w:r>
          </w:p>
        </w:tc>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Notification executed after commit; failure test passes.</w:t>
            </w:r>
          </w:p>
        </w:tc>
      </w:tr>
      <w:tr>
        <w:trPr>
          <w:cantSplit/>
        </w:trPr>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Traceability</w:t>
            </w:r>
          </w:p>
        </w:tc>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Requirement -&gt; design -&gt; code -&gt; test -&gt; result.</w:t>
            </w:r>
          </w:p>
        </w:tc>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Reconciliation matrix in Phase 2 evidence.</w:t>
            </w:r>
          </w:p>
        </w:tc>
      </w:tr>
    </w:tbl>
    <w:p>
      <w:pPr>
        <w:pStyle w:val="Heading1"/>
      </w:pPr>
      <w:r>
        <w:rPr>
          <w:rFonts w:ascii="Arial" w:hAnsi="Arial"/>
        </w:rPr>
        <w:t>6. Analysis/domain model and responsibilities</w:t>
      </w:r>
    </w:p>
    <w:p>
      <w:pPr>
        <w:spacing w:after="80" w:line="252" w:lineRule="auto"/>
      </w:pPr>
      <w:r>
        <w:rPr>
          <w:rFonts w:ascii="Arial" w:hAnsi="Arial"/>
        </w:rPr>
        <w:t>The Phase 2 implementation preserves the Phase 1 domain vocabulary. The runnable slice persists StudentAccount, Listing, Order, OrderStatusChange and Notification information. The wider Review, Report and administrator responsibilities remain design-level artifacts.</w:t>
      </w:r>
    </w:p>
    <w:p>
      <w:pPr>
        <w:spacing w:after="80" w:line="252" w:lineRule="auto"/>
        <w:jc w:val="center"/>
      </w:pPr>
      <w:r>
        <w:rPr>
          <w:rFonts w:ascii="Arial" w:hAnsi="Arial"/>
        </w:rPr>
        <w:drawing>
          <wp:inline xmlns:a="http://schemas.openxmlformats.org/drawingml/2006/main" xmlns:pic="http://schemas.openxmlformats.org/drawingml/2006/picture">
            <wp:extent cx="5943600" cy="7426851"/>
            <wp:docPr id="2" name="Picture 2"/>
            <wp:cNvGraphicFramePr>
              <a:graphicFrameLocks noChangeAspect="1"/>
            </wp:cNvGraphicFramePr>
            <a:graphic>
              <a:graphicData uri="http://schemas.openxmlformats.org/drawingml/2006/picture">
                <pic:pic>
                  <pic:nvPicPr>
                    <pic:cNvPr id="0" name="marketplace_uml_class_diagram.png"/>
                    <pic:cNvPicPr/>
                  </pic:nvPicPr>
                  <pic:blipFill>
                    <a:blip r:embed="rId18"/>
                    <a:stretch>
                      <a:fillRect/>
                    </a:stretch>
                  </pic:blipFill>
                  <pic:spPr>
                    <a:xfrm>
                      <a:off x="0" y="0"/>
                      <a:ext cx="5943600" cy="7426851"/>
                    </a:xfrm>
                    <a:prstGeom prst="rect"/>
                  </pic:spPr>
                </pic:pic>
              </a:graphicData>
            </a:graphic>
          </wp:inline>
        </w:drawing>
      </w:r>
    </w:p>
    <w:p>
      <w:pPr>
        <w:spacing w:after="80" w:line="252" w:lineRule="auto"/>
        <w:jc w:val="center"/>
      </w:pPr>
      <w:r>
        <w:rPr>
          <w:rFonts w:ascii="Arial" w:hAnsi="Arial"/>
          <w:b/>
          <w:sz w:val="18"/>
        </w:rPr>
        <w:t>Figure 2. Phase 1 domain model carried into Phase 2 design.</w:t>
      </w:r>
    </w:p>
    <w:tbl>
      <w:tblPr>
        <w:tblW w:type="auto" w:w="0"/>
        <w:jc w:val="center"/>
        <w:tblLayout w:type="autofit"/>
        <w:tblLook w:firstColumn="1" w:firstRow="1" w:lastColumn="0" w:lastRow="0" w:noHBand="0" w:noVBand="1" w:val="04A0"/>
      </w:tblPr>
      <w:tblGrid>
        <w:gridCol w:w="4873"/>
        <w:gridCol w:w="4873"/>
      </w:tblGrid>
      <w:tr>
        <w:trPr>
          <w:cantSplit/>
        </w:trPr>
        <w:tc>
          <w:tcPr>
            <w:tcW w:type="dxa" w:w="4873"/>
            <w:vAlign w:val="center"/>
            <w:shd w:fill="6D0F24"/>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b/>
                <w:color w:val="FFFFFF"/>
                <w:sz w:val="18"/>
              </w:rPr>
              <w:t>Responsibility</w:t>
            </w:r>
          </w:p>
        </w:tc>
        <w:tc>
          <w:tcPr>
            <w:tcW w:type="dxa" w:w="4873"/>
            <w:vAlign w:val="center"/>
            <w:shd w:fill="6D0F24"/>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b/>
                <w:color w:val="FFFFFF"/>
                <w:sz w:val="18"/>
              </w:rPr>
              <w:t>Owner</w:t>
            </w:r>
          </w:p>
        </w:tc>
      </w:tr>
      <w:tr>
        <w:trPr>
          <w:cantSplit/>
        </w:trPr>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Buyer eligibility</w:t>
            </w:r>
          </w:p>
        </w:tc>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StudentAccount / reservation validation</w:t>
            </w:r>
          </w:p>
        </w:tc>
      </w:tr>
      <w:tr>
        <w:trPr>
          <w:cantSplit/>
        </w:trPr>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Listing availability and ownership</w:t>
            </w:r>
          </w:p>
        </w:tc>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Listing</w:t>
            </w:r>
          </w:p>
        </w:tc>
      </w:tr>
      <w:tr>
        <w:trPr>
          <w:cantSplit/>
        </w:trPr>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Order lifecycle data</w:t>
            </w:r>
          </w:p>
        </w:tc>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Order</w:t>
            </w:r>
          </w:p>
        </w:tc>
      </w:tr>
      <w:tr>
        <w:trPr>
          <w:cantSplit/>
        </w:trPr>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State-history evidence</w:t>
            </w:r>
          </w:p>
        </w:tc>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OrderStatusChange</w:t>
            </w:r>
          </w:p>
        </w:tc>
      </w:tr>
      <w:tr>
        <w:trPr>
          <w:cantSplit/>
        </w:trPr>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UC-05 coordination and transaction boundary</w:t>
            </w:r>
          </w:p>
        </w:tc>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ReservationService</w:t>
            </w:r>
          </w:p>
        </w:tc>
      </w:tr>
      <w:tr>
        <w:trPr>
          <w:cantSplit/>
        </w:trPr>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Notification delivery boundary</w:t>
            </w:r>
          </w:p>
        </w:tc>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NotificationPort</w:t>
            </w:r>
          </w:p>
        </w:tc>
      </w:tr>
    </w:tbl>
    <w:p>
      <w:pPr>
        <w:pStyle w:val="Heading1"/>
      </w:pPr>
      <w:r>
        <w:rPr>
          <w:rFonts w:ascii="Arial" w:hAnsi="Arial"/>
        </w:rPr>
        <w:t>7. Interaction and lifecycle</w:t>
      </w:r>
    </w:p>
    <w:p>
      <w:pPr>
        <w:spacing w:after="80" w:line="252" w:lineRule="auto"/>
        <w:jc w:val="center"/>
      </w:pPr>
      <w:r>
        <w:rPr>
          <w:rFonts w:ascii="Arial" w:hAnsi="Arial"/>
        </w:rPr>
        <w:drawing>
          <wp:inline xmlns:a="http://schemas.openxmlformats.org/drawingml/2006/main" xmlns:pic="http://schemas.openxmlformats.org/drawingml/2006/picture">
            <wp:extent cx="6126480" cy="3784002"/>
            <wp:docPr id="3" name="Picture 3"/>
            <wp:cNvGraphicFramePr>
              <a:graphicFrameLocks noChangeAspect="1"/>
            </wp:cNvGraphicFramePr>
            <a:graphic>
              <a:graphicData uri="http://schemas.openxmlformats.org/drawingml/2006/picture">
                <pic:pic>
                  <pic:nvPicPr>
                    <pic:cNvPr id="0" name="sequence.png"/>
                    <pic:cNvPicPr/>
                  </pic:nvPicPr>
                  <pic:blipFill>
                    <a:blip r:embed="rId19"/>
                    <a:stretch>
                      <a:fillRect/>
                    </a:stretch>
                  </pic:blipFill>
                  <pic:spPr>
                    <a:xfrm>
                      <a:off x="0" y="0"/>
                      <a:ext cx="6126480" cy="3784002"/>
                    </a:xfrm>
                    <a:prstGeom prst="rect"/>
                  </pic:spPr>
                </pic:pic>
              </a:graphicData>
            </a:graphic>
          </wp:inline>
        </w:drawing>
      </w:r>
    </w:p>
    <w:p>
      <w:pPr>
        <w:spacing w:after="80" w:line="252" w:lineRule="auto"/>
        <w:jc w:val="center"/>
      </w:pPr>
      <w:r>
        <w:rPr>
          <w:rFonts w:ascii="Arial" w:hAnsi="Arial"/>
          <w:b/>
          <w:sz w:val="18"/>
        </w:rPr>
        <w:t>Figure 3. UC-05 reservation interaction model.</w:t>
      </w:r>
    </w:p>
    <w:p>
      <w:pPr>
        <w:spacing w:after="80" w:line="252" w:lineRule="auto"/>
      </w:pPr>
      <w:r>
        <w:rPr>
          <w:rFonts w:ascii="Arial" w:hAnsi="Arial"/>
        </w:rPr>
        <w:t>The implementation follows the sequence-model intent: validation and the final listing check precede Order creation; reservation state is committed before notification; and the failure of notification is isolated from the core transaction.</w:t>
      </w:r>
    </w:p>
    <w:p>
      <w:pPr>
        <w:spacing w:after="80" w:line="252" w:lineRule="auto"/>
        <w:jc w:val="center"/>
      </w:pPr>
      <w:r>
        <w:rPr>
          <w:rFonts w:ascii="Arial" w:hAnsi="Arial"/>
        </w:rPr>
        <w:drawing>
          <wp:inline xmlns:a="http://schemas.openxmlformats.org/drawingml/2006/main" xmlns:pic="http://schemas.openxmlformats.org/drawingml/2006/picture">
            <wp:extent cx="6035040" cy="4023360"/>
            <wp:docPr id="4" name="Picture 4"/>
            <wp:cNvGraphicFramePr>
              <a:graphicFrameLocks noChangeAspect="1"/>
            </wp:cNvGraphicFramePr>
            <a:graphic>
              <a:graphicData uri="http://schemas.openxmlformats.org/drawingml/2006/picture">
                <pic:pic>
                  <pic:nvPicPr>
                    <pic:cNvPr id="0" name="a_clean_black_and_white_uml_state_machine_diagram.png"/>
                    <pic:cNvPicPr/>
                  </pic:nvPicPr>
                  <pic:blipFill>
                    <a:blip r:embed="rId20"/>
                    <a:stretch>
                      <a:fillRect/>
                    </a:stretch>
                  </pic:blipFill>
                  <pic:spPr>
                    <a:xfrm>
                      <a:off x="0" y="0"/>
                      <a:ext cx="6035040" cy="4023360"/>
                    </a:xfrm>
                    <a:prstGeom prst="rect"/>
                  </pic:spPr>
                </pic:pic>
              </a:graphicData>
            </a:graphic>
          </wp:inline>
        </w:drawing>
      </w:r>
    </w:p>
    <w:p>
      <w:pPr>
        <w:spacing w:after="80" w:line="252" w:lineRule="auto"/>
        <w:jc w:val="center"/>
      </w:pPr>
      <w:r>
        <w:rPr>
          <w:rFonts w:ascii="Arial" w:hAnsi="Arial"/>
          <w:b/>
          <w:sz w:val="18"/>
        </w:rPr>
        <w:t>Figure 4. Order state machine retained as the full lifecycle design.</w:t>
      </w:r>
    </w:p>
    <w:p>
      <w:pPr>
        <w:spacing w:after="80" w:line="252" w:lineRule="auto"/>
      </w:pPr>
      <w:r>
        <w:rPr>
          <w:rFonts w:ascii="Arial" w:hAnsi="Arial"/>
        </w:rPr>
        <w:t>Only the Pending creation transition is exercised by the Phase 2 runnable slice. Seller acceptance/rejection, expiry, cancellation, delivery and completion remain part of the approved lifecycle design but are not claimed as implemented in this vertical slice.</w:t>
      </w:r>
    </w:p>
    <w:p>
      <w:pPr>
        <w:pStyle w:val="Heading1"/>
      </w:pPr>
      <w:r>
        <w:rPr>
          <w:rFonts w:ascii="Arial" w:hAnsi="Arial"/>
        </w:rPr>
        <w:t>8. Architecture and decisions</w:t>
      </w:r>
    </w:p>
    <w:p>
      <w:pPr>
        <w:pStyle w:val="Heading2"/>
      </w:pPr>
      <w:r>
        <w:rPr>
          <w:rFonts w:ascii="Arial" w:hAnsi="Arial"/>
        </w:rPr>
        <w:t>8.1 Selected architecture</w:t>
      </w:r>
    </w:p>
    <w:p>
      <w:pPr>
        <w:spacing w:after="80" w:line="252" w:lineRule="auto"/>
      </w:pPr>
      <w:r>
        <w:rPr>
          <w:rFonts w:ascii="Arial" w:hAnsi="Arial"/>
        </w:rPr>
        <w:t>TRANS-UB retains the modular layered monolith selected in Phase 1/Lab 7. The Phase 2 slice implements the same direction in a compact form: HTTP boundary -&gt; ReservationService -&gt; persistence transaction, with notification isolated as a secondary dependency.</w:t>
      </w:r>
    </w:p>
    <w:p>
      <w:pPr>
        <w:spacing w:after="80" w:line="252" w:lineRule="auto"/>
        <w:jc w:val="center"/>
      </w:pPr>
      <w:r>
        <w:rPr>
          <w:rFonts w:ascii="Arial" w:hAnsi="Arial"/>
        </w:rPr>
        <w:drawing>
          <wp:inline xmlns:a="http://schemas.openxmlformats.org/drawingml/2006/main" xmlns:pic="http://schemas.openxmlformats.org/drawingml/2006/picture">
            <wp:extent cx="6126480" cy="3177606"/>
            <wp:docPr id="5" name="Picture 5"/>
            <wp:cNvGraphicFramePr>
              <a:graphicFrameLocks noChangeAspect="1"/>
            </wp:cNvGraphicFramePr>
            <a:graphic>
              <a:graphicData uri="http://schemas.openxmlformats.org/drawingml/2006/picture">
                <pic:pic>
                  <pic:nvPicPr>
                    <pic:cNvPr id="0" name="wide_diagram_architectural_uml_component_style_ill.png"/>
                    <pic:cNvPicPr/>
                  </pic:nvPicPr>
                  <pic:blipFill>
                    <a:blip r:embed="rId21"/>
                    <a:stretch>
                      <a:fillRect/>
                    </a:stretch>
                  </pic:blipFill>
                  <pic:spPr>
                    <a:xfrm>
                      <a:off x="0" y="0"/>
                      <a:ext cx="6126480" cy="3177606"/>
                    </a:xfrm>
                    <a:prstGeom prst="rect"/>
                  </pic:spPr>
                </pic:pic>
              </a:graphicData>
            </a:graphic>
          </wp:inline>
        </w:drawing>
      </w:r>
    </w:p>
    <w:p>
      <w:pPr>
        <w:spacing w:after="80" w:line="252" w:lineRule="auto"/>
        <w:jc w:val="center"/>
      </w:pPr>
      <w:r>
        <w:rPr>
          <w:rFonts w:ascii="Arial" w:hAnsi="Arial"/>
          <w:b/>
          <w:sz w:val="18"/>
        </w:rPr>
        <w:t>Figure 5. TRANS-UB component architecture.</w:t>
      </w:r>
    </w:p>
    <w:tbl>
      <w:tblPr>
        <w:tblW w:type="auto" w:w="0"/>
        <w:jc w:val="center"/>
        <w:tblLayout w:type="autofit"/>
        <w:tblLook w:firstColumn="1" w:firstRow="1" w:lastColumn="0" w:lastRow="0" w:noHBand="0" w:noVBand="1" w:val="04A0"/>
      </w:tblPr>
      <w:tblGrid>
        <w:gridCol w:w="4873"/>
        <w:gridCol w:w="4873"/>
      </w:tblGrid>
      <w:tr>
        <w:trPr>
          <w:cantSplit/>
        </w:trPr>
        <w:tc>
          <w:tcPr>
            <w:tcW w:type="dxa" w:w="4873"/>
            <w:vAlign w:val="center"/>
            <w:shd w:fill="6D0F24"/>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b/>
                <w:color w:val="FFFFFF"/>
                <w:sz w:val="18"/>
              </w:rPr>
              <w:t>Decision</w:t>
            </w:r>
          </w:p>
        </w:tc>
        <w:tc>
          <w:tcPr>
            <w:tcW w:type="dxa" w:w="4873"/>
            <w:vAlign w:val="center"/>
            <w:shd w:fill="6D0F24"/>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b/>
                <w:color w:val="FFFFFF"/>
                <w:sz w:val="18"/>
              </w:rPr>
              <w:t>Outcome</w:t>
            </w:r>
          </w:p>
        </w:tc>
      </w:tr>
      <w:tr>
        <w:trPr>
          <w:cantSplit/>
        </w:trPr>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D-001</w:t>
            </w:r>
          </w:p>
        </w:tc>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No online payment or platform-controlled physical handover.</w:t>
            </w:r>
          </w:p>
        </w:tc>
      </w:tr>
      <w:tr>
        <w:trPr>
          <w:cantSplit/>
        </w:trPr>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ADR-001</w:t>
            </w:r>
          </w:p>
        </w:tc>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Use modular layered monolith rather than distributed services.</w:t>
            </w:r>
          </w:p>
        </w:tc>
      </w:tr>
      <w:tr>
        <w:trPr>
          <w:cantSplit/>
        </w:trPr>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ADR-002</w:t>
            </w:r>
          </w:p>
        </w:tc>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Core workflow depends on stable persistence/notification ports rather than concrete external technology.</w:t>
            </w:r>
          </w:p>
        </w:tc>
      </w:tr>
    </w:tbl>
    <w:p>
      <w:pPr>
        <w:pStyle w:val="Heading2"/>
      </w:pPr>
      <w:r>
        <w:rPr>
          <w:rFonts w:ascii="Arial" w:hAnsi="Arial"/>
        </w:rPr>
        <w:t>8.2 Consequences</w:t>
      </w:r>
    </w:p>
    <w:p>
      <w:pPr>
        <w:pStyle w:val="ListBullet"/>
      </w:pPr>
      <w:r>
        <w:rPr>
          <w:rFonts w:ascii="Arial" w:hAnsi="Arial"/>
        </w:rPr>
        <w:t>Single-process deployment keeps the prototype simple and allows one transaction boundary.</w:t>
      </w:r>
    </w:p>
    <w:p>
      <w:pPr>
        <w:pStyle w:val="ListBullet"/>
      </w:pPr>
      <w:r>
        <w:rPr>
          <w:rFonts w:ascii="Arial" w:hAnsi="Arial"/>
        </w:rPr>
        <w:t>Clear module/port boundaries improve testability and reduce infrastructure coupling.</w:t>
      </w:r>
    </w:p>
    <w:p>
      <w:pPr>
        <w:pStyle w:val="ListBullet"/>
      </w:pPr>
      <w:r>
        <w:rPr>
          <w:rFonts w:ascii="Arial" w:hAnsi="Arial"/>
        </w:rPr>
        <w:t>The prototype remains unsuitable for production without stronger identity, security, operational monitoring and deployment hardening.</w:t>
      </w:r>
    </w:p>
    <w:p>
      <w:pPr>
        <w:pStyle w:val="Heading1"/>
      </w:pPr>
      <w:r>
        <w:rPr>
          <w:rFonts w:ascii="Arial" w:hAnsi="Arial"/>
        </w:rPr>
        <w:t>9. Data, API/service and deployment design</w:t>
      </w:r>
    </w:p>
    <w:p>
      <w:pPr>
        <w:pStyle w:val="Heading2"/>
      </w:pPr>
      <w:r>
        <w:rPr>
          <w:rFonts w:ascii="Arial" w:hAnsi="Arial"/>
        </w:rPr>
        <w:t>9.1 Logical data model</w:t>
      </w:r>
    </w:p>
    <w:p>
      <w:pPr>
        <w:spacing w:after="80" w:line="252" w:lineRule="auto"/>
        <w:jc w:val="center"/>
      </w:pPr>
      <w:r>
        <w:drawing>
          <wp:inline xmlns:a="http://schemas.openxmlformats.org/drawingml/2006/main" xmlns:pic="http://schemas.openxmlformats.org/drawingml/2006/picture">
            <wp:extent cx="6080760" cy="3851148"/>
            <wp:docPr id="12" name="Picture 12"/>
            <wp:cNvGraphicFramePr>
              <a:graphicFrameLocks noChangeAspect="1"/>
            </wp:cNvGraphicFramePr>
            <a:graphic>
              <a:graphicData uri="http://schemas.openxmlformats.org/drawingml/2006/picture">
                <pic:pic>
                  <pic:nvPicPr>
                    <pic:cNvPr id="0" name="logical_model_uniform.png"/>
                    <pic:cNvPicPr/>
                  </pic:nvPicPr>
                  <pic:blipFill>
                    <a:blip r:embed="rId28"/>
                    <a:stretch>
                      <a:fillRect/>
                    </a:stretch>
                  </pic:blipFill>
                  <pic:spPr>
                    <a:xfrm>
                      <a:off x="0" y="0"/>
                      <a:ext cx="6080760" cy="3851148"/>
                    </a:xfrm>
                    <a:prstGeom prst="rect"/>
                  </pic:spPr>
                </pic:pic>
              </a:graphicData>
            </a:graphic>
          </wp:inline>
        </w:drawing>
      </w:r>
    </w:p>
    <w:p>
      <w:pPr>
        <w:spacing w:after="80" w:line="252" w:lineRule="auto"/>
        <w:jc w:val="center"/>
      </w:pPr>
      <w:r>
        <w:rPr>
          <w:rFonts w:ascii="Arial" w:hAnsi="Arial"/>
          <w:b/>
          <w:sz w:val="18"/>
        </w:rPr>
        <w:t>Figure 6. Logical data model implemented by schema/schema.sql.</w:t>
      </w:r>
    </w:p>
    <w:p>
      <w:pPr>
        <w:spacing w:after="80" w:line="252" w:lineRule="auto"/>
      </w:pPr>
      <w:r>
        <w:rPr>
          <w:rFonts w:ascii="Arial" w:hAnsi="Arial"/>
        </w:rPr>
        <w:t>The database schema enforces referential relationships and defines a partial unique index on orders(listing_id) for live states Pending, Accepted and Delivered. This complements the application-level availability check and is the strongest persistence-level protection against duplicate live reservations.</w:t>
      </w:r>
    </w:p>
    <w:p>
      <w:pPr>
        <w:pStyle w:val="Heading2"/>
      </w:pPr>
      <w:r>
        <w:rPr>
          <w:rFonts w:ascii="Arial" w:hAnsi="Arial"/>
        </w:rPr>
        <w:t>9.2 Core API/service contract</w:t>
      </w:r>
    </w:p>
    <w:p>
      <w:pPr>
        <w:spacing w:before="60" w:after="80" w:line="252" w:lineRule="auto"/>
      </w:pPr>
      <w:r>
        <w:rPr>
          <w:rFonts w:ascii="Courier New" w:hAnsi="Courier New"/>
          <w:sz w:val="17"/>
        </w:rPr>
        <w:t>POST /api/listings/{listingId}/reserve</w:t>
      </w:r>
    </w:p>
    <w:tbl>
      <w:tblPr>
        <w:tblW w:type="auto" w:w="0"/>
        <w:jc w:val="center"/>
        <w:tblLayout w:type="autofit"/>
        <w:tblLook w:firstColumn="1" w:firstRow="1" w:lastColumn="0" w:lastRow="0" w:noHBand="0" w:noVBand="1" w:val="04A0"/>
      </w:tblPr>
      <w:tblGrid>
        <w:gridCol w:w="4873"/>
        <w:gridCol w:w="4873"/>
      </w:tblGrid>
      <w:tr>
        <w:trPr>
          <w:cantSplit/>
        </w:trPr>
        <w:tc>
          <w:tcPr>
            <w:tcW w:type="dxa" w:w="4873"/>
            <w:vAlign w:val="center"/>
            <w:shd w:fill="6D0F24"/>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b/>
                <w:color w:val="FFFFFF"/>
                <w:sz w:val="18"/>
              </w:rPr>
              <w:t>Input / output</w:t>
            </w:r>
          </w:p>
        </w:tc>
        <w:tc>
          <w:tcPr>
            <w:tcW w:type="dxa" w:w="4873"/>
            <w:vAlign w:val="center"/>
            <w:shd w:fill="6D0F24"/>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b/>
                <w:color w:val="FFFFFF"/>
                <w:sz w:val="18"/>
              </w:rPr>
              <w:t>Contract</w:t>
            </w:r>
          </w:p>
        </w:tc>
      </w:tr>
      <w:tr>
        <w:trPr>
          <w:cantSplit/>
        </w:trPr>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Path</w:t>
            </w:r>
          </w:p>
        </w:tc>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listingId identifies the Listing to reserve.</w:t>
            </w:r>
          </w:p>
        </w:tc>
      </w:tr>
      <w:tr>
        <w:trPr>
          <w:cantSplit/>
        </w:trPr>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Request body</w:t>
            </w:r>
          </w:p>
        </w:tc>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buyerId required; buyerNote optional.</w:t>
            </w:r>
          </w:p>
        </w:tc>
      </w:tr>
      <w:tr>
        <w:trPr>
          <w:cantSplit/>
        </w:trPr>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201 success</w:t>
            </w:r>
          </w:p>
        </w:tc>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Pending Order, Reserved Listing, responseDeadline and notificationOutcome returned.</w:t>
            </w:r>
          </w:p>
        </w:tc>
      </w:tr>
      <w:tr>
        <w:trPr>
          <w:cantSplit/>
        </w:trPr>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400</w:t>
            </w:r>
          </w:p>
        </w:tc>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INVALID_REQUEST</w:t>
            </w:r>
          </w:p>
        </w:tc>
      </w:tr>
      <w:tr>
        <w:trPr>
          <w:cantSplit/>
        </w:trPr>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403</w:t>
            </w:r>
          </w:p>
        </w:tc>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BUYER_NOT_ELIGIBLE or OWN_LISTING</w:t>
            </w:r>
          </w:p>
        </w:tc>
      </w:tr>
      <w:tr>
        <w:trPr>
          <w:cantSplit/>
        </w:trPr>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404</w:t>
            </w:r>
          </w:p>
        </w:tc>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BUYER_NOT_FOUND or LISTING_NOT_FOUND</w:t>
            </w:r>
          </w:p>
        </w:tc>
      </w:tr>
      <w:tr>
        <w:trPr>
          <w:cantSplit/>
        </w:trPr>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409</w:t>
            </w:r>
          </w:p>
        </w:tc>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LISTING_NOT_AVAILABLE or DUPLICATE_RESERVATION</w:t>
            </w:r>
          </w:p>
        </w:tc>
      </w:tr>
    </w:tbl>
    <w:p>
      <w:pPr>
        <w:pStyle w:val="Heading2"/>
      </w:pPr>
      <w:r>
        <w:rPr>
          <w:rFonts w:ascii="Arial" w:hAnsi="Arial"/>
        </w:rPr>
        <w:t>9.3 Deployment</w:t>
      </w:r>
    </w:p>
    <w:p>
      <w:pPr>
        <w:spacing w:after="80" w:line="252" w:lineRule="auto"/>
        <w:jc w:val="center"/>
      </w:pPr>
      <w:r>
        <w:rPr>
          <w:rFonts w:ascii="Arial" w:hAnsi="Arial"/>
        </w:rPr>
        <w:drawing>
          <wp:inline xmlns:a="http://schemas.openxmlformats.org/drawingml/2006/main" xmlns:pic="http://schemas.openxmlformats.org/drawingml/2006/picture">
            <wp:extent cx="5943600" cy="3695161"/>
            <wp:docPr id="7" name="Picture 7"/>
            <wp:cNvGraphicFramePr>
              <a:graphicFrameLocks noChangeAspect="1"/>
            </wp:cNvGraphicFramePr>
            <a:graphic>
              <a:graphicData uri="http://schemas.openxmlformats.org/drawingml/2006/picture">
                <pic:pic>
                  <pic:nvPicPr>
                    <pic:cNvPr id="0" name="deployment.png"/>
                    <pic:cNvPicPr/>
                  </pic:nvPicPr>
                  <pic:blipFill>
                    <a:blip r:embed="rId23"/>
                    <a:stretch>
                      <a:fillRect/>
                    </a:stretch>
                  </pic:blipFill>
                  <pic:spPr>
                    <a:xfrm>
                      <a:off x="0" y="0"/>
                      <a:ext cx="5943600" cy="3695161"/>
                    </a:xfrm>
                    <a:prstGeom prst="rect"/>
                  </pic:spPr>
                </pic:pic>
              </a:graphicData>
            </a:graphic>
          </wp:inline>
        </w:drawing>
      </w:r>
    </w:p>
    <w:p>
      <w:pPr>
        <w:spacing w:after="80" w:line="252" w:lineRule="auto"/>
        <w:jc w:val="center"/>
      </w:pPr>
      <w:r>
        <w:rPr>
          <w:rFonts w:ascii="Arial" w:hAnsi="Arial"/>
          <w:b/>
          <w:sz w:val="18"/>
        </w:rPr>
        <w:t>Figure 7. Phase 2 runtime/deployment structure.</w:t>
      </w:r>
    </w:p>
    <w:p>
      <w:pPr>
        <w:pStyle w:val="Heading2"/>
      </w:pPr>
      <w:r>
        <w:rPr>
          <w:rFonts w:ascii="Arial" w:hAnsi="Arial"/>
        </w:rPr>
        <w:t>9.4 Failure/recovery behavior</w:t>
      </w:r>
    </w:p>
    <w:p>
      <w:pPr>
        <w:spacing w:after="80" w:line="252" w:lineRule="auto"/>
      </w:pPr>
      <w:r>
        <w:rPr>
          <w:rFonts w:ascii="Arial" w:hAnsi="Arial"/>
        </w:rPr>
        <w:t>The core reservation state is committed before seller notification. If notification raises an exception, the service records outcome FAILED but leaves the Order Pending and Listing Reserved. If reservation validation or persistence fails before commit, the transaction rolls back and the service returns an error without partial reservation state.</w:t>
      </w:r>
    </w:p>
    <w:p>
      <w:pPr>
        <w:pStyle w:val="Heading1"/>
      </w:pPr>
      <w:r>
        <w:rPr>
          <w:rFonts w:ascii="Arial" w:hAnsi="Arial"/>
        </w:rPr>
        <w:t>10. Detailed design, patterns and framework</w:t>
      </w:r>
    </w:p>
    <w:p>
      <w:pPr>
        <w:spacing w:after="80" w:line="252" w:lineRule="auto"/>
        <w:jc w:val="center"/>
      </w:pPr>
      <w:r>
        <w:drawing>
          <wp:inline xmlns:a="http://schemas.openxmlformats.org/drawingml/2006/main" xmlns:pic="http://schemas.openxmlformats.org/drawingml/2006/picture">
            <wp:extent cx="6080760" cy="3800475"/>
            <wp:docPr id="13" name="Picture 13"/>
            <wp:cNvGraphicFramePr>
              <a:graphicFrameLocks noChangeAspect="1"/>
            </wp:cNvGraphicFramePr>
            <a:graphic>
              <a:graphicData uri="http://schemas.openxmlformats.org/drawingml/2006/picture">
                <pic:pic>
                  <pic:nvPicPr>
                    <pic:cNvPr id="0" name="interface_design_uniform.png"/>
                    <pic:cNvPicPr/>
                  </pic:nvPicPr>
                  <pic:blipFill>
                    <a:blip r:embed="rId29"/>
                    <a:stretch>
                      <a:fillRect/>
                    </a:stretch>
                  </pic:blipFill>
                  <pic:spPr>
                    <a:xfrm>
                      <a:off x="0" y="0"/>
                      <a:ext cx="6080760" cy="3800475"/>
                    </a:xfrm>
                    <a:prstGeom prst="rect"/>
                  </pic:spPr>
                </pic:pic>
              </a:graphicData>
            </a:graphic>
          </wp:inline>
        </w:drawing>
      </w:r>
    </w:p>
    <w:p>
      <w:pPr>
        <w:spacing w:after="80" w:line="252" w:lineRule="auto"/>
        <w:jc w:val="center"/>
      </w:pPr>
      <w:r>
        <w:rPr>
          <w:rFonts w:ascii="Arial" w:hAnsi="Arial"/>
          <w:b/>
          <w:sz w:val="18"/>
        </w:rPr>
        <w:t>Figure 8. Detailed class/interface design for the UC-05 workflow.</w:t>
      </w:r>
    </w:p>
    <w:tbl>
      <w:tblPr>
        <w:tblW w:type="auto" w:w="0"/>
        <w:jc w:val="center"/>
        <w:tblLayout w:type="autofit"/>
        <w:tblLook w:firstColumn="1" w:firstRow="1" w:lastColumn="0" w:lastRow="0" w:noHBand="0" w:noVBand="1" w:val="04A0"/>
      </w:tblPr>
      <w:tblGrid>
        <w:gridCol w:w="3249"/>
        <w:gridCol w:w="3249"/>
        <w:gridCol w:w="3249"/>
      </w:tblGrid>
      <w:tr>
        <w:trPr>
          <w:cantSplit/>
        </w:trPr>
        <w:tc>
          <w:tcPr>
            <w:tcW w:type="dxa" w:w="3249"/>
            <w:vAlign w:val="center"/>
            <w:shd w:fill="6D0F24"/>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b/>
                <w:color w:val="FFFFFF"/>
                <w:sz w:val="18"/>
              </w:rPr>
              <w:t>Problem</w:t>
            </w:r>
          </w:p>
        </w:tc>
        <w:tc>
          <w:tcPr>
            <w:tcW w:type="dxa" w:w="3249"/>
            <w:vAlign w:val="center"/>
            <w:shd w:fill="6D0F24"/>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b/>
                <w:color w:val="FFFFFF"/>
                <w:sz w:val="18"/>
              </w:rPr>
              <w:t>Selected technique</w:t>
            </w:r>
          </w:p>
        </w:tc>
        <w:tc>
          <w:tcPr>
            <w:tcW w:type="dxa" w:w="3249"/>
            <w:vAlign w:val="center"/>
            <w:shd w:fill="6D0F24"/>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b/>
                <w:color w:val="FFFFFF"/>
                <w:sz w:val="18"/>
              </w:rPr>
              <w:t>Reason</w:t>
            </w:r>
          </w:p>
        </w:tc>
      </w:tr>
      <w:tr>
        <w:trPr>
          <w:cantSplit/>
        </w:trPr>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Persistence coupling</w:t>
            </w:r>
          </w:p>
        </w:tc>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Repository/port boundary</w:t>
            </w:r>
          </w:p>
        </w:tc>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Keeps core workflow independent of database-specific code.</w:t>
            </w:r>
          </w:p>
        </w:tc>
      </w:tr>
      <w:tr>
        <w:trPr>
          <w:cantSplit/>
        </w:trPr>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Workflow coordination</w:t>
            </w:r>
          </w:p>
        </w:tc>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Application Service / ReservationService</w:t>
            </w:r>
          </w:p>
        </w:tc>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Creates one explicit entry point and transaction boundary.</w:t>
            </w:r>
          </w:p>
        </w:tc>
      </w:tr>
      <w:tr>
        <w:trPr>
          <w:cantSplit/>
        </w:trPr>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Notification dependency</w:t>
            </w:r>
          </w:p>
        </w:tc>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Dependency inversion / NotificationPort</w:t>
            </w:r>
          </w:p>
        </w:tc>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Allows failure isolation and provider substitution.</w:t>
            </w:r>
          </w:p>
        </w:tc>
      </w:tr>
      <w:tr>
        <w:trPr>
          <w:cantSplit/>
        </w:trPr>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Order states</w:t>
            </w:r>
          </w:p>
        </w:tc>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Full State pattern rejected</w:t>
            </w:r>
          </w:p>
        </w:tc>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Current lifecycle can be expressed more simply through controlled transitions.</w:t>
            </w:r>
          </w:p>
        </w:tc>
      </w:tr>
    </w:tbl>
    <w:p>
      <w:pPr>
        <w:spacing w:after="80" w:line="252" w:lineRule="auto"/>
      </w:pPr>
      <w:r>
        <w:rPr>
          <w:rFonts w:ascii="Arial" w:hAnsi="Arial"/>
        </w:rPr>
        <w:t>The runnable slice is intentionally framework-light: Python standard-library HTTP handling and sqlite3 are used so the vertical slice remains self-contained. This is a Phase 2 implementation choice for demonstrability, not a claim that these libraries are the final production technology stack.</w:t>
      </w:r>
    </w:p>
    <w:p>
      <w:pPr>
        <w:pStyle w:val="Heading1"/>
      </w:pPr>
      <w:r>
        <w:rPr>
          <w:rFonts w:ascii="Arial" w:hAnsi="Arial"/>
        </w:rPr>
        <w:t>11. User-interface, accessibility and usability</w:t>
      </w:r>
    </w:p>
    <w:p>
      <w:pPr>
        <w:spacing w:after="80" w:line="252" w:lineRule="auto"/>
        <w:jc w:val="center"/>
      </w:pPr>
      <w:r>
        <w:rPr>
          <w:rFonts w:ascii="Arial" w:hAnsi="Arial"/>
        </w:rPr>
        <w:drawing>
          <wp:inline xmlns:a="http://schemas.openxmlformats.org/drawingml/2006/main" xmlns:pic="http://schemas.openxmlformats.org/drawingml/2006/picture">
            <wp:extent cx="5943600" cy="3511296"/>
            <wp:docPr id="9" name="Picture 9"/>
            <wp:cNvGraphicFramePr>
              <a:graphicFrameLocks noChangeAspect="1"/>
            </wp:cNvGraphicFramePr>
            <a:graphic>
              <a:graphicData uri="http://schemas.openxmlformats.org/drawingml/2006/picture">
                <pic:pic>
                  <pic:nvPicPr>
                    <pic:cNvPr id="0" name="navigation.png"/>
                    <pic:cNvPicPr/>
                  </pic:nvPicPr>
                  <pic:blipFill>
                    <a:blip r:embed="rId25"/>
                    <a:stretch>
                      <a:fillRect/>
                    </a:stretch>
                  </pic:blipFill>
                  <pic:spPr>
                    <a:xfrm>
                      <a:off x="0" y="0"/>
                      <a:ext cx="5943600" cy="3511296"/>
                    </a:xfrm>
                    <a:prstGeom prst="rect"/>
                  </pic:spPr>
                </pic:pic>
              </a:graphicData>
            </a:graphic>
          </wp:inline>
        </w:drawing>
      </w:r>
    </w:p>
    <w:p>
      <w:pPr>
        <w:spacing w:after="80" w:line="252" w:lineRule="auto"/>
        <w:jc w:val="center"/>
      </w:pPr>
      <w:r>
        <w:rPr>
          <w:rFonts w:ascii="Arial" w:hAnsi="Arial"/>
          <w:b/>
          <w:sz w:val="18"/>
        </w:rPr>
        <w:t>Figure 9. Navigation model for buyer reservation and administrator reporting tasks.</w:t>
      </w:r>
    </w:p>
    <w:p>
      <w:pPr>
        <w:spacing w:after="80" w:line="252" w:lineRule="auto"/>
        <w:jc w:val="center"/>
      </w:pPr>
      <w:r>
        <w:rPr>
          <w:rFonts w:ascii="Arial" w:hAnsi="Arial"/>
        </w:rPr>
        <w:drawing>
          <wp:inline xmlns:a="http://schemas.openxmlformats.org/drawingml/2006/main" xmlns:pic="http://schemas.openxmlformats.org/drawingml/2006/picture">
            <wp:extent cx="5943600" cy="3612860"/>
            <wp:docPr id="10" name="Picture 10"/>
            <wp:cNvGraphicFramePr>
              <a:graphicFrameLocks noChangeAspect="1"/>
            </wp:cNvGraphicFramePr>
            <a:graphic>
              <a:graphicData uri="http://schemas.openxmlformats.org/drawingml/2006/picture">
                <pic:pic>
                  <pic:nvPicPr>
                    <pic:cNvPr id="0" name="wireframes.png"/>
                    <pic:cNvPicPr/>
                  </pic:nvPicPr>
                  <pic:blipFill>
                    <a:blip r:embed="rId26"/>
                    <a:stretch>
                      <a:fillRect/>
                    </a:stretch>
                  </pic:blipFill>
                  <pic:spPr>
                    <a:xfrm>
                      <a:off x="0" y="0"/>
                      <a:ext cx="5943600" cy="3612860"/>
                    </a:xfrm>
                    <a:prstGeom prst="rect"/>
                  </pic:spPr>
                </pic:pic>
              </a:graphicData>
            </a:graphic>
          </wp:inline>
        </w:drawing>
      </w:r>
    </w:p>
    <w:p>
      <w:pPr>
        <w:spacing w:after="80" w:line="252" w:lineRule="auto"/>
        <w:jc w:val="center"/>
      </w:pPr>
      <w:r>
        <w:rPr>
          <w:rFonts w:ascii="Arial" w:hAnsi="Arial"/>
          <w:b/>
          <w:sz w:val="18"/>
        </w:rPr>
        <w:t>Figure 10. Low-fidelity task-focused wireframes from Lab 10.</w:t>
      </w:r>
    </w:p>
    <w:p>
      <w:pPr>
        <w:spacing w:after="80" w:line="252" w:lineRule="auto"/>
      </w:pPr>
      <w:r>
        <w:rPr>
          <w:rFonts w:ascii="Arial" w:hAnsi="Arial"/>
        </w:rPr>
        <w:t>The Phase 2 runnable slice exposes the reservation operation through HTTP rather than a finished graphical UI. Therefore the Lab 10 navigation, wireframes and accessibility criteria are retained as implementation obligations rather than falsely reported as completed UI behavior.</w:t>
      </w:r>
    </w:p>
    <w:p>
      <w:pPr>
        <w:pStyle w:val="ListBullet"/>
      </w:pPr>
      <w:r>
        <w:rPr>
          <w:rFonts w:ascii="Arial" w:hAnsi="Arial"/>
        </w:rPr>
        <w:t>Status must be communicated using text, not colour alone.</w:t>
      </w:r>
    </w:p>
    <w:p>
      <w:pPr>
        <w:pStyle w:val="ListBullet"/>
      </w:pPr>
      <w:r>
        <w:rPr>
          <w:rFonts w:ascii="Arial" w:hAnsi="Arial"/>
        </w:rPr>
        <w:t>The reservation screen must disclose the 24-hour response rule.</w:t>
      </w:r>
    </w:p>
    <w:p>
      <w:pPr>
        <w:pStyle w:val="ListBullet"/>
      </w:pPr>
      <w:r>
        <w:rPr>
          <w:rFonts w:ascii="Arial" w:hAnsi="Arial"/>
        </w:rPr>
        <w:t>A stale/unavailable result must explain that no new Order was created.</w:t>
      </w:r>
    </w:p>
    <w:p>
      <w:pPr>
        <w:pStyle w:val="ListBullet"/>
      </w:pPr>
      <w:r>
        <w:rPr>
          <w:rFonts w:ascii="Arial" w:hAnsi="Arial"/>
        </w:rPr>
        <w:t>An unknown/offline outcome should direct the buyer to check existing orders before retrying.</w:t>
      </w:r>
    </w:p>
    <w:p>
      <w:pPr>
        <w:spacing w:after="80" w:line="252" w:lineRule="auto"/>
      </w:pPr>
      <w:r>
        <w:rPr>
          <w:rFonts w:ascii="Arial" w:hAnsi="Arial"/>
        </w:rPr>
        <w:t>The three-person usability record should contain real participant observations before it is used as portfolio evidence; no participant results are fabricated in this report.</w:t>
      </w:r>
    </w:p>
    <w:p>
      <w:pPr>
        <w:pStyle w:val="Heading1"/>
      </w:pPr>
      <w:r>
        <w:rPr>
          <w:rFonts w:ascii="Arial" w:hAnsi="Arial"/>
        </w:rPr>
        <w:t>12. Implementation vertical slice</w:t>
      </w:r>
    </w:p>
    <w:p>
      <w:pPr>
        <w:pStyle w:val="Heading2"/>
      </w:pPr>
      <w:r>
        <w:rPr>
          <w:rFonts w:ascii="Arial" w:hAnsi="Arial"/>
        </w:rPr>
        <w:t>12.1 Repository structure</w:t>
      </w:r>
    </w:p>
    <w:p>
      <w:pPr>
        <w:spacing w:before="60" w:after="80" w:line="252" w:lineRule="auto"/>
      </w:pPr>
      <w:r>
        <w:rPr>
          <w:rFonts w:ascii="Courier New" w:hAnsi="Courier New"/>
          <w:sz w:val="17"/>
        </w:rPr>
        <w:t>src/transub/</w:t>
        <w:br/>
        <w:t xml:space="preserve">  api.py</w:t>
        <w:br/>
        <w:t xml:space="preserve">  db.py</w:t>
        <w:br/>
        <w:t xml:space="preserve">  service.py</w:t>
        <w:br/>
        <w:t xml:space="preserve">  setup_db.py</w:t>
        <w:br/>
        <w:t>tests/</w:t>
        <w:br/>
        <w:t xml:space="preserve">  test_reservation.py</w:t>
        <w:br/>
        <w:t>schema/</w:t>
        <w:br/>
        <w:t xml:space="preserve">  schema.sql</w:t>
        <w:br/>
        <w:t>Docs/</w:t>
        <w:br/>
        <w:t>Evidence/</w:t>
        <w:br/>
        <w:t>README.md</w:t>
      </w:r>
    </w:p>
    <w:p>
      <w:pPr>
        <w:pStyle w:val="Heading2"/>
      </w:pPr>
      <w:r>
        <w:rPr>
          <w:rFonts w:ascii="Arial" w:hAnsi="Arial"/>
        </w:rPr>
        <w:t>12.2 Setup and run</w:t>
      </w:r>
    </w:p>
    <w:p>
      <w:pPr>
        <w:spacing w:before="60" w:after="80" w:line="252" w:lineRule="auto"/>
      </w:pPr>
      <w:r>
        <w:rPr>
          <w:rFonts w:ascii="Courier New" w:hAnsi="Courier New"/>
          <w:sz w:val="17"/>
        </w:rPr>
        <w:t>python3 -m src.transub.setup_db</w:t>
      </w:r>
    </w:p>
    <w:p>
      <w:pPr>
        <w:spacing w:before="60" w:after="80" w:line="252" w:lineRule="auto"/>
      </w:pPr>
      <w:r>
        <w:rPr>
          <w:rFonts w:ascii="Courier New" w:hAnsi="Courier New"/>
          <w:sz w:val="17"/>
        </w:rPr>
        <w:t>python3 -m src.transub.api</w:t>
      </w:r>
    </w:p>
    <w:p>
      <w:pPr>
        <w:spacing w:before="60" w:after="80" w:line="252" w:lineRule="auto"/>
      </w:pPr>
      <w:r>
        <w:rPr>
          <w:rFonts w:ascii="Courier New" w:hAnsi="Courier New"/>
          <w:sz w:val="17"/>
        </w:rPr>
        <w:t>python3 -m unittest discover -s tests -v</w:t>
      </w:r>
    </w:p>
    <w:p>
      <w:pPr>
        <w:pStyle w:val="Heading2"/>
      </w:pPr>
      <w:r>
        <w:rPr>
          <w:rFonts w:ascii="Arial" w:hAnsi="Arial"/>
        </w:rPr>
        <w:t>12.3 Implemented transaction</w:t>
      </w:r>
    </w:p>
    <w:p>
      <w:pPr>
        <w:pStyle w:val="ListNumber"/>
      </w:pPr>
      <w:r>
        <w:rPr>
          <w:rFonts w:ascii="Arial" w:hAnsi="Arial"/>
        </w:rPr>
        <w:t>Begin an immediate SQLite transaction.</w:t>
      </w:r>
    </w:p>
    <w:p>
      <w:pPr>
        <w:pStyle w:val="ListNumber"/>
      </w:pPr>
      <w:r>
        <w:rPr>
          <w:rFonts w:ascii="Arial" w:hAnsi="Arial"/>
        </w:rPr>
        <w:t>Validate buyer existence, active/eligible state and own-listing restriction.</w:t>
      </w:r>
    </w:p>
    <w:p>
      <w:pPr>
        <w:pStyle w:val="ListNumber"/>
      </w:pPr>
      <w:r>
        <w:rPr>
          <w:rFonts w:ascii="Arial" w:hAnsi="Arial"/>
        </w:rPr>
        <w:t>Load Listing and require approved + Available.</w:t>
      </w:r>
    </w:p>
    <w:p>
      <w:pPr>
        <w:pStyle w:val="ListNumber"/>
      </w:pPr>
      <w:r>
        <w:rPr>
          <w:rFonts w:ascii="Arial" w:hAnsi="Arial"/>
        </w:rPr>
        <w:t>Insert the Pending Order.</w:t>
      </w:r>
    </w:p>
    <w:p>
      <w:pPr>
        <w:pStyle w:val="ListNumber"/>
      </w:pPr>
      <w:r>
        <w:rPr>
          <w:rFonts w:ascii="Arial" w:hAnsi="Arial"/>
        </w:rPr>
        <w:t>Insert OrderStatusChange from none to Pending.</w:t>
      </w:r>
    </w:p>
    <w:p>
      <w:pPr>
        <w:pStyle w:val="ListNumber"/>
      </w:pPr>
      <w:r>
        <w:rPr>
          <w:rFonts w:ascii="Arial" w:hAnsi="Arial"/>
        </w:rPr>
        <w:t>Guardedly update Listing from Available to Reserved.</w:t>
      </w:r>
    </w:p>
    <w:p>
      <w:pPr>
        <w:pStyle w:val="ListNumber"/>
      </w:pPr>
      <w:r>
        <w:rPr>
          <w:rFonts w:ascii="Arial" w:hAnsi="Arial"/>
        </w:rPr>
        <w:t>Commit the core transaction.</w:t>
      </w:r>
    </w:p>
    <w:p>
      <w:pPr>
        <w:pStyle w:val="ListNumber"/>
      </w:pPr>
      <w:r>
        <w:rPr>
          <w:rFonts w:ascii="Arial" w:hAnsi="Arial"/>
        </w:rPr>
        <w:t>Attempt notification after commit and persist DELIVERED or FAILED outcome.</w:t>
      </w:r>
    </w:p>
    <w:p>
      <w:pPr>
        <w:pStyle w:val="Heading1"/>
      </w:pPr>
      <w:r>
        <w:rPr>
          <w:rFonts w:ascii="Arial" w:hAnsi="Arial"/>
        </w:rPr>
        <w:t>13. Testing and results</w:t>
      </w:r>
    </w:p>
    <w:p>
      <w:pPr>
        <w:spacing w:after="80" w:line="252" w:lineRule="auto"/>
      </w:pPr>
      <w:r>
        <w:rPr>
          <w:rFonts w:ascii="Arial" w:hAnsi="Arial"/>
        </w:rPr>
        <w:t>The automated test suite was executed again during final report preparation. Seven tests passed, with zero failures and zero errors.</w:t>
      </w:r>
    </w:p>
    <w:tbl>
      <w:tblPr>
        <w:tblW w:type="auto" w:w="0"/>
        <w:jc w:val="center"/>
        <w:tblLayout w:type="autofit"/>
        <w:tblLook w:firstColumn="1" w:firstRow="1" w:lastColumn="0" w:lastRow="0" w:noHBand="0" w:noVBand="1" w:val="04A0"/>
      </w:tblPr>
      <w:tblGrid>
        <w:gridCol w:w="3249"/>
        <w:gridCol w:w="3249"/>
        <w:gridCol w:w="3249"/>
      </w:tblGrid>
      <w:tr>
        <w:trPr>
          <w:cantSplit/>
        </w:trPr>
        <w:tc>
          <w:tcPr>
            <w:tcW w:type="dxa" w:w="3249"/>
            <w:vAlign w:val="center"/>
            <w:shd w:fill="6D0F24"/>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b/>
                <w:color w:val="FFFFFF"/>
                <w:sz w:val="18"/>
              </w:rPr>
              <w:t>Test</w:t>
            </w:r>
          </w:p>
        </w:tc>
        <w:tc>
          <w:tcPr>
            <w:tcW w:type="dxa" w:w="3249"/>
            <w:vAlign w:val="center"/>
            <w:shd w:fill="6D0F24"/>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b/>
                <w:color w:val="FFFFFF"/>
                <w:sz w:val="18"/>
              </w:rPr>
              <w:t>Expected behavior</w:t>
            </w:r>
          </w:p>
        </w:tc>
        <w:tc>
          <w:tcPr>
            <w:tcW w:type="dxa" w:w="3249"/>
            <w:vAlign w:val="center"/>
            <w:shd w:fill="6D0F24"/>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b/>
                <w:color w:val="FFFFFF"/>
                <w:sz w:val="18"/>
              </w:rPr>
              <w:t>Result</w:t>
            </w:r>
          </w:p>
        </w:tc>
      </w:tr>
      <w:tr>
        <w:trPr>
          <w:cantSplit/>
        </w:trPr>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test_success</w:t>
            </w:r>
          </w:p>
        </w:tc>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Pending Order created; Listing Reserved; status history recorded.</w:t>
            </w:r>
          </w:p>
        </w:tc>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PASS</w:t>
            </w:r>
          </w:p>
        </w:tc>
      </w:tr>
      <w:tr>
        <w:trPr>
          <w:cantSplit/>
        </w:trPr>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test_invalid</w:t>
            </w:r>
          </w:p>
        </w:tc>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Missing buyer input rejected.</w:t>
            </w:r>
          </w:p>
        </w:tc>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PASS</w:t>
            </w:r>
          </w:p>
        </w:tc>
      </w:tr>
      <w:tr>
        <w:trPr>
          <w:cantSplit/>
        </w:trPr>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test_own_listing</w:t>
            </w:r>
          </w:p>
        </w:tc>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Buyer cannot reserve own Listing.</w:t>
            </w:r>
          </w:p>
        </w:tc>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PASS</w:t>
            </w:r>
          </w:p>
        </w:tc>
      </w:tr>
      <w:tr>
        <w:trPr>
          <w:cantSplit/>
        </w:trPr>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test_ineligible</w:t>
            </w:r>
          </w:p>
        </w:tc>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Ineligible buyer rejected.</w:t>
            </w:r>
          </w:p>
        </w:tc>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PASS</w:t>
            </w:r>
          </w:p>
        </w:tc>
      </w:tr>
      <w:tr>
        <w:trPr>
          <w:cantSplit/>
        </w:trPr>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test_duplicate</w:t>
            </w:r>
          </w:p>
        </w:tc>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Second live reservation prevented.</w:t>
            </w:r>
          </w:p>
        </w:tc>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PASS</w:t>
            </w:r>
          </w:p>
        </w:tc>
      </w:tr>
      <w:tr>
        <w:trPr>
          <w:cantSplit/>
        </w:trPr>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test_concurrent_exactly_one</w:t>
            </w:r>
          </w:p>
        </w:tc>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Two concurrent attempts produce exactly one success.</w:t>
            </w:r>
          </w:p>
        </w:tc>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PASS</w:t>
            </w:r>
          </w:p>
        </w:tc>
      </w:tr>
      <w:tr>
        <w:trPr>
          <w:cantSplit/>
        </w:trPr>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test_notification_failure</w:t>
            </w:r>
          </w:p>
        </w:tc>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Notification failure does not roll back reservation.</w:t>
            </w:r>
          </w:p>
        </w:tc>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PASS</w:t>
            </w:r>
          </w:p>
        </w:tc>
      </w:tr>
    </w:tbl>
    <w:p>
      <w:pPr>
        <w:spacing w:before="60" w:after="80" w:line="252" w:lineRule="auto"/>
      </w:pPr>
      <w:r>
        <w:rPr>
          <w:rFonts w:ascii="Courier New" w:hAnsi="Courier New"/>
          <w:sz w:val="17"/>
        </w:rPr>
        <w:t>Ran 7 tests in 0.149s</w:t>
        <w:br/>
        <w:br/>
        <w:t>OK</w:t>
      </w:r>
    </w:p>
    <w:p>
      <w:pPr>
        <w:pStyle w:val="Heading2"/>
      </w:pPr>
      <w:r>
        <w:rPr>
          <w:rFonts w:ascii="Arial" w:hAnsi="Arial"/>
        </w:rPr>
        <w:t>13.1 HTTP smoke test</w:t>
      </w:r>
    </w:p>
    <w:p>
      <w:pPr>
        <w:spacing w:before="60" w:after="80" w:line="252" w:lineRule="auto"/>
      </w:pPr>
      <w:r>
        <w:rPr>
          <w:rFonts w:ascii="Courier New" w:hAnsi="Courier New"/>
          <w:sz w:val="17"/>
        </w:rPr>
        <w:t>POST /api/listings/LIST-104/reserve</w:t>
        <w:br/>
        <w:br/>
        <w:t>Observed:</w:t>
        <w:br/>
        <w:t>status = Pending</w:t>
        <w:br/>
        <w:t>listingStatus = Reserved</w:t>
        <w:br/>
        <w:t>notificationOutcome = DELIVERED</w:t>
      </w:r>
    </w:p>
    <w:p>
      <w:pPr>
        <w:spacing w:after="80" w:line="252" w:lineRule="auto"/>
      </w:pPr>
      <w:r>
        <w:rPr>
          <w:rFonts w:ascii="Arial" w:hAnsi="Arial"/>
        </w:rPr>
        <w:t>The generated order reference and timestamps vary on each run; therefore they are not treated as fixed expected values.</w:t>
      </w:r>
    </w:p>
    <w:p>
      <w:pPr>
        <w:pStyle w:val="Heading1"/>
      </w:pPr>
      <w:r>
        <w:rPr>
          <w:rFonts w:ascii="Arial" w:hAnsi="Arial"/>
        </w:rPr>
        <w:t>14. Reconciliation and change history</w:t>
      </w:r>
    </w:p>
    <w:tbl>
      <w:tblPr>
        <w:tblW w:type="auto" w:w="0"/>
        <w:jc w:val="center"/>
        <w:tblLayout w:type="autofit"/>
        <w:tblLook w:firstColumn="1" w:firstRow="1" w:lastColumn="0" w:lastRow="0" w:noHBand="0" w:noVBand="1" w:val="04A0"/>
      </w:tblPr>
      <w:tblGrid>
        <w:gridCol w:w="2436"/>
        <w:gridCol w:w="2436"/>
        <w:gridCol w:w="2436"/>
        <w:gridCol w:w="2436"/>
      </w:tblGrid>
      <w:tr>
        <w:trPr>
          <w:cantSplit/>
        </w:trPr>
        <w:tc>
          <w:tcPr>
            <w:tcW w:type="dxa" w:w="2436"/>
            <w:vAlign w:val="center"/>
            <w:shd w:fill="6D0F24"/>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b/>
                <w:color w:val="FFFFFF"/>
                <w:sz w:val="18"/>
              </w:rPr>
              <w:t>Requirement / concern</w:t>
            </w:r>
          </w:p>
        </w:tc>
        <w:tc>
          <w:tcPr>
            <w:tcW w:type="dxa" w:w="2436"/>
            <w:vAlign w:val="center"/>
            <w:shd w:fill="6D0F24"/>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b/>
                <w:color w:val="FFFFFF"/>
                <w:sz w:val="18"/>
              </w:rPr>
              <w:t>Design evidence</w:t>
            </w:r>
          </w:p>
        </w:tc>
        <w:tc>
          <w:tcPr>
            <w:tcW w:type="dxa" w:w="2436"/>
            <w:vAlign w:val="center"/>
            <w:shd w:fill="6D0F24"/>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b/>
                <w:color w:val="FFFFFF"/>
                <w:sz w:val="18"/>
              </w:rPr>
              <w:t>Code evidence</w:t>
            </w:r>
          </w:p>
        </w:tc>
        <w:tc>
          <w:tcPr>
            <w:tcW w:type="dxa" w:w="2436"/>
            <w:vAlign w:val="center"/>
            <w:shd w:fill="6D0F24"/>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b/>
                <w:color w:val="FFFFFF"/>
                <w:sz w:val="18"/>
              </w:rPr>
              <w:t>Test/result</w:t>
            </w:r>
          </w:p>
        </w:tc>
      </w:tr>
      <w:tr>
        <w:trPr>
          <w:cantSplit/>
        </w:trPr>
        <w:tc>
          <w:tcPr>
            <w:tcW w:type="dxa" w:w="2436"/>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FR-05 / UC-05 reservation</w:t>
            </w:r>
          </w:p>
        </w:tc>
        <w:tc>
          <w:tcPr>
            <w:tcW w:type="dxa" w:w="2436"/>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Sequence + API contract</w:t>
            </w:r>
          </w:p>
        </w:tc>
        <w:tc>
          <w:tcPr>
            <w:tcW w:type="dxa" w:w="2436"/>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src/transub/service.py</w:t>
            </w:r>
          </w:p>
        </w:tc>
        <w:tc>
          <w:tcPr>
            <w:tcW w:type="dxa" w:w="2436"/>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test_success — PASS</w:t>
            </w:r>
          </w:p>
        </w:tc>
      </w:tr>
      <w:tr>
        <w:trPr>
          <w:cantSplit/>
        </w:trPr>
        <w:tc>
          <w:tcPr>
            <w:tcW w:type="dxa" w:w="2436"/>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Duplicate prevention</w:t>
            </w:r>
          </w:p>
        </w:tc>
        <w:tc>
          <w:tcPr>
            <w:tcW w:type="dxa" w:w="2436"/>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Quality/architecture constraint</w:t>
            </w:r>
          </w:p>
        </w:tc>
        <w:tc>
          <w:tcPr>
            <w:tcW w:type="dxa" w:w="2436"/>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schema unique live-order index + transaction</w:t>
            </w:r>
          </w:p>
        </w:tc>
        <w:tc>
          <w:tcPr>
            <w:tcW w:type="dxa" w:w="2436"/>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test_duplicate — PASS</w:t>
            </w:r>
          </w:p>
        </w:tc>
      </w:tr>
      <w:tr>
        <w:trPr>
          <w:cantSplit/>
        </w:trPr>
        <w:tc>
          <w:tcPr>
            <w:tcW w:type="dxa" w:w="2436"/>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Simultaneous requests</w:t>
            </w:r>
          </w:p>
        </w:tc>
        <w:tc>
          <w:tcPr>
            <w:tcW w:type="dxa" w:w="2436"/>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Architecture risk</w:t>
            </w:r>
          </w:p>
        </w:tc>
        <w:tc>
          <w:tcPr>
            <w:tcW w:type="dxa" w:w="2436"/>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BEGIN IMMEDIATE + guarded update</w:t>
            </w:r>
          </w:p>
        </w:tc>
        <w:tc>
          <w:tcPr>
            <w:tcW w:type="dxa" w:w="2436"/>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test_concurrent_exactly_one — PASS</w:t>
            </w:r>
          </w:p>
        </w:tc>
      </w:tr>
      <w:tr>
        <w:trPr>
          <w:cantSplit/>
        </w:trPr>
        <w:tc>
          <w:tcPr>
            <w:tcW w:type="dxa" w:w="2436"/>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Own-listing rule</w:t>
            </w:r>
          </w:p>
        </w:tc>
        <w:tc>
          <w:tcPr>
            <w:tcW w:type="dxa" w:w="2436"/>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API validation</w:t>
            </w:r>
          </w:p>
        </w:tc>
        <w:tc>
          <w:tcPr>
            <w:tcW w:type="dxa" w:w="2436"/>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ReservationService</w:t>
            </w:r>
          </w:p>
        </w:tc>
        <w:tc>
          <w:tcPr>
            <w:tcW w:type="dxa" w:w="2436"/>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test_own_listing — PASS</w:t>
            </w:r>
          </w:p>
        </w:tc>
      </w:tr>
      <w:tr>
        <w:trPr>
          <w:cantSplit/>
        </w:trPr>
        <w:tc>
          <w:tcPr>
            <w:tcW w:type="dxa" w:w="2436"/>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Buyer eligibility</w:t>
            </w:r>
          </w:p>
        </w:tc>
        <w:tc>
          <w:tcPr>
            <w:tcW w:type="dxa" w:w="2436"/>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API validation</w:t>
            </w:r>
          </w:p>
        </w:tc>
        <w:tc>
          <w:tcPr>
            <w:tcW w:type="dxa" w:w="2436"/>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ReservationService</w:t>
            </w:r>
          </w:p>
        </w:tc>
        <w:tc>
          <w:tcPr>
            <w:tcW w:type="dxa" w:w="2436"/>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test_ineligible — PASS</w:t>
            </w:r>
          </w:p>
        </w:tc>
      </w:tr>
      <w:tr>
        <w:trPr>
          <w:cantSplit/>
        </w:trPr>
        <w:tc>
          <w:tcPr>
            <w:tcW w:type="dxa" w:w="2436"/>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Notification failure tolerance</w:t>
            </w:r>
          </w:p>
        </w:tc>
        <w:tc>
          <w:tcPr>
            <w:tcW w:type="dxa" w:w="2436"/>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Quality scenario / NotificationPort</w:t>
            </w:r>
          </w:p>
        </w:tc>
        <w:tc>
          <w:tcPr>
            <w:tcW w:type="dxa" w:w="2436"/>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notification after commit</w:t>
            </w:r>
          </w:p>
        </w:tc>
        <w:tc>
          <w:tcPr>
            <w:tcW w:type="dxa" w:w="2436"/>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test_notification_failure — PASS</w:t>
            </w:r>
          </w:p>
        </w:tc>
      </w:tr>
    </w:tbl>
    <w:p>
      <w:pPr>
        <w:pStyle w:val="Heading2"/>
      </w:pPr>
      <w:r>
        <w:rPr>
          <w:rFonts w:ascii="Arial" w:hAnsi="Arial"/>
        </w:rPr>
        <w:t>14.1 Honest differences from the broader design</w:t>
      </w:r>
    </w:p>
    <w:p>
      <w:pPr>
        <w:pStyle w:val="ListBullet"/>
      </w:pPr>
      <w:r>
        <w:rPr>
          <w:rFonts w:ascii="Arial" w:hAnsi="Arial"/>
        </w:rPr>
        <w:t>Only UC-05 is implemented end to end; the remaining functional requirements remain design-level evidence.</w:t>
      </w:r>
    </w:p>
    <w:p>
      <w:pPr>
        <w:pStyle w:val="ListBullet"/>
      </w:pPr>
      <w:r>
        <w:rPr>
          <w:rFonts w:ascii="Arial" w:hAnsi="Arial"/>
        </w:rPr>
        <w:t>The implementation uses a compact ReservationService and SQLite rather than a complete production framework stack.</w:t>
      </w:r>
    </w:p>
    <w:p>
      <w:pPr>
        <w:pStyle w:val="ListBullet"/>
      </w:pPr>
      <w:r>
        <w:rPr>
          <w:rFonts w:ascii="Arial" w:hAnsi="Arial"/>
        </w:rPr>
        <w:t>The database schema includes only entities required by the reservation vertical slice.</w:t>
      </w:r>
    </w:p>
    <w:p>
      <w:pPr>
        <w:pStyle w:val="ListBullet"/>
      </w:pPr>
      <w:r>
        <w:rPr>
          <w:rFonts w:ascii="Arial" w:hAnsi="Arial"/>
        </w:rPr>
        <w:t>The current HTTP vertical slice has no finished graphical UI.</w:t>
      </w:r>
    </w:p>
    <w:p>
      <w:pPr>
        <w:pStyle w:val="ListBullet"/>
      </w:pPr>
      <w:r>
        <w:rPr>
          <w:rFonts w:ascii="Arial" w:hAnsi="Arial"/>
        </w:rPr>
        <w:t>Automatic 24-hour expiry is represented by responseDeadline data but no background scheduler is implemented.</w:t>
      </w:r>
    </w:p>
    <w:p>
      <w:pPr>
        <w:pStyle w:val="Heading2"/>
      </w:pPr>
      <w:r>
        <w:rPr>
          <w:rFonts w:ascii="Arial" w:hAnsi="Arial"/>
        </w:rPr>
        <w:t>14.2 Change history</w:t>
      </w:r>
    </w:p>
    <w:tbl>
      <w:tblPr>
        <w:tblW w:type="auto" w:w="0"/>
        <w:jc w:val="center"/>
        <w:tblLayout w:type="autofit"/>
        <w:tblLook w:firstColumn="1" w:firstRow="1" w:lastColumn="0" w:lastRow="0" w:noHBand="0" w:noVBand="1" w:val="04A0"/>
      </w:tblPr>
      <w:tblGrid>
        <w:gridCol w:w="4873"/>
        <w:gridCol w:w="4873"/>
      </w:tblGrid>
      <w:tr>
        <w:trPr>
          <w:cantSplit/>
        </w:trPr>
        <w:tc>
          <w:tcPr>
            <w:tcW w:type="dxa" w:w="4873"/>
            <w:vAlign w:val="center"/>
            <w:shd w:fill="6D0F24"/>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b/>
                <w:color w:val="FFFFFF"/>
                <w:sz w:val="18"/>
              </w:rPr>
              <w:t>Phase / lab</w:t>
            </w:r>
          </w:p>
        </w:tc>
        <w:tc>
          <w:tcPr>
            <w:tcW w:type="dxa" w:w="4873"/>
            <w:vAlign w:val="center"/>
            <w:shd w:fill="6D0F24"/>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b/>
                <w:color w:val="FFFFFF"/>
                <w:sz w:val="18"/>
              </w:rPr>
              <w:t>Change</w:t>
            </w:r>
          </w:p>
        </w:tc>
      </w:tr>
      <w:tr>
        <w:trPr>
          <w:cantSplit/>
        </w:trPr>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Phase 1</w:t>
            </w:r>
          </w:p>
        </w:tc>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Reconciled direct reservation workflow, lifecycle terminology and traceability.</w:t>
            </w:r>
          </w:p>
        </w:tc>
      </w:tr>
      <w:tr>
        <w:trPr>
          <w:cantSplit/>
        </w:trPr>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Lab 7</w:t>
            </w:r>
          </w:p>
        </w:tc>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Selected modular layered monolith and documented architecture drivers.</w:t>
            </w:r>
          </w:p>
        </w:tc>
      </w:tr>
      <w:tr>
        <w:trPr>
          <w:cantSplit/>
        </w:trPr>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Lab 8</w:t>
            </w:r>
          </w:p>
        </w:tc>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Defined logical data, reservation API and failure-integrity obligations.</w:t>
            </w:r>
          </w:p>
        </w:tc>
      </w:tr>
      <w:tr>
        <w:trPr>
          <w:cantSplit/>
        </w:trPr>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Lab 9</w:t>
            </w:r>
          </w:p>
        </w:tc>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Defined application-service and dependency-boundary decisions.</w:t>
            </w:r>
          </w:p>
        </w:tc>
      </w:tr>
      <w:tr>
        <w:trPr>
          <w:cantSplit/>
        </w:trPr>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Lab 10</w:t>
            </w:r>
          </w:p>
        </w:tc>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Prepared navigation, wireframes, UI states and accessibility obligations.</w:t>
            </w:r>
          </w:p>
        </w:tc>
      </w:tr>
      <w:tr>
        <w:trPr>
          <w:cantSplit/>
        </w:trPr>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Lab 11 / Phase 2</w:t>
            </w:r>
          </w:p>
        </w:tc>
        <w:tc>
          <w:tcPr>
            <w:tcW w:type="dxa" w:w="4873"/>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Implemented UC-05 runnable slice, schema and automated tests; recorded reconciliation and residual risk.</w:t>
            </w:r>
          </w:p>
        </w:tc>
      </w:tr>
    </w:tbl>
    <w:p>
      <w:pPr>
        <w:pStyle w:val="Heading1"/>
      </w:pPr>
      <w:r>
        <w:rPr>
          <w:rFonts w:ascii="Arial" w:hAnsi="Arial"/>
        </w:rPr>
        <w:t>15. Risks, technical debt and release recommendation</w:t>
      </w:r>
    </w:p>
    <w:tbl>
      <w:tblPr>
        <w:tblW w:type="auto" w:w="0"/>
        <w:jc w:val="center"/>
        <w:tblLayout w:type="autofit"/>
        <w:tblLook w:firstColumn="1" w:firstRow="1" w:lastColumn="0" w:lastRow="0" w:noHBand="0" w:noVBand="1" w:val="04A0"/>
      </w:tblPr>
      <w:tblGrid>
        <w:gridCol w:w="3249"/>
        <w:gridCol w:w="3249"/>
        <w:gridCol w:w="3249"/>
      </w:tblGrid>
      <w:tr>
        <w:trPr>
          <w:cantSplit/>
        </w:trPr>
        <w:tc>
          <w:tcPr>
            <w:tcW w:type="dxa" w:w="3249"/>
            <w:vAlign w:val="center"/>
            <w:shd w:fill="6D0F24"/>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b/>
                <w:color w:val="FFFFFF"/>
                <w:sz w:val="18"/>
              </w:rPr>
              <w:t>ID</w:t>
            </w:r>
          </w:p>
        </w:tc>
        <w:tc>
          <w:tcPr>
            <w:tcW w:type="dxa" w:w="3249"/>
            <w:vAlign w:val="center"/>
            <w:shd w:fill="6D0F24"/>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b/>
                <w:color w:val="FFFFFF"/>
                <w:sz w:val="18"/>
              </w:rPr>
              <w:t>Residual issue</w:t>
            </w:r>
          </w:p>
        </w:tc>
        <w:tc>
          <w:tcPr>
            <w:tcW w:type="dxa" w:w="3249"/>
            <w:vAlign w:val="center"/>
            <w:shd w:fill="6D0F24"/>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b/>
                <w:color w:val="FFFFFF"/>
                <w:sz w:val="18"/>
              </w:rPr>
              <w:t>Priority / consequence</w:t>
            </w:r>
          </w:p>
        </w:tc>
      </w:tr>
      <w:tr>
        <w:trPr>
          <w:cantSplit/>
        </w:trPr>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TD-01</w:t>
            </w:r>
          </w:p>
        </w:tc>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Synthetic student verification only.</w:t>
            </w:r>
          </w:p>
        </w:tc>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Medium — academic prototype cannot claim official UB identity assurance.</w:t>
            </w:r>
          </w:p>
        </w:tc>
      </w:tr>
      <w:tr>
        <w:trPr>
          <w:cantSplit/>
        </w:trPr>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TD-02</w:t>
            </w:r>
          </w:p>
        </w:tc>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Notification delivery uses simplified prototype behavior.</w:t>
            </w:r>
          </w:p>
        </w:tc>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Medium — retry/backoff/provider integration remain future work.</w:t>
            </w:r>
          </w:p>
        </w:tc>
      </w:tr>
      <w:tr>
        <w:trPr>
          <w:cantSplit/>
        </w:trPr>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TD-03</w:t>
            </w:r>
          </w:p>
        </w:tc>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Only UC-05 is implemented.</w:t>
            </w:r>
          </w:p>
        </w:tc>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High for full-product release; acceptable for approved vertical-slice demonstration.</w:t>
            </w:r>
          </w:p>
        </w:tc>
      </w:tr>
      <w:tr>
        <w:trPr>
          <w:cantSplit/>
        </w:trPr>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TD-04</w:t>
            </w:r>
          </w:p>
        </w:tc>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No automatic 24-hour expiry scheduler.</w:t>
            </w:r>
          </w:p>
        </w:tc>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Medium — deadline is stored but automation is incomplete.</w:t>
            </w:r>
          </w:p>
        </w:tc>
      </w:tr>
      <w:tr>
        <w:trPr>
          <w:cantSplit/>
        </w:trPr>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TD-05</w:t>
            </w:r>
          </w:p>
        </w:tc>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No production security/deployment hardening.</w:t>
            </w:r>
          </w:p>
        </w:tc>
        <w:tc>
          <w:tcPr>
            <w:tcW w:type="dxa" w:w="3249"/>
            <w:vAlign w:val="center"/>
            <w:tcBorders>
              <w:top w:val="single" w:sz="4" w:color="B7B7B7"/>
              <w:left w:val="single" w:sz="4" w:color="B7B7B7"/>
              <w:bottom w:val="single" w:sz="4" w:color="B7B7B7"/>
              <w:right w:val="single" w:sz="4" w:color="B7B7B7"/>
              <w:insideH w:val="single" w:sz="4" w:color="B7B7B7"/>
              <w:insideV w:val="single" w:sz="4" w:color="B7B7B7"/>
            </w:tcBorders>
          </w:tcPr>
          <w:p>
            <w:r>
              <w:rPr>
                <w:rFonts w:ascii="Arial" w:hAnsi="Arial"/>
                <w:sz w:val="18"/>
              </w:rPr>
              <w:t>High for real deployment.</w:t>
            </w:r>
          </w:p>
        </w:tc>
      </w:tr>
    </w:tbl>
    <w:p>
      <w:pPr>
        <w:spacing w:after="80" w:line="252" w:lineRule="auto"/>
      </w:pPr>
      <w:r>
        <w:rPr>
          <w:rFonts w:ascii="Arial" w:hAnsi="Arial"/>
        </w:rPr>
        <w:t>Release recommendation: CONDITIONALLY SUITABLE FOR ACADEMIC PHASE 2 DEMONSTRATION OF UC-05. The implementation and tests support the reservation vertical slice, but the system should not be described as production-ready or as a complete implementation of all TRANS-UB requirements.</w:t>
      </w:r>
    </w:p>
    <w:p>
      <w:pPr>
        <w:pStyle w:val="Heading1"/>
      </w:pPr>
      <w:r>
        <w:rPr>
          <w:rFonts w:ascii="Arial" w:hAnsi="Arial"/>
        </w:rPr>
        <w:t>16. Academic integrity and AI-use record</w:t>
      </w:r>
    </w:p>
    <w:p>
      <w:pPr>
        <w:spacing w:after="80" w:line="252" w:lineRule="auto"/>
      </w:pPr>
      <w:r>
        <w:rPr>
          <w:rFonts w:ascii="Arial" w:hAnsi="Arial"/>
        </w:rPr>
        <w:t>Generative AI assistance was used to help structure documentation, create and revise repository evidence, produce diagrams, implement a small runnable UC-05 vertical slice, and execute/review automated tests in a controlled environment. The generated implementation and report were checked against the approved TRANS-UB requirements and the actual test output. The team remains responsible for verifying, understanding and presenting every submitted artefact, and for disclosing assistance according to University of Botswana course requirements.</w:t>
      </w:r>
    </w:p>
    <w:p>
      <w:pPr>
        <w:spacing w:after="80" w:line="252" w:lineRule="auto"/>
      </w:pPr>
      <w:r>
        <w:rPr>
          <w:rFonts w:ascii="Arial" w:hAnsi="Arial"/>
        </w:rPr>
        <w:t>No simulated test result is reported as an executed result in this report. The seven PASS results in Section 13 are based on an actual execution of the packaged unittest suite. Usability observations are not fabricated.</w:t>
      </w:r>
    </w:p>
    <w:p>
      <w:pPr>
        <w:pStyle w:val="Heading1"/>
      </w:pPr>
      <w:r>
        <w:rPr>
          <w:rFonts w:ascii="Arial" w:hAnsi="Arial"/>
        </w:rPr>
        <w:t>References</w:t>
      </w:r>
    </w:p>
    <w:p>
      <w:pPr>
        <w:pStyle w:val="ListNumber"/>
      </w:pPr>
      <w:r>
        <w:rPr>
          <w:rFonts w:ascii="Arial" w:hAnsi="Arial"/>
        </w:rPr>
        <w:t>University of Botswana. CSI473 Project Design Report Template, Semester 1, 2026/27.</w:t>
      </w:r>
    </w:p>
    <w:p>
      <w:pPr>
        <w:pStyle w:val="ListNumber"/>
      </w:pPr>
      <w:r>
        <w:rPr>
          <w:rFonts w:ascii="Arial" w:hAnsi="Arial"/>
        </w:rPr>
        <w:t>TRANS-UB GitHub repository: https://github.com/lebogang00279/Trans-UB</w:t>
      </w:r>
    </w:p>
    <w:p>
      <w:pPr>
        <w:pStyle w:val="ListNumber"/>
      </w:pPr>
      <w:r>
        <w:rPr>
          <w:rFonts w:ascii="Arial" w:hAnsi="Arial"/>
        </w:rPr>
        <w:t>TRANS-UB Phase 1 Project Design Report and phase1-submission baseline.</w:t>
      </w:r>
    </w:p>
    <w:p>
      <w:pPr>
        <w:pStyle w:val="ListNumber"/>
      </w:pPr>
      <w:r>
        <w:rPr>
          <w:rFonts w:ascii="Arial" w:hAnsi="Arial"/>
        </w:rPr>
        <w:t>TRANS-UB D-001 - Offline Payment and Physical Handover.</w:t>
      </w:r>
    </w:p>
    <w:p>
      <w:pPr>
        <w:pStyle w:val="ListNumber"/>
      </w:pPr>
      <w:r>
        <w:rPr>
          <w:rFonts w:ascii="Arial" w:hAnsi="Arial"/>
        </w:rPr>
        <w:t>TRANS-UB architecture options, quality-to-architecture mapping and ADR-001.</w:t>
      </w:r>
    </w:p>
    <w:p>
      <w:pPr>
        <w:pStyle w:val="ListNumber"/>
      </w:pPr>
      <w:r>
        <w:rPr>
          <w:rFonts w:ascii="Arial" w:hAnsi="Arial"/>
        </w:rPr>
        <w:t>TRANS-UB core reservation API contract and logical data/deployment design.</w:t>
      </w:r>
    </w:p>
    <w:p>
      <w:pPr>
        <w:pStyle w:val="ListNumber"/>
      </w:pPr>
      <w:r>
        <w:rPr>
          <w:rFonts w:ascii="Arial" w:hAnsi="Arial"/>
        </w:rPr>
        <w:t>TRANS-UB pattern decisions, framework decision and ADR-002.</w:t>
      </w:r>
    </w:p>
    <w:p>
      <w:pPr>
        <w:pStyle w:val="ListNumber"/>
      </w:pPr>
      <w:r>
        <w:rPr>
          <w:rFonts w:ascii="Arial" w:hAnsi="Arial"/>
        </w:rPr>
        <w:t>TRANS-UB Phase 2 runnable source, schema, automated tests and test-results summary.</w:t>
      </w:r>
    </w:p>
    <w:p>
      <w:pPr>
        <w:pStyle w:val="Heading1"/>
      </w:pPr>
      <w:r>
        <w:rPr>
          <w:rFonts w:ascii="Arial" w:hAnsi="Arial"/>
        </w:rPr>
        <w:t>Appendices</w:t>
      </w:r>
    </w:p>
    <w:p>
      <w:pPr>
        <w:pStyle w:val="Heading2"/>
      </w:pPr>
      <w:r>
        <w:rPr>
          <w:rFonts w:ascii="Arial" w:hAnsi="Arial"/>
        </w:rPr>
        <w:t>Appendix A - Automated test execution record</w:t>
      </w:r>
    </w:p>
    <w:p>
      <w:pPr>
        <w:spacing w:before="60" w:after="80" w:line="252" w:lineRule="auto"/>
      </w:pPr>
      <w:r>
        <w:rPr>
          <w:rFonts w:ascii="Courier New" w:hAnsi="Courier New"/>
          <w:sz w:val="17"/>
        </w:rPr>
        <w:t>test_concurrent_exactly_one ... ok</w:t>
        <w:br/>
        <w:t>test_duplicate ... ok</w:t>
        <w:br/>
        <w:t>test_ineligible ... ok</w:t>
        <w:br/>
        <w:t>test_invalid ... ok</w:t>
        <w:br/>
        <w:t>test_notification_failure ... ok</w:t>
        <w:br/>
        <w:t>test_own_listing ... ok</w:t>
        <w:br/>
        <w:t>test_success ... ok</w:t>
        <w:br/>
        <w:br/>
        <w:t>Ran 7 tests in 0.149s</w:t>
        <w:br/>
        <w:t>OK</w:t>
      </w:r>
    </w:p>
    <w:p>
      <w:pPr>
        <w:pStyle w:val="Heading2"/>
      </w:pPr>
      <w:r>
        <w:rPr>
          <w:rFonts w:ascii="Arial" w:hAnsi="Arial"/>
        </w:rPr>
        <w:t>Appendix B - Core endpoint example</w:t>
      </w:r>
    </w:p>
    <w:p>
      <w:pPr>
        <w:spacing w:before="60" w:after="80" w:line="252" w:lineRule="auto"/>
      </w:pPr>
      <w:r>
        <w:rPr>
          <w:rFonts w:ascii="Courier New" w:hAnsi="Courier New"/>
          <w:sz w:val="17"/>
        </w:rPr>
        <w:t>POST /api/listings/LIST-104/reserve</w:t>
        <w:br/>
        <w:t>Content-Type: application/json</w:t>
        <w:br/>
        <w:br/>
        <w:t>{</w:t>
        <w:br/>
        <w:t xml:space="preserve">  "buyerId": "202302072",</w:t>
        <w:br/>
        <w:t xml:space="preserve">  "buyerNote": "Campus collection please"</w:t>
        <w:br/>
        <w:t>}</w:t>
      </w:r>
    </w:p>
    <w:p>
      <w:pPr>
        <w:pStyle w:val="Heading2"/>
      </w:pPr>
      <w:r>
        <w:rPr>
          <w:rFonts w:ascii="Arial" w:hAnsi="Arial"/>
        </w:rPr>
        <w:t>Appendix C - Phase 2 submission evidence</w:t>
      </w:r>
    </w:p>
    <w:p>
      <w:pPr>
        <w:pStyle w:val="ListBullet"/>
      </w:pPr>
      <w:r>
        <w:rPr>
          <w:rFonts w:ascii="Arial" w:hAnsi="Arial"/>
        </w:rPr>
        <w:t>Runnable source under src/.</w:t>
      </w:r>
    </w:p>
    <w:p>
      <w:pPr>
        <w:pStyle w:val="ListBullet"/>
      </w:pPr>
      <w:r>
        <w:rPr>
          <w:rFonts w:ascii="Arial" w:hAnsi="Arial"/>
        </w:rPr>
        <w:t>Automated tests under tests/.</w:t>
      </w:r>
    </w:p>
    <w:p>
      <w:pPr>
        <w:pStyle w:val="ListBullet"/>
      </w:pPr>
      <w:r>
        <w:rPr>
          <w:rFonts w:ascii="Arial" w:hAnsi="Arial"/>
        </w:rPr>
        <w:t>Database schema under schema/schema.sql.</w:t>
      </w:r>
    </w:p>
    <w:p>
      <w:pPr>
        <w:pStyle w:val="ListBullet"/>
      </w:pPr>
      <w:r>
        <w:rPr>
          <w:rFonts w:ascii="Arial" w:hAnsi="Arial"/>
        </w:rPr>
        <w:t>Reconciliation matrix and technical-debt/risk register.</w:t>
      </w:r>
    </w:p>
    <w:p>
      <w:pPr>
        <w:pStyle w:val="ListBullet"/>
      </w:pPr>
      <w:r>
        <w:rPr>
          <w:rFonts w:ascii="Arial" w:hAnsi="Arial"/>
        </w:rPr>
        <w:t>Final Phase 2 report PDF under submissions/.</w:t>
      </w:r>
    </w:p>
    <w:p>
      <w:pPr>
        <w:pStyle w:val="ListBullet"/>
      </w:pPr>
      <w:r>
        <w:rPr>
          <w:rFonts w:ascii="Arial" w:hAnsi="Arial"/>
        </w:rPr>
        <w:t>Final repository tag: phase2-submission.</w:t>
      </w:r>
    </w:p>
    <w:sectPr w:rsidR="00EA10B2" w:rsidSect="00034616">
      <w:headerReference w:type="default" r:id="rId13"/>
      <w:footerReference w:type="default" r:id="rId14"/>
      <w:pgSz w:w="11906" w:h="16838"/>
      <w:pgMar w:top="936" w:right="1080" w:bottom="936" w:left="1080" w:header="283" w:footer="283"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4262A" w:rsidRDefault="0024262A">
      <w:pPr>
        <w:spacing w:after="0" w:line="240" w:lineRule="auto"/>
      </w:pPr>
      <w:r>
        <w:separator/>
      </w:r>
    </w:p>
  </w:endnote>
  <w:endnote w:type="continuationSeparator" w:id="0">
    <w:p w:rsidR="0024262A" w:rsidRDefault="002426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24CA4" w:rsidRDefault="00224CA4">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4262A" w:rsidRDefault="0024262A">
      <w:pPr>
        <w:spacing w:after="0" w:line="240" w:lineRule="auto"/>
      </w:pPr>
      <w:r>
        <w:separator/>
      </w:r>
    </w:p>
  </w:footnote>
  <w:footnote w:type="continuationSeparator" w:id="0">
    <w:p w:rsidR="0024262A" w:rsidRDefault="0024262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24CA4" w:rsidRDefault="00224CA4">
    <w:pPr>
      <w:pStyle w:val="Header"/>
    </w:pPr>
  </w:p>
  <w:tbl>
    <w:tblPr>
      <w:tblW w:w="0" w:type="auto"/>
      <w:jc w:val="center"/>
      <w:tblLayout w:type="fixed"/>
      <w:tblLook w:val="04A0" w:firstRow="1" w:lastRow="0" w:firstColumn="1" w:lastColumn="0" w:noHBand="0" w:noVBand="1"/>
    </w:tblPr>
    <w:tblGrid>
      <w:gridCol w:w="1304"/>
      <w:gridCol w:w="8787"/>
    </w:tblGrid>
    <w:tr w:rsidR="00224CA4">
      <w:trPr>
        <w:jc w:val="center"/>
      </w:trPr>
      <w:tc>
        <w:tcPr>
          <w:tcW w:w="1304" w:type="dxa"/>
          <w:tcMar>
            <w:top w:w="0" w:type="dxa"/>
            <w:left w:w="0" w:type="dxa"/>
            <w:bottom w:w="0" w:type="dxa"/>
            <w:right w:w="0" w:type="dxa"/>
          </w:tcMar>
        </w:tcPr>
        <w:p w:rsidR="00224CA4" w:rsidRDefault="00224CA4"/>
      </w:tc>
      <w:tc>
        <w:tcPr>
          <w:tcW w:w="8787" w:type="dxa"/>
          <w:tcMar>
            <w:top w:w="0" w:type="dxa"/>
            <w:left w:w="0" w:type="dxa"/>
            <w:bottom w:w="0" w:type="dxa"/>
            <w:right w:w="0" w:type="dxa"/>
          </w:tcMar>
        </w:tcPr>
        <w:p w:rsidR="00224CA4" w:rsidRDefault="0024262A">
          <w:pPr>
            <w:jc w:val="right"/>
          </w:pPr>
          <w:r>
            <w:rPr>
              <w:b/>
              <w:color w:val="6D0F24"/>
              <w:sz w:val="15"/>
            </w:rPr>
            <w:t>UNIVERSITY OF BOTSWANA - CSI473 PROJECT DESIGN REPORT</w:t>
          </w:r>
        </w:p>
      </w:tc>
    </w:tr>
  </w:tbl>
  <w:p w:rsidR="00224CA4" w:rsidRDefault="00224CA4">
    <w:pPr>
      <w:pBdr>
        <w:bottom w:val="single" w:sz="12" w:space="1" w:color="2F7F8F"/>
      </w:pBdr>
      <w:spacing w:after="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24CA4"/>
    <w:rsid w:val="0024262A"/>
    <w:rsid w:val="0029639D"/>
    <w:rsid w:val="00326F90"/>
    <w:rsid w:val="00AA1D8D"/>
    <w:rsid w:val="00B47730"/>
    <w:rsid w:val="00B81AF3"/>
    <w:rsid w:val="00BD5459"/>
    <w:rsid w:val="00CB0664"/>
    <w:rsid w:val="00CC0C63"/>
    <w:rsid w:val="00DA4E87"/>
    <w:rsid w:val="00E00877"/>
    <w:rsid w:val="00EA10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6B4390B-516E-48B5-9343-7C930ADBF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line="252" w:lineRule="auto"/>
    </w:pPr>
    <w:rPr>
      <w:rFonts w:ascii="Arial" w:eastAsia="Arial" w:hAnsi="Arial"/>
      <w:color w:val="222222"/>
      <w:sz w:val="21"/>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6D0F24"/>
      <w:sz w:val="28"/>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2F7F8F"/>
      <w:sz w:val="24"/>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4B0B1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6D0F2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fi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2BDAED-0B7D-49B8-9B29-BDC2A423BE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10</Pages>
  <Words>3468</Words>
  <Characters>19770</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CSI473 Project Design Report Template</vt:lpstr>
    </vt:vector>
  </TitlesOfParts>
  <Manager/>
  <Company/>
  <LinksUpToDate>false</LinksUpToDate>
  <CharactersWithSpaces>23192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CSI473 Project Design Report Template</dc:title>
  <dc:subject>CSI473 Software Design</dc:subject>
  <dc:creator>Dr Cleverence Kombe</dc:creator>
  <cp:keywords>University of Botswana; CSI473; software design; UML; project; laboratory; Moodle</cp:keywords>
  <dc:description/>
  <cp:lastModifiedBy>202400279</cp:lastModifiedBy>
  <cp:revision>4</cp:revision>
  <dcterms:created xsi:type="dcterms:W3CDTF">2013-12-23T23:15:00Z</dcterms:created>
  <dcterms:modified xsi:type="dcterms:W3CDTF">2026-09-11T08:37:00Z</dcterms:modified>
  <cp:category/>
</cp:coreProperties>
</file>