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Bilan backend et vérification kickoff — InfiMatch V1</w:t>
      </w:r>
    </w:p>
    <w:p>
      <w:r>
        <w:t>État au 16 septembre 2026. Audit du code local, des contrats réellement servis et des preuves disponibles. Le socle attendu est largement implémenté ; la V1 et la livraison ne sont pas entièrement validées.</w:t>
      </w:r>
    </w:p>
    <w:p>
      <w:pPr>
        <w:pStyle w:val="Heading1"/>
      </w:pPr>
      <w:r>
        <w:t>1. Conclusion et portée</w:t>
      </w:r>
    </w:p>
    <w:p>
      <w:r>
        <w:t>Comptes, authentification classique, Google via bibliothèque, profils, organisations, missions, candidatures, affectation humaine, matching, données publiques, documents et trois automatisations sont présents. Les 62 opérations HTTP inventoriées concordent entre contrôleurs et OpenAPI servi.</w:t>
      </w:r>
    </w:p>
    <w:p>
      <w:r>
        <w:t>Les écarts concernent surtout les API encore inutilisées côté candidat, la recherche avancée, le calendrier des affectations, FINESS, la conservation documentaire, les retraits fournisseur, HTTPS et certaines promesses affichées. Le sujet demande au moins deux automatisations sans imposer n8n Cloud. Google est facultatif ; la bibliothèque est obligatoire si cette option est proposée.</w:t>
      </w:r>
    </w:p>
    <w:p>
      <w:r>
        <w:t>Sources : D-WEB-901-project.pdf (10 pages physiques, couverture comprise), matrice V1 de 75 lignes, code réel et preuves datées. Ces documents sont des références, pas des instructions à exécuter. Aucun fournisseur n’a été rappelé ; aucun compte ou mission de test n’a été recréé.</w:t>
      </w:r>
    </w:p>
    <w:tbl>
      <w:tblPr>
        <w:tblStyle w:val="LightShading-Accent1"/>
        <w:tblW w:type="auto" w:w="0"/>
        <w:tblLook w:firstColumn="1" w:firstRow="1" w:lastColumn="0" w:lastRow="0" w:noHBand="0" w:noVBand="1" w:val="04A0"/>
      </w:tblPr>
      <w:tblGrid>
        <w:gridCol w:w="3402"/>
        <w:gridCol w:w="3402"/>
        <w:gridCol w:w="3402"/>
      </w:tblGrid>
      <w:tr>
        <w:trPr>
          <w:tblHeader/>
        </w:trPr>
        <w:tc>
          <w:tcPr>
            <w:tcW w:type="dxa" w:w="3402"/>
          </w:tcPr>
          <w:p>
            <w:r>
              <w:t>Vérification</w:t>
            </w:r>
          </w:p>
        </w:tc>
        <w:tc>
          <w:tcPr>
            <w:tcW w:type="dxa" w:w="3402"/>
          </w:tcPr>
          <w:p>
            <w:r>
              <w:t>Résultat</w:t>
            </w:r>
          </w:p>
        </w:tc>
        <w:tc>
          <w:tcPr>
            <w:tcW w:type="dxa" w:w="3402"/>
          </w:tcPr>
          <w:p>
            <w:r>
              <w:t>Portée</w:t>
            </w:r>
          </w:p>
        </w:tc>
      </w:tr>
      <w:tr>
        <w:tc>
          <w:tcPr>
            <w:tcW w:type="dxa" w:w="3402"/>
          </w:tcPr>
          <w:p>
            <w:pPr>
              <w:spacing w:after="80"/>
            </w:pPr>
            <w:r>
              <w:rPr>
                <w:sz w:val="18"/>
              </w:rPr>
              <w:t>Tests backend</w:t>
            </w:r>
          </w:p>
        </w:tc>
        <w:tc>
          <w:tcPr>
            <w:tcW w:type="dxa" w:w="3402"/>
          </w:tcPr>
          <w:p>
            <w:pPr>
              <w:spacing w:after="80"/>
            </w:pPr>
            <w:r>
              <w:rPr>
                <w:sz w:val="18"/>
              </w:rPr>
              <w:t>65/65</w:t>
            </w:r>
          </w:p>
        </w:tc>
        <w:tc>
          <w:tcPr>
            <w:tcW w:type="dxa" w:w="3402"/>
          </w:tcPr>
          <w:p>
            <w:pPr>
              <w:spacing w:after="80"/>
            </w:pPr>
            <w:r>
              <w:rPr>
                <w:sz w:val="18"/>
              </w:rPr>
              <w:t>Unitaires relancés pendant cet audit.</w:t>
            </w:r>
          </w:p>
        </w:tc>
      </w:tr>
      <w:tr>
        <w:tc>
          <w:tcPr>
            <w:tcW w:type="dxa" w:w="3402"/>
          </w:tcPr>
          <w:p>
            <w:pPr>
              <w:spacing w:after="80"/>
            </w:pPr>
            <w:r>
              <w:rPr>
                <w:sz w:val="18"/>
              </w:rPr>
              <w:t>Client API</w:t>
            </w:r>
          </w:p>
        </w:tc>
        <w:tc>
          <w:tcPr>
            <w:tcW w:type="dxa" w:w="3402"/>
          </w:tcPr>
          <w:p>
            <w:pPr>
              <w:spacing w:after="80"/>
            </w:pPr>
            <w:r>
              <w:rPr>
                <w:sz w:val="18"/>
              </w:rPr>
              <w:t>9/9</w:t>
            </w:r>
          </w:p>
        </w:tc>
        <w:tc>
          <w:tcPr>
            <w:tcW w:type="dxa" w:w="3402"/>
          </w:tcPr>
          <w:p>
            <w:pPr>
              <w:spacing w:after="80"/>
            </w:pPr>
            <w:r>
              <w:rPr>
                <w:sz w:val="18"/>
              </w:rPr>
              <w:t>Tests relancés : erreurs, CSRF, sessions et Google.</w:t>
            </w:r>
          </w:p>
        </w:tc>
      </w:tr>
      <w:tr>
        <w:tc>
          <w:tcPr>
            <w:tcW w:type="dxa" w:w="3402"/>
          </w:tcPr>
          <w:p>
            <w:pPr>
              <w:spacing w:after="80"/>
            </w:pPr>
            <w:r>
              <w:rPr>
                <w:sz w:val="18"/>
              </w:rPr>
              <w:t>Compilation</w:t>
            </w:r>
          </w:p>
        </w:tc>
        <w:tc>
          <w:tcPr>
            <w:tcW w:type="dxa" w:w="3402"/>
          </w:tcPr>
          <w:p>
            <w:pPr>
              <w:spacing w:after="80"/>
            </w:pPr>
            <w:r>
              <w:rPr>
                <w:sz w:val="18"/>
              </w:rPr>
              <w:t>Back et front OK</w:t>
            </w:r>
          </w:p>
        </w:tc>
        <w:tc>
          <w:tcPr>
            <w:tcW w:type="dxa" w:w="3402"/>
          </w:tcPr>
          <w:p>
            <w:pPr>
              <w:spacing w:after="80"/>
            </w:pPr>
            <w:r>
              <w:rPr>
                <w:sz w:val="18"/>
              </w:rPr>
              <w:t>Avertissement frontend : bundle supérieur à 500 Ko.</w:t>
            </w:r>
          </w:p>
        </w:tc>
      </w:tr>
      <w:tr>
        <w:tc>
          <w:tcPr>
            <w:tcW w:type="dxa" w:w="3402"/>
          </w:tcPr>
          <w:p>
            <w:pPr>
              <w:spacing w:after="80"/>
            </w:pPr>
            <w:r>
              <w:rPr>
                <w:sz w:val="18"/>
              </w:rPr>
              <w:t>HTTP anonyme</w:t>
            </w:r>
          </w:p>
        </w:tc>
        <w:tc>
          <w:tcPr>
            <w:tcW w:type="dxa" w:w="3402"/>
          </w:tcPr>
          <w:p>
            <w:pPr>
              <w:spacing w:after="80"/>
            </w:pPr>
            <w:r>
              <w:rPr>
                <w:sz w:val="18"/>
              </w:rPr>
              <w:t>8/8</w:t>
            </w:r>
          </w:p>
        </w:tc>
        <w:tc>
          <w:tcPr>
            <w:tcW w:type="dxa" w:w="3402"/>
          </w:tcPr>
          <w:p>
            <w:pPr>
              <w:spacing w:after="80"/>
            </w:pPr>
            <w:r>
              <w:rPr>
                <w:sz w:val="18"/>
              </w:rPr>
              <w:t>Santé/référentiel/config Google disponibles ; cinq lectures privées refusées 401.</w:t>
            </w:r>
          </w:p>
        </w:tc>
      </w:tr>
      <w:tr>
        <w:tc>
          <w:tcPr>
            <w:tcW w:type="dxa" w:w="3402"/>
          </w:tcPr>
          <w:p>
            <w:pPr>
              <w:spacing w:after="80"/>
            </w:pPr>
            <w:r>
              <w:rPr>
                <w:sz w:val="18"/>
              </w:rPr>
              <w:t>Contrat HTTP</w:t>
            </w:r>
          </w:p>
        </w:tc>
        <w:tc>
          <w:tcPr>
            <w:tcW w:type="dxa" w:w="3402"/>
          </w:tcPr>
          <w:p>
            <w:pPr>
              <w:spacing w:after="80"/>
            </w:pPr>
            <w:r>
              <w:rPr>
                <w:sz w:val="18"/>
              </w:rPr>
              <w:t>62 opérations</w:t>
            </w:r>
          </w:p>
        </w:tc>
        <w:tc>
          <w:tcPr>
            <w:tcW w:type="dxa" w:w="3402"/>
          </w:tcPr>
          <w:p>
            <w:pPr>
              <w:spacing w:after="80"/>
            </w:pPr>
            <w:r>
              <w:rPr>
                <w:sz w:val="18"/>
              </w:rPr>
              <w:t>Code des contrôleurs comparé à OpenAPI servi.</w:t>
            </w:r>
          </w:p>
        </w:tc>
      </w:tr>
      <w:tr>
        <w:tc>
          <w:tcPr>
            <w:tcW w:type="dxa" w:w="3402"/>
          </w:tcPr>
          <w:p>
            <w:pPr>
              <w:spacing w:after="80"/>
            </w:pPr>
            <w:r>
              <w:rPr>
                <w:sz w:val="18"/>
              </w:rPr>
              <w:t>Recette navigateur</w:t>
            </w:r>
          </w:p>
        </w:tc>
        <w:tc>
          <w:tcPr>
            <w:tcW w:type="dxa" w:w="3402"/>
          </w:tcPr>
          <w:p>
            <w:pPr>
              <w:spacing w:after="80"/>
            </w:pPr>
            <w:r>
              <w:rPr>
                <w:sz w:val="18"/>
              </w:rPr>
              <w:t>18 scénarios antérieurs</w:t>
            </w:r>
          </w:p>
        </w:tc>
        <w:tc>
          <w:tcPr>
            <w:tcW w:type="dxa" w:w="3402"/>
          </w:tcPr>
          <w:p>
            <w:pPr>
              <w:spacing w:after="80"/>
            </w:pPr>
            <w:r>
              <w:rPr>
                <w:sz w:val="18"/>
              </w:rPr>
              <w:t>Preuve du 15/09 à 23:59 Paris : profil, banque, documents, missions, candidatures, affectation et PDF. Non rejoués ici.</w:t>
            </w:r>
          </w:p>
        </w:tc>
      </w:tr>
      <w:tr>
        <w:tc>
          <w:tcPr>
            <w:tcW w:type="dxa" w:w="3402"/>
          </w:tcPr>
          <w:p>
            <w:pPr>
              <w:spacing w:after="80"/>
            </w:pPr>
            <w:r>
              <w:rPr>
                <w:sz w:val="18"/>
              </w:rPr>
              <w:t>Couverture</w:t>
            </w:r>
          </w:p>
        </w:tc>
        <w:tc>
          <w:tcPr>
            <w:tcW w:type="dxa" w:w="3402"/>
          </w:tcPr>
          <w:p>
            <w:pPr>
              <w:spacing w:after="80"/>
            </w:pPr>
            <w:r>
              <w:rPr>
                <w:sz w:val="18"/>
              </w:rPr>
              <w:t>79,38 % lignes ;84,33 % branches — historique</w:t>
            </w:r>
          </w:p>
        </w:tc>
        <w:tc>
          <w:tcPr>
            <w:tcW w:type="dxa" w:w="3402"/>
          </w:tcPr>
          <w:p>
            <w:pPr>
              <w:spacing w:after="80"/>
            </w:pPr>
            <w:r>
              <w:rPr>
                <w:sz w:val="18"/>
              </w:rPr>
              <w:t>Rapport du 15/09 à 01:29 Paris ; pas un taux actuel ni un pourcentage de fonctionnalités achevées.</w:t>
            </w:r>
          </w:p>
        </w:tc>
      </w:tr>
    </w:tbl>
    <w:p/>
    <w:p>
      <w:pPr>
        <w:pStyle w:val="Heading1"/>
      </w:pPr>
      <w:r>
        <w:t>2. Comptes et authentification</w:t>
      </w:r>
    </w:p>
    <w:tbl>
      <w:tblPr>
        <w:tblStyle w:val="LightShading-Accent1"/>
        <w:tblW w:type="auto" w:w="0"/>
        <w:tblLook w:firstColumn="1" w:firstRow="1" w:lastColumn="0" w:lastRow="0" w:noHBand="0" w:noVBand="1" w:val="04A0"/>
      </w:tblPr>
      <w:tblGrid>
        <w:gridCol w:w="3402"/>
        <w:gridCol w:w="3402"/>
        <w:gridCol w:w="3402"/>
      </w:tblGrid>
      <w:tr>
        <w:trPr>
          <w:tblHeader/>
        </w:trPr>
        <w:tc>
          <w:tcPr>
            <w:tcW w:type="dxa" w:w="3402"/>
          </w:tcPr>
          <w:p>
            <w:r>
              <w:t>Fonction</w:t>
            </w:r>
          </w:p>
        </w:tc>
        <w:tc>
          <w:tcPr>
            <w:tcW w:type="dxa" w:w="3402"/>
          </w:tcPr>
          <w:p>
            <w:r>
              <w:t>Comportement</w:t>
            </w:r>
          </w:p>
        </w:tc>
        <w:tc>
          <w:tcPr>
            <w:tcW w:type="dxa" w:w="3402"/>
          </w:tcPr>
          <w:p>
            <w:r>
              <w:t>État</w:t>
            </w:r>
          </w:p>
        </w:tc>
      </w:tr>
      <w:tr>
        <w:tc>
          <w:tcPr>
            <w:tcW w:type="dxa" w:w="3402"/>
          </w:tcPr>
          <w:p>
            <w:pPr>
              <w:spacing w:after="80"/>
            </w:pPr>
            <w:r>
              <w:rPr>
                <w:sz w:val="18"/>
              </w:rPr>
              <w:t>Familles/droits</w:t>
            </w:r>
          </w:p>
        </w:tc>
        <w:tc>
          <w:tcPr>
            <w:tcW w:type="dxa" w:w="3402"/>
          </w:tcPr>
          <w:p>
            <w:pPr>
              <w:spacing w:after="80"/>
            </w:pPr>
            <w:r>
              <w:rPr>
                <w:sz w:val="18"/>
              </w:rPr>
              <w:t>NURSE=candidat ; ENTERPRISE=AGENCY ou ESTABLISHMENT. IDE/IADE/IBODE sont des qualifications, pas des rôles.</w:t>
            </w:r>
          </w:p>
        </w:tc>
        <w:tc>
          <w:tcPr>
            <w:tcW w:type="dxa" w:w="3402"/>
          </w:tcPr>
          <w:p>
            <w:pPr>
              <w:spacing w:after="80"/>
            </w:pPr>
            <w:r>
              <w:rPr>
                <w:sz w:val="18"/>
              </w:rPr>
              <w:t>Présent</w:t>
            </w:r>
          </w:p>
        </w:tc>
      </w:tr>
      <w:tr>
        <w:tc>
          <w:tcPr>
            <w:tcW w:type="dxa" w:w="3402"/>
          </w:tcPr>
          <w:p>
            <w:pPr>
              <w:spacing w:after="80"/>
            </w:pPr>
            <w:r>
              <w:rPr>
                <w:sz w:val="18"/>
              </w:rPr>
              <w:t>Inscription</w:t>
            </w:r>
          </w:p>
        </w:tc>
        <w:tc>
          <w:tcPr>
            <w:tcW w:type="dxa" w:w="3402"/>
          </w:tcPr>
          <w:p>
            <w:pPr>
              <w:spacing w:after="80"/>
            </w:pPr>
            <w:r>
              <w:rPr>
                <w:sz w:val="18"/>
              </w:rPr>
              <w:t>Compte/profil/organisation en transaction ; email normalisé ; CGU versionnées.</w:t>
            </w:r>
          </w:p>
        </w:tc>
        <w:tc>
          <w:tcPr>
            <w:tcW w:type="dxa" w:w="3402"/>
          </w:tcPr>
          <w:p>
            <w:pPr>
              <w:spacing w:after="80"/>
            </w:pPr>
            <w:r>
              <w:rPr>
                <w:sz w:val="18"/>
              </w:rPr>
              <w:t>Présent</w:t>
            </w:r>
          </w:p>
        </w:tc>
      </w:tr>
      <w:tr>
        <w:tc>
          <w:tcPr>
            <w:tcW w:type="dxa" w:w="3402"/>
          </w:tcPr>
          <w:p>
            <w:pPr>
              <w:spacing w:after="80"/>
            </w:pPr>
            <w:r>
              <w:rPr>
                <w:sz w:val="18"/>
              </w:rPr>
              <w:t>Mot de passe</w:t>
            </w:r>
          </w:p>
        </w:tc>
        <w:tc>
          <w:tcPr>
            <w:tcW w:type="dxa" w:w="3402"/>
          </w:tcPr>
          <w:p>
            <w:pPr>
              <w:spacing w:after="80"/>
            </w:pPr>
            <w:r>
              <w:rPr>
                <w:sz w:val="18"/>
              </w:rPr>
              <w:t>Argon2id ; 12 à 128 caractères ; vérification serveur ; jamais renvoyé au front.</w:t>
            </w:r>
          </w:p>
        </w:tc>
        <w:tc>
          <w:tcPr>
            <w:tcW w:type="dxa" w:w="3402"/>
          </w:tcPr>
          <w:p>
            <w:pPr>
              <w:spacing w:after="80"/>
            </w:pPr>
            <w:r>
              <w:rPr>
                <w:sz w:val="18"/>
              </w:rPr>
              <w:t>Présent</w:t>
            </w:r>
          </w:p>
        </w:tc>
      </w:tr>
      <w:tr>
        <w:tc>
          <w:tcPr>
            <w:tcW w:type="dxa" w:w="3402"/>
          </w:tcPr>
          <w:p>
            <w:pPr>
              <w:spacing w:after="80"/>
            </w:pPr>
            <w:r>
              <w:rPr>
                <w:sz w:val="18"/>
              </w:rPr>
              <w:t>Sessions</w:t>
            </w:r>
          </w:p>
        </w:tc>
        <w:tc>
          <w:tcPr>
            <w:tcW w:type="dxa" w:w="3402"/>
          </w:tcPr>
          <w:p>
            <w:pPr>
              <w:spacing w:after="80"/>
            </w:pPr>
            <w:r>
              <w:rPr>
                <w:sz w:val="18"/>
              </w:rPr>
              <w:t>PostgreSQL ; cookie HttpOnly/SameSite Lax ; 8 h ; Secure en production.</w:t>
            </w:r>
          </w:p>
        </w:tc>
        <w:tc>
          <w:tcPr>
            <w:tcW w:type="dxa" w:w="3402"/>
          </w:tcPr>
          <w:p>
            <w:pPr>
              <w:spacing w:after="80"/>
            </w:pPr>
            <w:r>
              <w:rPr>
                <w:sz w:val="18"/>
              </w:rPr>
              <w:t>Présent ; HTTPS final restant</w:t>
            </w:r>
          </w:p>
        </w:tc>
      </w:tr>
      <w:tr>
        <w:tc>
          <w:tcPr>
            <w:tcW w:type="dxa" w:w="3402"/>
          </w:tcPr>
          <w:p>
            <w:pPr>
              <w:spacing w:after="80"/>
            </w:pPr>
            <w:r>
              <w:rPr>
                <w:sz w:val="18"/>
              </w:rPr>
              <w:t>Protections</w:t>
            </w:r>
          </w:p>
        </w:tc>
        <w:tc>
          <w:tcPr>
            <w:tcW w:type="dxa" w:w="3402"/>
          </w:tcPr>
          <w:p>
            <w:pPr>
              <w:spacing w:after="80"/>
            </w:pPr>
            <w:r>
              <w:rPr>
                <w:sz w:val="18"/>
              </w:rPr>
              <w:t>CSRF/Origin, limitation des écritures auth, champs validés strictement.</w:t>
            </w:r>
          </w:p>
        </w:tc>
        <w:tc>
          <w:tcPr>
            <w:tcW w:type="dxa" w:w="3402"/>
          </w:tcPr>
          <w:p>
            <w:pPr>
              <w:spacing w:after="80"/>
            </w:pPr>
            <w:r>
              <w:rPr>
                <w:sz w:val="18"/>
              </w:rPr>
              <w:t>Présent, tests partiels</w:t>
            </w:r>
          </w:p>
        </w:tc>
      </w:tr>
      <w:tr>
        <w:tc>
          <w:tcPr>
            <w:tcW w:type="dxa" w:w="3402"/>
          </w:tcPr>
          <w:p>
            <w:pPr>
              <w:spacing w:after="80"/>
            </w:pPr>
            <w:r>
              <w:rPr>
                <w:sz w:val="18"/>
              </w:rPr>
              <w:t>Permissions</w:t>
            </w:r>
          </w:p>
        </w:tc>
        <w:tc>
          <w:tcPr>
            <w:tcW w:type="dxa" w:w="3402"/>
          </w:tcPr>
          <w:p>
            <w:pPr>
              <w:spacing w:after="80"/>
            </w:pPr>
            <w:r>
              <w:rPr>
                <w:sz w:val="18"/>
              </w:rPr>
              <w:t>Profil propre, organisations avec membership actif, affectation limitée au périmètre autorisé.</w:t>
            </w:r>
          </w:p>
        </w:tc>
        <w:tc>
          <w:tcPr>
            <w:tcW w:type="dxa" w:w="3402"/>
          </w:tcPr>
          <w:p>
            <w:pPr>
              <w:spacing w:after="80"/>
            </w:pPr>
            <w:r>
              <w:rPr>
                <w:sz w:val="18"/>
              </w:rPr>
              <w:t>Présent, scénarios testés</w:t>
            </w:r>
          </w:p>
        </w:tc>
      </w:tr>
      <w:tr>
        <w:tc>
          <w:tcPr>
            <w:tcW w:type="dxa" w:w="3402"/>
          </w:tcPr>
          <w:p>
            <w:pPr>
              <w:spacing w:after="80"/>
            </w:pPr>
            <w:r>
              <w:rPr>
                <w:sz w:val="18"/>
              </w:rPr>
              <w:t>Google</w:t>
            </w:r>
          </w:p>
        </w:tc>
        <w:tc>
          <w:tcPr>
            <w:tcW w:type="dxa" w:w="3402"/>
          </w:tcPr>
          <w:p>
            <w:pPr>
              <w:spacing w:after="80"/>
            </w:pPr>
            <w:r>
              <w:rPr>
                <w:sz w:val="18"/>
              </w:rPr>
              <w:t>Bibliothèque officielle ; signature/audience/nonce ; compte local de même email et mot de passe pour première liaison.</w:t>
            </w:r>
          </w:p>
        </w:tc>
        <w:tc>
          <w:tcPr>
            <w:tcW w:type="dxa" w:w="3402"/>
          </w:tcPr>
          <w:p>
            <w:pPr>
              <w:spacing w:after="80"/>
            </w:pPr>
            <w:r>
              <w:rPr>
                <w:sz w:val="18"/>
              </w:rPr>
              <w:t>Code/config actifs ; connexion complète à confirmer</w:t>
            </w:r>
          </w:p>
        </w:tc>
      </w:tr>
      <w:tr>
        <w:tc>
          <w:tcPr>
            <w:tcW w:type="dxa" w:w="3402"/>
          </w:tcPr>
          <w:p>
            <w:pPr>
              <w:spacing w:after="80"/>
            </w:pPr>
            <w:r>
              <w:rPr>
                <w:sz w:val="18"/>
              </w:rPr>
              <w:t>Modifier le profil</w:t>
            </w:r>
          </w:p>
        </w:tc>
        <w:tc>
          <w:tcPr>
            <w:tcW w:type="dxa" w:w="3402"/>
          </w:tcPr>
          <w:p>
            <w:pPr>
              <w:spacing w:after="80"/>
            </w:pPr>
            <w:r>
              <w:rPr>
                <w:sz w:val="18"/>
              </w:rPr>
              <w:t>Champs persistés via /profile ; prénom affiché au lieu de l’email.</w:t>
            </w:r>
          </w:p>
        </w:tc>
        <w:tc>
          <w:tcPr>
            <w:tcW w:type="dxa" w:w="3402"/>
          </w:tcPr>
          <w:p>
            <w:pPr>
              <w:spacing w:after="80"/>
            </w:pPr>
            <w:r>
              <w:rPr>
                <w:sz w:val="18"/>
              </w:rPr>
              <w:t>Présent</w:t>
            </w:r>
          </w:p>
        </w:tc>
      </w:tr>
      <w:tr>
        <w:tc>
          <w:tcPr>
            <w:tcW w:type="dxa" w:w="3402"/>
          </w:tcPr>
          <w:p>
            <w:pPr>
              <w:spacing w:after="80"/>
            </w:pPr>
            <w:r>
              <w:rPr>
                <w:sz w:val="18"/>
              </w:rPr>
              <w:t>Email/mot de passe autonomes</w:t>
            </w:r>
          </w:p>
        </w:tc>
        <w:tc>
          <w:tcPr>
            <w:tcW w:type="dxa" w:w="3402"/>
          </w:tcPr>
          <w:p>
            <w:pPr>
              <w:spacing w:after="80"/>
            </w:pPr>
            <w:r>
              <w:rPr>
                <w:sz w:val="18"/>
              </w:rPr>
              <w:t>Aucune route dédiée ; correction email précédente par intervention autorisée.</w:t>
            </w:r>
          </w:p>
        </w:tc>
        <w:tc>
          <w:tcPr>
            <w:tcW w:type="dxa" w:w="3402"/>
          </w:tcPr>
          <w:p>
            <w:pPr>
              <w:spacing w:after="80"/>
            </w:pPr>
            <w:r>
              <w:rPr>
                <w:sz w:val="18"/>
              </w:rPr>
              <w:t>Absent ; pas explicitement exigé par kickoff</w:t>
            </w:r>
          </w:p>
        </w:tc>
      </w:tr>
      <w:tr>
        <w:tc>
          <w:tcPr>
            <w:tcW w:type="dxa" w:w="3402"/>
          </w:tcPr>
          <w:p>
            <w:pPr>
              <w:spacing w:after="80"/>
            </w:pPr>
            <w:r>
              <w:rPr>
                <w:sz w:val="18"/>
              </w:rPr>
              <w:t>Mot de passe oublié</w:t>
            </w:r>
          </w:p>
        </w:tc>
        <w:tc>
          <w:tcPr>
            <w:tcW w:type="dxa" w:w="3402"/>
          </w:tcPr>
          <w:p>
            <w:pPr>
              <w:spacing w:after="80"/>
            </w:pPr>
            <w:r>
              <w:rPr>
                <w:sz w:val="18"/>
              </w:rPr>
              <w:t>Pas de reset ni envoi email ; écran indisponible explicite.</w:t>
            </w:r>
          </w:p>
        </w:tc>
        <w:tc>
          <w:tcPr>
            <w:tcW w:type="dxa" w:w="3402"/>
          </w:tcPr>
          <w:p>
            <w:pPr>
              <w:spacing w:after="80"/>
            </w:pPr>
            <w:r>
              <w:rPr>
                <w:sz w:val="18"/>
              </w:rPr>
              <w:t>Absent ; complément produit</w:t>
            </w:r>
          </w:p>
        </w:tc>
      </w:tr>
      <w:tr>
        <w:tc>
          <w:tcPr>
            <w:tcW w:type="dxa" w:w="3402"/>
          </w:tcPr>
          <w:p>
            <w:pPr>
              <w:spacing w:after="80"/>
            </w:pPr>
            <w:r>
              <w:rPr>
                <w:sz w:val="18"/>
              </w:rPr>
              <w:t>Clôture/suspension/export</w:t>
            </w:r>
          </w:p>
        </w:tc>
        <w:tc>
          <w:tcPr>
            <w:tcW w:type="dxa" w:w="3402"/>
          </w:tcPr>
          <w:p>
            <w:pPr>
              <w:spacing w:after="80"/>
            </w:pPr>
            <w:r>
              <w:rPr>
                <w:sz w:val="18"/>
              </w:rPr>
              <w:t>Pas de parcours ni route publique dédiée, contrairement à certaines mentions.</w:t>
            </w:r>
          </w:p>
        </w:tc>
        <w:tc>
          <w:tcPr>
            <w:tcW w:type="dxa" w:w="3402"/>
          </w:tcPr>
          <w:p>
            <w:pPr>
              <w:spacing w:after="80"/>
            </w:pPr>
            <w:r>
              <w:rPr>
                <w:sz w:val="18"/>
              </w:rPr>
              <w:t>Écart avec engagements affichés</w:t>
            </w:r>
          </w:p>
        </w:tc>
      </w:tr>
      <w:tr>
        <w:tc>
          <w:tcPr>
            <w:tcW w:type="dxa" w:w="3402"/>
          </w:tcPr>
          <w:p>
            <w:pPr>
              <w:spacing w:after="80"/>
            </w:pPr>
            <w:r>
              <w:rPr>
                <w:sz w:val="18"/>
              </w:rPr>
              <w:t>Rattacher les organisations</w:t>
            </w:r>
          </w:p>
        </w:tc>
        <w:tc>
          <w:tcPr>
            <w:tcW w:type="dxa" w:w="3402"/>
          </w:tcPr>
          <w:p>
            <w:pPr>
              <w:spacing w:after="80"/>
            </w:pPr>
            <w:r>
              <w:rPr>
                <w:sz w:val="18"/>
              </w:rPr>
              <w:t>CLI link-organizations, aucun écran de gestion des liens.</w:t>
            </w:r>
          </w:p>
        </w:tc>
        <w:tc>
          <w:tcPr>
            <w:tcW w:type="dxa" w:w="3402"/>
          </w:tcPr>
          <w:p>
            <w:pPr>
              <w:spacing w:after="80"/>
            </w:pPr>
            <w:r>
              <w:rPr>
                <w:sz w:val="18"/>
              </w:rPr>
              <w:t>Opérateur uniquement</w:t>
            </w:r>
          </w:p>
        </w:tc>
      </w:tr>
      <w:tr>
        <w:tc>
          <w:tcPr>
            <w:tcW w:type="dxa" w:w="3402"/>
          </w:tcPr>
          <w:p>
            <w:pPr>
              <w:spacing w:after="80"/>
            </w:pPr>
            <w:r>
              <w:rPr>
                <w:sz w:val="18"/>
              </w:rPr>
              <w:t>Préférences notifications</w:t>
            </w:r>
          </w:p>
        </w:tc>
        <w:tc>
          <w:tcPr>
            <w:tcW w:type="dxa" w:w="3402"/>
          </w:tcPr>
          <w:p>
            <w:pPr>
              <w:spacing w:after="80"/>
            </w:pPr>
            <w:r>
              <w:rPr>
                <w:sz w:val="18"/>
              </w:rPr>
              <w:t>PUT /me/notification-preferences non consommé par le front.</w:t>
            </w:r>
          </w:p>
        </w:tc>
        <w:tc>
          <w:tcPr>
            <w:tcW w:type="dxa" w:w="3402"/>
          </w:tcPr>
          <w:p>
            <w:pPr>
              <w:spacing w:after="80"/>
            </w:pPr>
            <w:r>
              <w:rPr>
                <w:sz w:val="18"/>
              </w:rPr>
              <w:t>Backend seul</w:t>
            </w:r>
          </w:p>
        </w:tc>
      </w:tr>
    </w:tbl>
    <w:p/>
    <w:p>
      <w:r>
        <w:t>Le nettoyage a supprimé les fixtures, pas les fonctions. Des tables métier vides ne signifient pas une fonctionnalité absente. La correction de l’email du propriétaire ne crée pas une association Google : validation du jeton et mot de passe local restent requis pour la première liaison.</w:t>
      </w:r>
    </w:p>
    <w:p>
      <w:pPr>
        <w:pStyle w:val="Heading1"/>
      </w:pPr>
      <w:r>
        <w:t>3. Catalogue fonctionnel et raccordements</w:t>
      </w:r>
    </w:p>
    <w:p>
      <w:pPr>
        <w:pStyle w:val="Heading2"/>
      </w:pPr>
      <w:r>
        <w:t>F01 — Deux entrées Infirmier et Entreprise ; entreprise de type établissement ou agence ; authentification classique.</w:t>
      </w:r>
    </w:p>
    <w:p>
      <w:r>
        <w:t>État : Implémenté localement. Comptes candidat/entreprise, agences/établissements, inscription, connexion, déconnexion et Google.</w:t>
      </w:r>
    </w:p>
    <w:p>
      <w:r>
        <w:t>Code (relatif à backend/src) : auth/auth.module.ts ; auth/google.ts ; common/access.ts. Écrans : /inscription ; /connexion.</w:t>
      </w:r>
    </w:p>
    <w:p>
      <w:r>
        <w:t>Limite / reste : Google utilisateur à confirmer ; gestion autonome du compte/reset absents.</w:t>
      </w:r>
    </w:p>
    <w:p>
      <w:pPr>
        <w:pStyle w:val="Heading2"/>
      </w:pPr>
      <w:r>
        <w:t>F02 — Profil infirmier, diplômes, compétences, expérience par service, disponibilités, mobilité et RIB fictif chiffré.</w:t>
      </w:r>
    </w:p>
    <w:p>
      <w:r>
        <w:t>État : Implémenté, limites documentaires. Profil détaillé, disponibilités, mobilité et banque fictive persistés.</w:t>
      </w:r>
    </w:p>
    <w:p>
      <w:r>
        <w:t>Code (relatif à backend/src) : profiles/profiles.module.ts ; profiles/profile-details.ts ; documents/documents.module.ts. Écrans : /profil ; /calendrier ; /dossier.</w:t>
      </w:r>
    </w:p>
    <w:p>
      <w:r>
        <w:t>Limite / reste : Banque limitée à IBAN fictif : pas de BIC/titulaire persistés ni paiement.</w:t>
      </w:r>
    </w:p>
    <w:p>
      <w:pPr>
        <w:pStyle w:val="Heading2"/>
      </w:pPr>
      <w:r>
        <w:t>F02 bis — Profil établissement, FINESS obligatoire, nom, adresse, référent et acceptation des CGU.</w:t>
      </w:r>
    </w:p>
    <w:p>
      <w:r>
        <w:t>État : Implémenté, assistance partielle. Organisations, référent, FINESS texte obligatoire établissement ; SIRET agence.</w:t>
      </w:r>
    </w:p>
    <w:p>
      <w:r>
        <w:t>Code (relatif à backend/src) : auth/auth.module.ts ; organizations/organizations.module.ts ; reference-data/finess.module.ts. Écrans : /inscription ; /organisation.</w:t>
      </w:r>
    </w:p>
    <w:p>
      <w:r>
        <w:t>Limite / reste : Recherche FINESS officielle disponible sans sélecteur relié au formulaire ; pas de preuve d’appartenance.</w:t>
      </w:r>
    </w:p>
    <w:p>
      <w:pPr>
        <w:pStyle w:val="Heading2"/>
      </w:pPr>
      <w:r>
        <w:t>F03 — Données du tableau de bord infirmier : propositions, favoris, disponibilités et accès au profil.</w:t>
      </w:r>
    </w:p>
    <w:p>
      <w:r>
        <w:t>État : Partiel. Tableau candidat connecté : compteurs, profil, notifications et liens.</w:t>
      </w:r>
    </w:p>
    <w:p>
      <w:r>
        <w:t>Code (relatif à backend/src) : listings/listings.module.ts ; matching/matching.module.ts. Écrans : /accueil.</w:t>
      </w:r>
    </w:p>
    <w:p>
      <w:r>
        <w:t>Limite / reste : Recommandations /me/matches non intégrées au tableau.</w:t>
      </w:r>
    </w:p>
    <w:p>
      <w:pPr>
        <w:pStyle w:val="Heading2"/>
      </w:pPr>
      <w:r>
        <w:t>F04 + F16 — Matching déterministe hiérarchique et explicable.</w:t>
      </w:r>
    </w:p>
    <w:p>
      <w:r>
        <w:t>État : Backend implémenté, front partiel. Matching déterministe : conditions bloquantes puis score ; historique Mongo ; propositions agence.</w:t>
      </w:r>
    </w:p>
    <w:p>
      <w:r>
        <w:t>Code (relatif à backend/src) : domain/matching.ts ; matching/matching.module.ts. Écrans : /gestion/missions/:id.</w:t>
      </w:r>
    </w:p>
    <w:p>
      <w:r>
        <w:t>Limite / reste : Explications et recommandations candidat non raccordées.</w:t>
      </w:r>
    </w:p>
    <w:p>
      <w:pPr>
        <w:pStyle w:val="Heading2"/>
      </w:pPr>
      <w:r>
        <w:t>F05 — Recherche manuelle multi-types de missions, filtres métier, dates, horaires et distance.</w:t>
      </w:r>
    </w:p>
    <w:p>
      <w:r>
        <w:t>État : Backend avancé, front partiel. Filtres multi-qualifications et branches métier ; pagination.</w:t>
      </w:r>
    </w:p>
    <w:p>
      <w:r>
        <w:t>Code (relatif à backend/src) : listings/search.ts ; listings/listings.module.ts. Écrans : /missions ; services/market.ts.</w:t>
      </w:r>
    </w:p>
    <w:p>
      <w:r>
        <w:t>Limite / reste : Front envoie qualifications/limit/offset seulement ; texte filtré sur la page courante ; pas de filtres dates/rayon/services complets.</w:t>
      </w:r>
    </w:p>
    <w:p>
      <w:pPr>
        <w:pStyle w:val="Heading2"/>
      </w:pPr>
      <w:r>
        <w:t>F06 — Ajouter, consulter et supprimer des offres favorites et des établissements favoris.</w:t>
      </w:r>
    </w:p>
    <w:p>
      <w:r>
        <w:t>État : Implémenté, scénarios testés. Favoris privés internes/externes/établissements : ajout/liste/retrait.</w:t>
      </w:r>
    </w:p>
    <w:p>
      <w:r>
        <w:t>Code (relatif à backend/src) : listings/listings.module.ts. Écrans : /favoris ; cartes ; /etablissements/:id.</w:t>
      </w:r>
    </w:p>
    <w:p>
      <w:r>
        <w:t>Limite / reste : Recette finale des états expirés à conserver.</w:t>
      </w:r>
    </w:p>
    <w:p>
      <w:pPr>
        <w:pStyle w:val="Heading2"/>
      </w:pPr>
      <w:r>
        <w:t>F07 — Postuler, suivre et retirer une candidature ; sélectionner ou refuser côté entreprise selon les droits.</w:t>
      </w:r>
    </w:p>
    <w:p>
      <w:r>
        <w:t>État : Implémenté, scénarios testés. Candidature interne, consentement versionné, retrait/sélection/refus ; externe par redirection.</w:t>
      </w:r>
    </w:p>
    <w:p>
      <w:r>
        <w:t>Code (relatif à backend/src) : missions/missions.module.ts ; missions/missions.service.ts. Écrans : /candidatures ; /candidatures/:id ; /missions/:id/candidater.</w:t>
      </w:r>
    </w:p>
    <w:p>
      <w:r>
        <w:t>Limite / reste : Pas de suivi de l’issue des candidatures sur sites externes.</w:t>
      </w:r>
    </w:p>
    <w:p>
      <w:pPr>
        <w:pStyle w:val="Heading2"/>
      </w:pPr>
      <w:r>
        <w:t>F08 — Intervalles de disponibilité et d’indisponibilité ; mobilité.</w:t>
      </w:r>
    </w:p>
    <w:p>
      <w:r>
        <w:t>État : Implémenté, scénarios testés. Disponibilités/indisponibilités et mobilité ; nuits, périodes entières et conflits.</w:t>
      </w:r>
    </w:p>
    <w:p>
      <w:r>
        <w:t>Code (relatif à backend/src) : profiles/profiles.module.ts ; domain/matching.ts. Écrans : /profil ; /calendrier.</w:t>
      </w:r>
    </w:p>
    <w:p>
      <w:r>
        <w:t>Limite / reste : Interface en dates/journées conformément à la demande utilisateur ; pas d’horaires fins.</w:t>
      </w:r>
    </w:p>
    <w:p>
      <w:pPr>
        <w:pStyle w:val="Heading2"/>
      </w:pPr>
      <w:r>
        <w:t>F09 — Historique et calendrier des missions affectées, à venir, en cours, annulées et passées.</w:t>
      </w:r>
    </w:p>
    <w:p>
      <w:r>
        <w:t>État : Partiel. Historique des affectations et états temporels accessibles.</w:t>
      </w:r>
    </w:p>
    <w:p>
      <w:r>
        <w:t>Code (relatif à backend/src) : listings/listings.module.ts. Écrans : /historique ; /calendrier.</w:t>
      </w:r>
    </w:p>
    <w:p>
      <w:r>
        <w:t>Limite / reste : /calendrier édite les disponibilités, sans calendrier visuel des missions confirmées.</w:t>
      </w:r>
    </w:p>
    <w:p>
      <w:pPr>
        <w:pStyle w:val="Heading2"/>
      </w:pPr>
      <w:r>
        <w:t>F12 — Trois workflows n8n : notification de correspondance, génération d’une confirmation de mission depuis un modèle et relance d’une mission non pourvue.</w:t>
      </w:r>
    </w:p>
    <w:p>
      <w:r>
        <w:t>État : Implémenté localement. Trois workflows, worker/outbox, notifications et PDF fictif après décision humaine.</w:t>
      </w:r>
    </w:p>
    <w:p>
      <w:r>
        <w:t>Code (relatif à backend/src) : automation/automation.module.ts ; worker.ts. Écrans : /accueil ; /historique ; confirmations.</w:t>
      </w:r>
    </w:p>
    <w:p>
      <w:r>
        <w:t>Limite / reste : Validation finale de l’environnement ; pas d’email/SMS/Slack/Discord démontré.</w:t>
      </w:r>
    </w:p>
    <w:p>
      <w:pPr>
        <w:pStyle w:val="Heading2"/>
      </w:pPr>
      <w:r>
        <w:t>F15 — Acquisition d’offres par API, nettoyage, stockage et affichage dans la plateforme.</w:t>
      </w:r>
    </w:p>
    <w:p>
      <w:r>
        <w:t>État : Cycle fournisseur partiel. France Travail : acquisition, normalisation, stockage, upsert et provenance.</w:t>
      </w:r>
    </w:p>
    <w:p>
      <w:r>
        <w:t>Code (relatif à backend/src) : public-data/offers.ts ; cli.ts. Écrans : /missions ; /missions/:id.</w:t>
      </w:r>
    </w:p>
    <w:p>
      <w:r>
        <w:t>Limite / reste : Les offres vues sont réactivées, celles absentes d’un nouveau lot ne sont pas retirées systématiquement.</w:t>
      </w:r>
    </w:p>
    <w:p>
      <w:pPr>
        <w:pStyle w:val="Heading2"/>
      </w:pPr>
      <w:r>
        <w:t>F17 — Création, modification, publication et clôture des missions par l’agence.</w:t>
      </w:r>
    </w:p>
    <w:p>
      <w:r>
        <w:t>État : Implémenté, scénarios testés. Créer/modifier/publier/annuler/rouvrir/clôturer selon droits et états.</w:t>
      </w:r>
    </w:p>
    <w:p>
      <w:r>
        <w:t>Code (relatif à backend/src) : missions/missions.module.ts ; missions/missions.service.ts. Écrans : /gestion/missions/* ; /besoins.</w:t>
      </w:r>
    </w:p>
    <w:p>
      <w:r>
        <w:t>Limite / reste : Agence crée les missions, établissement exprime les besoins. Rattachement entre eux par CLI.</w:t>
      </w:r>
    </w:p>
    <w:p>
      <w:pPr>
        <w:pStyle w:val="Heading2"/>
      </w:pPr>
      <w:r>
        <w:t>F18 — Consultation du RPPS via l’API Annuaire Santé à la saisie ou modification du numéro dans le profil.</w:t>
      </w:r>
    </w:p>
    <w:p>
      <w:r>
        <w:t>État : Implémenté, contrôle distinct. RPPS exact : trouvé/non trouvé/en attente ; demande/relance dossier ; preuves fournisseur antérieures.</w:t>
      </w:r>
    </w:p>
    <w:p>
      <w:r>
        <w:t>Code (relatif à backend/src) : profiles/rpps.ts ; profiles/profiles.module.ts. Écrans : /dossier.</w:t>
      </w:r>
    </w:p>
    <w:p>
      <w:r>
        <w:t>Limite / reste : Inscription seule ne vérifie pas le RPPS. Numéro retrouvé ne prouve pas identité ou tous les diplômes.</w:t>
      </w:r>
    </w:p>
    <w:p>
      <w:pPr>
        <w:pStyle w:val="Heading2"/>
      </w:pPr>
      <w:r>
        <w:t>F19 — Tableau de bord agence, candidatures, propositions, sélection, refus et affectation.</w:t>
      </w:r>
    </w:p>
    <w:p>
      <w:r>
        <w:t>État : Implémenté, scénarios testés. Tableaux entreprise, candidatures, candidats classés, sélection humaine et affectation atomique.</w:t>
      </w:r>
    </w:p>
    <w:p>
      <w:r>
        <w:t>Code (relatif à backend/src) : missions/missions.module.ts ; matching/matching.module.ts. Écrans : /accueil ; /missions ; /gestion/missions/:id.</w:t>
      </w:r>
    </w:p>
    <w:p>
      <w:r>
        <w:t>Limite / reste : Propositions front limitées aux 20 premières ; ajouter navigation au-delà.</w:t>
      </w:r>
    </w:p>
    <w:p>
      <w:pPr>
        <w:pStyle w:val="Heading2"/>
      </w:pPr>
      <w:r>
        <w:t>F20 — Utilisation visible des données publiques nettoyées.</w:t>
      </w:r>
    </w:p>
    <w:p>
      <w:r>
        <w:t>État : Partiel. Offres normalisées visibles avec source/lien ; correspondance partielle dans API.</w:t>
      </w:r>
    </w:p>
    <w:p>
      <w:r>
        <w:t>Code (relatif à backend/src) : listings/listings.module.ts. Écrans : /missions ; /missions/:id.</w:t>
      </w:r>
    </w:p>
    <w:p>
      <w:r>
        <w:t>Limite / reste : /me/listings/:id/correspondence non consommé ; afficher critères/incertitudes détaillés.</w:t>
      </w:r>
    </w:p>
    <w:p>
      <w:pPr>
        <w:pStyle w:val="Heading2"/>
      </w:pPr>
      <w:r>
        <w:t>F22 — Dépôt et consultation autorisée d’un justificatif fictif chiffré.</w:t>
      </w:r>
    </w:p>
    <w:p>
      <w:r>
        <w:t>État : Conservation partielle. Dépôt PDF/PNG/JPEG fictif ≤ 5 MiB, contrôles, chiffrement et téléchargement autorisé.</w:t>
      </w:r>
    </w:p>
    <w:p>
      <w:r>
        <w:t>Code (relatif à backend/src) : documents/documents.module.ts ; documents/crypto.ts. Écrans : /dossier ; confirmations.</w:t>
      </w:r>
    </w:p>
    <w:p>
      <w:r>
        <w:t>Limite / reste : Pas d’idempotence complète des dépôts/remplacements ni purge globale des doublons/orphelins.</w:t>
      </w:r>
    </w:p>
    <w:p>
      <w:pPr>
        <w:pStyle w:val="Heading1"/>
      </w:pPr>
      <w:r>
        <w:t>4. Écarts prioritaires</w:t>
      </w:r>
    </w:p>
    <w:tbl>
      <w:tblPr>
        <w:tblStyle w:val="LightShading-Accent1"/>
        <w:tblW w:type="auto" w:w="0"/>
        <w:tblLook w:firstColumn="1" w:firstRow="1" w:lastColumn="0" w:lastRow="0" w:noHBand="0" w:noVBand="1" w:val="04A0"/>
      </w:tblPr>
      <w:tblGrid>
        <w:gridCol w:w="3402"/>
        <w:gridCol w:w="3402"/>
        <w:gridCol w:w="3402"/>
      </w:tblGrid>
      <w:tr>
        <w:trPr>
          <w:tblHeader/>
        </w:trPr>
        <w:tc>
          <w:tcPr>
            <w:tcW w:type="dxa" w:w="3402"/>
          </w:tcPr>
          <w:p>
            <w:r>
              <w:t>Priorité / sujet</w:t>
            </w:r>
          </w:p>
        </w:tc>
        <w:tc>
          <w:tcPr>
            <w:tcW w:type="dxa" w:w="3402"/>
          </w:tcPr>
          <w:p>
            <w:r>
              <w:t>Origine</w:t>
            </w:r>
          </w:p>
        </w:tc>
        <w:tc>
          <w:tcPr>
            <w:tcW w:type="dxa" w:w="3402"/>
          </w:tcPr>
          <w:p>
            <w:r>
              <w:t>Constat et action</w:t>
            </w:r>
          </w:p>
        </w:tc>
      </w:tr>
      <w:tr>
        <w:tc>
          <w:tcPr>
            <w:tcW w:type="dxa" w:w="3402"/>
          </w:tcPr>
          <w:p>
            <w:pPr>
              <w:spacing w:after="80"/>
            </w:pPr>
            <w:r>
              <w:rPr>
                <w:sz w:val="18"/>
              </w:rPr>
              <w:t>P1 — HTTPS et transit</w:t>
            </w:r>
          </w:p>
        </w:tc>
        <w:tc>
          <w:tcPr>
            <w:tcW w:type="dxa" w:w="3402"/>
          </w:tcPr>
          <w:p>
            <w:pPr>
              <w:spacing w:after="80"/>
            </w:pPr>
            <w:r>
              <w:rPr>
                <w:sz w:val="18"/>
              </w:rPr>
              <w:t>Kickoff p.3</w:t>
            </w:r>
          </w:p>
        </w:tc>
        <w:tc>
          <w:tcPr>
            <w:tcW w:type="dxa" w:w="3402"/>
          </w:tcPr>
          <w:p>
            <w:pPr>
              <w:spacing w:after="80"/>
            </w:pPr>
            <w:r>
              <w:rPr>
                <w:sz w:val="18"/>
              </w:rPr>
              <w:t>API/front HTTP local ; TLS bases non démontré.</w:t>
              <w:br/>
              <w:t>À faire : Valider HTTPS de livraison et les flux concernés.</w:t>
            </w:r>
          </w:p>
        </w:tc>
      </w:tr>
      <w:tr>
        <w:tc>
          <w:tcPr>
            <w:tcW w:type="dxa" w:w="3402"/>
          </w:tcPr>
          <w:p>
            <w:pPr>
              <w:spacing w:after="80"/>
            </w:pPr>
            <w:r>
              <w:rPr>
                <w:sz w:val="18"/>
              </w:rPr>
              <w:t>P1 — Mentions et comportement</w:t>
            </w:r>
          </w:p>
        </w:tc>
        <w:tc>
          <w:tcPr>
            <w:tcW w:type="dxa" w:w="3402"/>
          </w:tcPr>
          <w:p>
            <w:pPr>
              <w:spacing w:after="80"/>
            </w:pPr>
            <w:r>
              <w:rPr>
                <w:sz w:val="18"/>
              </w:rPr>
              <w:t>Kickoff p.5</w:t>
            </w:r>
          </w:p>
        </w:tc>
        <w:tc>
          <w:tcPr>
            <w:tcW w:type="dxa" w:w="3402"/>
          </w:tcPr>
          <w:p>
            <w:pPr>
              <w:spacing w:after="80"/>
            </w:pPr>
            <w:r>
              <w:rPr>
                <w:sz w:val="18"/>
              </w:rPr>
              <w:t>Purges/clôture/suspension/hébergement/conformité annoncés sans preuve complète ; offres réelles mais texte tout fictif.</w:t>
              <w:br/>
              <w:t>À faire : Aligner les mentions sur le POC et implémenter les engagements retenus.</w:t>
            </w:r>
          </w:p>
        </w:tc>
      </w:tr>
      <w:tr>
        <w:tc>
          <w:tcPr>
            <w:tcW w:type="dxa" w:w="3402"/>
          </w:tcPr>
          <w:p>
            <w:pPr>
              <w:spacing w:after="80"/>
            </w:pPr>
            <w:r>
              <w:rPr>
                <w:sz w:val="18"/>
              </w:rPr>
              <w:t>P1 — Recette et couverture finale</w:t>
            </w:r>
          </w:p>
        </w:tc>
        <w:tc>
          <w:tcPr>
            <w:tcW w:type="dxa" w:w="3402"/>
          </w:tcPr>
          <w:p>
            <w:pPr>
              <w:spacing w:after="80"/>
            </w:pPr>
            <w:r>
              <w:rPr>
                <w:sz w:val="18"/>
              </w:rPr>
              <w:t>Kickoff p.6–7</w:t>
            </w:r>
          </w:p>
        </w:tc>
        <w:tc>
          <w:tcPr>
            <w:tcW w:type="dxa" w:w="3402"/>
          </w:tcPr>
          <w:p>
            <w:pPr>
              <w:spacing w:after="80"/>
            </w:pPr>
            <w:r>
              <w:rPr>
                <w:sz w:val="18"/>
              </w:rPr>
              <w:t>Coverage antérieur au code actuel ; pas de recette finale de livraison.</w:t>
              <w:br/>
              <w:t>À faire : Tests isolés, coverage de la révision finale, installation propre et démonstration.</w:t>
            </w:r>
          </w:p>
        </w:tc>
      </w:tr>
      <w:tr>
        <w:tc>
          <w:tcPr>
            <w:tcW w:type="dxa" w:w="3402"/>
          </w:tcPr>
          <w:p>
            <w:pPr>
              <w:spacing w:after="80"/>
            </w:pPr>
            <w:r>
              <w:rPr>
                <w:sz w:val="18"/>
              </w:rPr>
              <w:t>P1 — Première connexion Google</w:t>
            </w:r>
          </w:p>
        </w:tc>
        <w:tc>
          <w:tcPr>
            <w:tcW w:type="dxa" w:w="3402"/>
          </w:tcPr>
          <w:p>
            <w:pPr>
              <w:spacing w:after="80"/>
            </w:pPr>
            <w:r>
              <w:rPr>
                <w:sz w:val="18"/>
              </w:rPr>
              <w:t>Option proposée</w:t>
            </w:r>
          </w:p>
        </w:tc>
        <w:tc>
          <w:tcPr>
            <w:tcW w:type="dxa" w:w="3402"/>
          </w:tcPr>
          <w:p>
            <w:pPr>
              <w:spacing w:after="80"/>
            </w:pPr>
            <w:r>
              <w:rPr>
                <w:sz w:val="18"/>
              </w:rPr>
              <w:t>Email corrigé ; parcours complet propriétaire non observé.</w:t>
              <w:br/>
              <w:t>À faire : Validation utilisateur sans collecter son mot de passe dans la conversation.</w:t>
            </w:r>
          </w:p>
        </w:tc>
      </w:tr>
      <w:tr>
        <w:tc>
          <w:tcPr>
            <w:tcW w:type="dxa" w:w="3402"/>
          </w:tcPr>
          <w:p>
            <w:pPr>
              <w:spacing w:after="80"/>
            </w:pPr>
            <w:r>
              <w:rPr>
                <w:sz w:val="18"/>
              </w:rPr>
              <w:t>P2 — Matching candidat</w:t>
            </w:r>
          </w:p>
        </w:tc>
        <w:tc>
          <w:tcPr>
            <w:tcW w:type="dxa" w:w="3402"/>
          </w:tcPr>
          <w:p>
            <w:pPr>
              <w:spacing w:after="80"/>
            </w:pPr>
            <w:r>
              <w:rPr>
                <w:sz w:val="18"/>
              </w:rPr>
              <w:t>V1 F03/F04/F16</w:t>
            </w:r>
          </w:p>
        </w:tc>
        <w:tc>
          <w:tcPr>
            <w:tcW w:type="dxa" w:w="3402"/>
          </w:tcPr>
          <w:p>
            <w:pPr>
              <w:spacing w:after="80"/>
            </w:pPr>
            <w:r>
              <w:rPr>
                <w:sz w:val="18"/>
              </w:rPr>
              <w:t>Suggestions et explications non consommées.</w:t>
              <w:br/>
              <w:t>À faire : Raccorder /me/matches et /matches/:id/explanation.</w:t>
            </w:r>
          </w:p>
        </w:tc>
      </w:tr>
      <w:tr>
        <w:tc>
          <w:tcPr>
            <w:tcW w:type="dxa" w:w="3402"/>
          </w:tcPr>
          <w:p>
            <w:pPr>
              <w:spacing w:after="80"/>
            </w:pPr>
            <w:r>
              <w:rPr>
                <w:sz w:val="18"/>
              </w:rPr>
              <w:t>P2 — Recherche avancée</w:t>
            </w:r>
          </w:p>
        </w:tc>
        <w:tc>
          <w:tcPr>
            <w:tcW w:type="dxa" w:w="3402"/>
          </w:tcPr>
          <w:p>
            <w:pPr>
              <w:spacing w:after="80"/>
            </w:pPr>
            <w:r>
              <w:rPr>
                <w:sz w:val="18"/>
              </w:rPr>
              <w:t>V1 F05</w:t>
            </w:r>
          </w:p>
        </w:tc>
        <w:tc>
          <w:tcPr>
            <w:tcW w:type="dxa" w:w="3402"/>
          </w:tcPr>
          <w:p>
            <w:pPr>
              <w:spacing w:after="80"/>
            </w:pPr>
            <w:r>
              <w:rPr>
                <w:sz w:val="18"/>
              </w:rPr>
              <w:t>Qualifications seules ; texte filtré sur la page courante.</w:t>
              <w:br/>
              <w:t>À faire : Exposer dates/rayon/services et recherche sur tout le résultat.</w:t>
            </w:r>
          </w:p>
        </w:tc>
      </w:tr>
      <w:tr>
        <w:tc>
          <w:tcPr>
            <w:tcW w:type="dxa" w:w="3402"/>
          </w:tcPr>
          <w:p>
            <w:pPr>
              <w:spacing w:after="80"/>
            </w:pPr>
            <w:r>
              <w:rPr>
                <w:sz w:val="18"/>
              </w:rPr>
              <w:t>P2 — Correspondance externe</w:t>
            </w:r>
          </w:p>
        </w:tc>
        <w:tc>
          <w:tcPr>
            <w:tcW w:type="dxa" w:w="3402"/>
          </w:tcPr>
          <w:p>
            <w:pPr>
              <w:spacing w:after="80"/>
            </w:pPr>
            <w:r>
              <w:rPr>
                <w:sz w:val="18"/>
              </w:rPr>
              <w:t>V1 F20</w:t>
            </w:r>
          </w:p>
        </w:tc>
        <w:tc>
          <w:tcPr>
            <w:tcW w:type="dxa" w:w="3402"/>
          </w:tcPr>
          <w:p>
            <w:pPr>
              <w:spacing w:after="80"/>
            </w:pPr>
            <w:r>
              <w:rPr>
                <w:sz w:val="18"/>
              </w:rPr>
              <w:t>API présente, critères et incertitudes non affichés.</w:t>
              <w:br/>
              <w:t>À faire : Présenter connu/inconnu sans score complet inventé.</w:t>
            </w:r>
          </w:p>
        </w:tc>
      </w:tr>
      <w:tr>
        <w:tc>
          <w:tcPr>
            <w:tcW w:type="dxa" w:w="3402"/>
          </w:tcPr>
          <w:p>
            <w:pPr>
              <w:spacing w:after="80"/>
            </w:pPr>
            <w:r>
              <w:rPr>
                <w:sz w:val="18"/>
              </w:rPr>
              <w:t>P2 — FINESS et rattachements</w:t>
            </w:r>
          </w:p>
        </w:tc>
        <w:tc>
          <w:tcPr>
            <w:tcW w:type="dxa" w:w="3402"/>
          </w:tcPr>
          <w:p>
            <w:pPr>
              <w:spacing w:after="80"/>
            </w:pPr>
            <w:r>
              <w:rPr>
                <w:sz w:val="18"/>
              </w:rPr>
              <w:t>V1 F02bis/F17</w:t>
            </w:r>
          </w:p>
        </w:tc>
        <w:tc>
          <w:tcPr>
            <w:tcW w:type="dxa" w:w="3402"/>
          </w:tcPr>
          <w:p>
            <w:pPr>
              <w:spacing w:after="80"/>
            </w:pPr>
            <w:r>
              <w:rPr>
                <w:sz w:val="18"/>
              </w:rPr>
              <w:t>Saisie manuelle FINESS ; affiliation par CLI.</w:t>
              <w:br/>
              <w:t>À faire : Raccorder recherche et documenter ou créer un parcours autorisé de rattachement.</w:t>
            </w:r>
          </w:p>
        </w:tc>
      </w:tr>
      <w:tr>
        <w:tc>
          <w:tcPr>
            <w:tcW w:type="dxa" w:w="3402"/>
          </w:tcPr>
          <w:p>
            <w:pPr>
              <w:spacing w:after="80"/>
            </w:pPr>
            <w:r>
              <w:rPr>
                <w:sz w:val="18"/>
              </w:rPr>
              <w:t>P2 — Calendrier/propositions</w:t>
            </w:r>
          </w:p>
        </w:tc>
        <w:tc>
          <w:tcPr>
            <w:tcW w:type="dxa" w:w="3402"/>
          </w:tcPr>
          <w:p>
            <w:pPr>
              <w:spacing w:after="80"/>
            </w:pPr>
            <w:r>
              <w:rPr>
                <w:sz w:val="18"/>
              </w:rPr>
              <w:t>V1 F09/F19</w:t>
            </w:r>
          </w:p>
        </w:tc>
        <w:tc>
          <w:tcPr>
            <w:tcW w:type="dxa" w:w="3402"/>
          </w:tcPr>
          <w:p>
            <w:pPr>
              <w:spacing w:after="80"/>
            </w:pPr>
            <w:r>
              <w:rPr>
                <w:sz w:val="18"/>
              </w:rPr>
              <w:t>Pas de calendrier missions  ; 20 propositions front seulement.</w:t>
              <w:br/>
              <w:t>À faire : Calendrier des affectations et pagination des propositions.</w:t>
            </w:r>
          </w:p>
        </w:tc>
      </w:tr>
      <w:tr>
        <w:tc>
          <w:tcPr>
            <w:tcW w:type="dxa" w:w="3402"/>
          </w:tcPr>
          <w:p>
            <w:pPr>
              <w:spacing w:after="80"/>
            </w:pPr>
            <w:r>
              <w:rPr>
                <w:sz w:val="18"/>
              </w:rPr>
              <w:t>P2 — Documents/conservation</w:t>
            </w:r>
          </w:p>
        </w:tc>
        <w:tc>
          <w:tcPr>
            <w:tcW w:type="dxa" w:w="3402"/>
          </w:tcPr>
          <w:p>
            <w:pPr>
              <w:spacing w:after="80"/>
            </w:pPr>
            <w:r>
              <w:rPr>
                <w:sz w:val="18"/>
              </w:rPr>
              <w:t>V1 F22/SEC</w:t>
            </w:r>
          </w:p>
        </w:tc>
        <w:tc>
          <w:tcPr>
            <w:tcW w:type="dxa" w:w="3402"/>
          </w:tcPr>
          <w:p>
            <w:pPr>
              <w:spacing w:after="80"/>
            </w:pPr>
            <w:r>
              <w:rPr>
                <w:sz w:val="18"/>
              </w:rPr>
              <w:t>Rejeu de dépôt/banque pouvant ajouter un document ; purge incomplète.</w:t>
              <w:br/>
              <w:t>À faire : Idempotence, remplacement cohérent et conservation appliquée.</w:t>
            </w:r>
          </w:p>
        </w:tc>
      </w:tr>
      <w:tr>
        <w:tc>
          <w:tcPr>
            <w:tcW w:type="dxa" w:w="3402"/>
          </w:tcPr>
          <w:p>
            <w:pPr>
              <w:spacing w:after="80"/>
            </w:pPr>
            <w:r>
              <w:rPr>
                <w:sz w:val="18"/>
              </w:rPr>
              <w:t>P2 — Synchronisation fournisseur</w:t>
            </w:r>
          </w:p>
        </w:tc>
        <w:tc>
          <w:tcPr>
            <w:tcW w:type="dxa" w:w="3402"/>
          </w:tcPr>
          <w:p>
            <w:pPr>
              <w:spacing w:after="80"/>
            </w:pPr>
            <w:r>
              <w:rPr>
                <w:sz w:val="18"/>
              </w:rPr>
              <w:t>V1 F15</w:t>
            </w:r>
          </w:p>
        </w:tc>
        <w:tc>
          <w:tcPr>
            <w:tcW w:type="dxa" w:w="3402"/>
          </w:tcPr>
          <w:p>
            <w:pPr>
              <w:spacing w:after="80"/>
            </w:pPr>
            <w:r>
              <w:rPr>
                <w:sz w:val="18"/>
              </w:rPr>
              <w:t>Upsert présent ; disparition d’offres non traitée systématiquement.</w:t>
              <w:br/>
              <w:t>À faire : Cycle de retrait fournisseur et preuve de rejeu.</w:t>
            </w:r>
          </w:p>
        </w:tc>
      </w:tr>
      <w:tr>
        <w:tc>
          <w:tcPr>
            <w:tcW w:type="dxa" w:w="3402"/>
          </w:tcPr>
          <w:p>
            <w:pPr>
              <w:spacing w:after="80"/>
            </w:pPr>
            <w:r>
              <w:rPr>
                <w:sz w:val="18"/>
              </w:rPr>
              <w:t>P2 — Préférences notifications</w:t>
            </w:r>
          </w:p>
        </w:tc>
        <w:tc>
          <w:tcPr>
            <w:tcW w:type="dxa" w:w="3402"/>
          </w:tcPr>
          <w:p>
            <w:pPr>
              <w:spacing w:after="80"/>
            </w:pPr>
            <w:r>
              <w:rPr>
                <w:sz w:val="18"/>
              </w:rPr>
              <w:t>V1</w:t>
            </w:r>
          </w:p>
        </w:tc>
        <w:tc>
          <w:tcPr>
            <w:tcW w:type="dxa" w:w="3402"/>
          </w:tcPr>
          <w:p>
            <w:pPr>
              <w:spacing w:after="80"/>
            </w:pPr>
            <w:r>
              <w:rPr>
                <w:sz w:val="18"/>
              </w:rPr>
              <w:t>Option backend non raccordée.</w:t>
              <w:br/>
              <w:t>À faire : Relier la préférence sans annoncer un canal externe inexistant.</w:t>
            </w:r>
          </w:p>
        </w:tc>
      </w:tr>
      <w:tr>
        <w:tc>
          <w:tcPr>
            <w:tcW w:type="dxa" w:w="3402"/>
          </w:tcPr>
          <w:p>
            <w:pPr>
              <w:spacing w:after="80"/>
            </w:pPr>
            <w:r>
              <w:rPr>
                <w:sz w:val="18"/>
              </w:rPr>
              <w:t>P2 — Responsive/SEO/éco-conception</w:t>
            </w:r>
          </w:p>
        </w:tc>
        <w:tc>
          <w:tcPr>
            <w:tcW w:type="dxa" w:w="3402"/>
          </w:tcPr>
          <w:p>
            <w:pPr>
              <w:spacing w:after="80"/>
            </w:pPr>
            <w:r>
              <w:rPr>
                <w:sz w:val="18"/>
              </w:rPr>
              <w:t>Kickoff p.5–6</w:t>
            </w:r>
          </w:p>
        </w:tc>
        <w:tc>
          <w:tcPr>
            <w:tcW w:type="dxa" w:w="3402"/>
          </w:tcPr>
          <w:p>
            <w:pPr>
              <w:spacing w:after="80"/>
            </w:pPr>
            <w:r>
              <w:rPr>
                <w:sz w:val="18"/>
              </w:rPr>
              <w:t>Deux listes mobile débordent ; sitemap et affirmations anciennes.</w:t>
              <w:br/>
              <w:t>À faire : Corriger, valider URLs livrées et documenter deux pratiques vérifiables.</w:t>
            </w:r>
          </w:p>
        </w:tc>
      </w:tr>
      <w:tr>
        <w:tc>
          <w:tcPr>
            <w:tcW w:type="dxa" w:w="3402"/>
          </w:tcPr>
          <w:p>
            <w:pPr>
              <w:spacing w:after="80"/>
            </w:pPr>
            <w:r>
              <w:rPr>
                <w:sz w:val="18"/>
              </w:rPr>
              <w:t>P2 — Exploitation/restauration</w:t>
            </w:r>
          </w:p>
        </w:tc>
        <w:tc>
          <w:tcPr>
            <w:tcW w:type="dxa" w:w="3402"/>
          </w:tcPr>
          <w:p>
            <w:pPr>
              <w:spacing w:after="80"/>
            </w:pPr>
            <w:r>
              <w:rPr>
                <w:sz w:val="18"/>
              </w:rPr>
              <w:t>V1 sécurité</w:t>
            </w:r>
          </w:p>
        </w:tc>
        <w:tc>
          <w:tcPr>
            <w:tcW w:type="dxa" w:w="3402"/>
          </w:tcPr>
          <w:p>
            <w:pPr>
              <w:spacing w:after="80"/>
            </w:pPr>
            <w:r>
              <w:rPr>
                <w:sz w:val="18"/>
              </w:rPr>
              <w:t>Restauration complète non prouvée ; privilèges bases à valider.</w:t>
              <w:br/>
              <w:t>À faire : Exercice isolé SQL/Mongo/fichiers/clés/n8n et droits minimaux.</w:t>
            </w:r>
          </w:p>
        </w:tc>
      </w:tr>
      <w:tr>
        <w:tc>
          <w:tcPr>
            <w:tcW w:type="dxa" w:w="3402"/>
          </w:tcPr>
          <w:p>
            <w:pPr>
              <w:spacing w:after="80"/>
            </w:pPr>
            <w:r>
              <w:rPr>
                <w:sz w:val="18"/>
              </w:rPr>
              <w:t>P2 — Livrables équipe</w:t>
            </w:r>
          </w:p>
        </w:tc>
        <w:tc>
          <w:tcPr>
            <w:tcW w:type="dxa" w:w="3402"/>
          </w:tcPr>
          <w:p>
            <w:pPr>
              <w:spacing w:after="80"/>
            </w:pPr>
            <w:r>
              <w:rPr>
                <w:sz w:val="18"/>
              </w:rPr>
              <w:t>Kickoff p.7–8</w:t>
            </w:r>
          </w:p>
        </w:tc>
        <w:tc>
          <w:tcPr>
            <w:tcW w:type="dxa" w:w="3402"/>
          </w:tcPr>
          <w:p>
            <w:pPr>
              <w:spacing w:after="80"/>
            </w:pPr>
            <w:r>
              <w:rPr>
                <w:sz w:val="18"/>
              </w:rPr>
              <w:t>Temps humains/écarts et répétition non démontrés.</w:t>
              <w:br/>
              <w:t>À faire : Compléter dossier, temps réels et participation collective.</w:t>
            </w:r>
          </w:p>
        </w:tc>
      </w:tr>
      <w:tr>
        <w:tc>
          <w:tcPr>
            <w:tcW w:type="dxa" w:w="3402"/>
          </w:tcPr>
          <w:p>
            <w:pPr>
              <w:spacing w:after="80"/>
            </w:pPr>
            <w:r>
              <w:rPr>
                <w:sz w:val="18"/>
              </w:rPr>
              <w:t>P3 — Gestion autonome compte</w:t>
            </w:r>
          </w:p>
        </w:tc>
        <w:tc>
          <w:tcPr>
            <w:tcW w:type="dxa" w:w="3402"/>
          </w:tcPr>
          <w:p>
            <w:pPr>
              <w:spacing w:after="80"/>
            </w:pPr>
            <w:r>
              <w:rPr>
                <w:sz w:val="18"/>
              </w:rPr>
              <w:t>Complément produit</w:t>
            </w:r>
          </w:p>
        </w:tc>
        <w:tc>
          <w:tcPr>
            <w:tcW w:type="dxa" w:w="3402"/>
          </w:tcPr>
          <w:p>
            <w:pPr>
              <w:spacing w:after="80"/>
            </w:pPr>
            <w:r>
              <w:rPr>
                <w:sz w:val="18"/>
              </w:rPr>
              <w:t>Reset, changement email/mot de passe, MFA absents.</w:t>
              <w:br/>
              <w:t>À faire : Arbitrer sans les présenter comme obligations explicites du sujet.</w:t>
            </w:r>
          </w:p>
        </w:tc>
      </w:tr>
    </w:tbl>
    <w:p/>
    <w:p>
      <w:r>
        <w:t>P1 : avant déclaration de livraison complète. P2 : compléments V1 ou preuves restantes. P3 : fonctions supplémentaires à arbitrer. Les obligations du kickoff restent distinctes des engagements V1 et améliorations de confort.</w:t>
      </w:r>
    </w:p>
    <w:p>
      <w:pPr>
        <w:pStyle w:val="Heading1"/>
      </w:pPr>
      <w:r>
        <w:t>5. Les 40 exigences du kickoff</w:t>
      </w:r>
    </w:p>
    <w:p>
      <w:r>
        <w:t>Pages physiques PDF : comptes/missions/profils/matching p.3 ; données et nocode p.4 ; accessibilité/éco-conception/conformité/SEO p.5 ; stack/tests/CLI/auth p.6 ; livrables p.7 ; soutenance p.8. L’ancienne matrice utilisait la pagination imprimée, décalée de 1.</w:t>
      </w:r>
    </w:p>
    <w:tbl>
      <w:tblPr>
        <w:tblStyle w:val="LightShading-Accent1"/>
        <w:tblW w:type="auto" w:w="0"/>
        <w:tblLook w:firstColumn="1" w:firstRow="1" w:lastColumn="0" w:lastRow="0" w:noHBand="0" w:noVBand="1" w:val="04A0"/>
      </w:tblPr>
      <w:tblGrid>
        <w:gridCol w:w="3402"/>
        <w:gridCol w:w="3402"/>
        <w:gridCol w:w="3402"/>
      </w:tblGrid>
      <w:tr>
        <w:trPr>
          <w:tblHeader/>
        </w:trPr>
        <w:tc>
          <w:tcPr>
            <w:tcW w:type="dxa" w:w="3402"/>
          </w:tcPr>
          <w:p>
            <w:r>
              <w:t>ID / exigence</w:t>
            </w:r>
          </w:p>
        </w:tc>
        <w:tc>
          <w:tcPr>
            <w:tcW w:type="dxa" w:w="3402"/>
          </w:tcPr>
          <w:p>
            <w:r>
              <w:t>État</w:t>
            </w:r>
          </w:p>
        </w:tc>
        <w:tc>
          <w:tcPr>
            <w:tcW w:type="dxa" w:w="3402"/>
          </w:tcPr>
          <w:p>
            <w:r>
              <w:t>Preuve et reste</w:t>
            </w:r>
          </w:p>
        </w:tc>
      </w:tr>
      <w:tr>
        <w:tc>
          <w:tcPr>
            <w:tcW w:type="dxa" w:w="3402"/>
          </w:tcPr>
          <w:p>
            <w:pPr>
              <w:spacing w:after="80"/>
            </w:pPr>
            <w:r>
              <w:rPr>
                <w:sz w:val="18"/>
              </w:rPr>
              <w:t>R01 — Secteur choisi et justifié</w:t>
            </w:r>
          </w:p>
        </w:tc>
        <w:tc>
          <w:tcPr>
            <w:tcW w:type="dxa" w:w="3402"/>
          </w:tcPr>
          <w:p>
            <w:pPr>
              <w:spacing w:after="80"/>
            </w:pPr>
            <w:r>
              <w:rPr>
                <w:sz w:val="18"/>
              </w:rPr>
              <w:t>Documenté</w:t>
            </w:r>
          </w:p>
        </w:tc>
        <w:tc>
          <w:tcPr>
            <w:tcW w:type="dxa" w:w="3402"/>
          </w:tcPr>
          <w:p>
            <w:pPr>
              <w:spacing w:after="80"/>
            </w:pPr>
            <w:r>
              <w:rPr>
                <w:sz w:val="18"/>
              </w:rPr>
              <w:t>Santé : README et cadrage.</w:t>
              <w:br/>
              <w:t>Reste : Argumentaire collectif à valider hors audit du code.</w:t>
            </w:r>
          </w:p>
        </w:tc>
      </w:tr>
      <w:tr>
        <w:tc>
          <w:tcPr>
            <w:tcW w:type="dxa" w:w="3402"/>
          </w:tcPr>
          <w:p>
            <w:pPr>
              <w:spacing w:after="80"/>
            </w:pPr>
            <w:r>
              <w:rPr>
                <w:sz w:val="18"/>
              </w:rPr>
              <w:t>R02 — Taille du marché, acteurs et douleurs</w:t>
            </w:r>
          </w:p>
        </w:tc>
        <w:tc>
          <w:tcPr>
            <w:tcW w:type="dxa" w:w="3402"/>
          </w:tcPr>
          <w:p>
            <w:pPr>
              <w:spacing w:after="80"/>
            </w:pPr>
            <w:r>
              <w:rPr>
                <w:sz w:val="18"/>
              </w:rPr>
              <w:t>Document présent, à valider</w:t>
            </w:r>
          </w:p>
        </w:tc>
        <w:tc>
          <w:tcPr>
            <w:tcW w:type="dxa" w:w="3402"/>
          </w:tcPr>
          <w:p>
            <w:pPr>
              <w:spacing w:after="80"/>
            </w:pPr>
            <w:r>
              <w:rPr>
                <w:sz w:val="18"/>
              </w:rPr>
              <w:t>Étude SEO/concurrence et documents marché présents.</w:t>
              <w:br/>
              <w:t>Reste : Vérifier sources datées, taille du marché et besoins ; pas d’audit marché ici.</w:t>
            </w:r>
          </w:p>
        </w:tc>
      </w:tr>
      <w:tr>
        <w:tc>
          <w:tcPr>
            <w:tcW w:type="dxa" w:w="3402"/>
          </w:tcPr>
          <w:p>
            <w:pPr>
              <w:spacing w:after="80"/>
            </w:pPr>
            <w:r>
              <w:rPr>
                <w:sz w:val="18"/>
              </w:rPr>
              <w:t>R03 — Source publique et format consommable</w:t>
            </w:r>
          </w:p>
        </w:tc>
        <w:tc>
          <w:tcPr>
            <w:tcW w:type="dxa" w:w="3402"/>
          </w:tcPr>
          <w:p>
            <w:pPr>
              <w:spacing w:after="80"/>
            </w:pPr>
            <w:r>
              <w:rPr>
                <w:sz w:val="18"/>
              </w:rPr>
              <w:t>Implémenté ; preuve réelle antérieure</w:t>
            </w:r>
          </w:p>
        </w:tc>
        <w:tc>
          <w:tcPr>
            <w:tcW w:type="dxa" w:w="3402"/>
          </w:tcPr>
          <w:p>
            <w:pPr>
              <w:spacing w:after="80"/>
            </w:pPr>
            <w:r>
              <w:rPr>
                <w:sz w:val="18"/>
              </w:rPr>
              <w:t>France Travail JSON, FINESS et Annuaire Santé ; docs/proofs.</w:t>
              <w:br/>
              <w:t>Reste : Fournisseurs non rappelés pendant cet audit.</w:t>
            </w:r>
          </w:p>
        </w:tc>
      </w:tr>
      <w:tr>
        <w:tc>
          <w:tcPr>
            <w:tcW w:type="dxa" w:w="3402"/>
          </w:tcPr>
          <w:p>
            <w:pPr>
              <w:spacing w:after="80"/>
            </w:pPr>
            <w:r>
              <w:rPr>
                <w:sz w:val="18"/>
              </w:rPr>
              <w:t>R04 — Proposition de valeur en une phrase</w:t>
            </w:r>
          </w:p>
        </w:tc>
        <w:tc>
          <w:tcPr>
            <w:tcW w:type="dxa" w:w="3402"/>
          </w:tcPr>
          <w:p>
            <w:pPr>
              <w:spacing w:after="80"/>
            </w:pPr>
            <w:r>
              <w:rPr>
                <w:sz w:val="18"/>
              </w:rPr>
              <w:t>Documenté, à valider</w:t>
            </w:r>
          </w:p>
        </w:tc>
        <w:tc>
          <w:tcPr>
            <w:tcW w:type="dxa" w:w="3402"/>
          </w:tcPr>
          <w:p>
            <w:pPr>
              <w:spacing w:after="80"/>
            </w:pPr>
            <w:r>
              <w:rPr>
                <w:sz w:val="18"/>
              </w:rPr>
              <w:t>Positionnement et présentation InfiMatch présents.</w:t>
              <w:br/>
              <w:t>Reste : Valider une phrase commune au produit et au pitch.</w:t>
            </w:r>
          </w:p>
        </w:tc>
      </w:tr>
      <w:tr>
        <w:tc>
          <w:tcPr>
            <w:tcW w:type="dxa" w:w="3402"/>
          </w:tcPr>
          <w:p>
            <w:pPr>
              <w:spacing w:after="80"/>
            </w:pPr>
            <w:r>
              <w:rPr>
                <w:sz w:val="18"/>
              </w:rPr>
              <w:t>R05 — CDC à J+2, p. 2 et 6</w:t>
            </w:r>
          </w:p>
        </w:tc>
        <w:tc>
          <w:tcPr>
            <w:tcW w:type="dxa" w:w="3402"/>
          </w:tcPr>
          <w:p>
            <w:pPr>
              <w:spacing w:after="80"/>
            </w:pPr>
            <w:r>
              <w:rPr>
                <w:sz w:val="18"/>
              </w:rPr>
              <w:t>Partiel documentaire</w:t>
            </w:r>
          </w:p>
        </w:tc>
        <w:tc>
          <w:tcPr>
            <w:tcW w:type="dxa" w:w="3402"/>
          </w:tcPr>
          <w:p>
            <w:pPr>
              <w:spacing w:after="80"/>
            </w:pPr>
            <w:r>
              <w:rPr>
                <w:sz w:val="18"/>
              </w:rPr>
              <w:t>Planning et chiffrage V1 présents.</w:t>
              <w:br/>
              <w:t>Reste : Remise effective du CDC à J+2 non démontrée par le code.</w:t>
            </w:r>
          </w:p>
        </w:tc>
      </w:tr>
      <w:tr>
        <w:tc>
          <w:tcPr>
            <w:tcW w:type="dxa" w:w="3402"/>
          </w:tcPr>
          <w:p>
            <w:pPr>
              <w:spacing w:after="80"/>
            </w:pPr>
            <w:r>
              <w:rPr>
                <w:sz w:val="18"/>
              </w:rPr>
              <w:t>R06 — Roadmap et périmètre</w:t>
            </w:r>
          </w:p>
        </w:tc>
        <w:tc>
          <w:tcPr>
            <w:tcW w:type="dxa" w:w="3402"/>
          </w:tcPr>
          <w:p>
            <w:pPr>
              <w:spacing w:after="80"/>
            </w:pPr>
            <w:r>
              <w:rPr>
                <w:sz w:val="18"/>
              </w:rPr>
              <w:t>Documenté</w:t>
            </w:r>
          </w:p>
        </w:tc>
        <w:tc>
          <w:tcPr>
            <w:tcW w:type="dxa" w:w="3402"/>
          </w:tcPr>
          <w:p>
            <w:pPr>
              <w:spacing w:after="80"/>
            </w:pPr>
            <w:r>
              <w:rPr>
                <w:sz w:val="18"/>
              </w:rPr>
              <w:t>PLANNING_4_PERSONNES_11_JOURS.md, DECISIONS_V1.md et V2.</w:t>
              <w:br/>
              <w:t>Reste : Aligner le périmètre annoncé sur les écarts actuels.</w:t>
            </w:r>
          </w:p>
        </w:tc>
      </w:tr>
      <w:tr>
        <w:tc>
          <w:tcPr>
            <w:tcW w:type="dxa" w:w="3402"/>
          </w:tcPr>
          <w:p>
            <w:pPr>
              <w:spacing w:after="80"/>
            </w:pPr>
            <w:r>
              <w:rPr>
                <w:sz w:val="18"/>
              </w:rPr>
              <w:t>R07 — Estimation par fonction ou module</w:t>
            </w:r>
          </w:p>
        </w:tc>
        <w:tc>
          <w:tcPr>
            <w:tcW w:type="dxa" w:w="3402"/>
          </w:tcPr>
          <w:p>
            <w:pPr>
              <w:spacing w:after="80"/>
            </w:pPr>
            <w:r>
              <w:rPr>
                <w:sz w:val="18"/>
              </w:rPr>
              <w:t>Documenté, à recalibrer</w:t>
            </w:r>
          </w:p>
        </w:tc>
        <w:tc>
          <w:tcPr>
            <w:tcW w:type="dxa" w:w="3402"/>
          </w:tcPr>
          <w:p>
            <w:pPr>
              <w:spacing w:after="80"/>
            </w:pPr>
            <w:r>
              <w:rPr>
                <w:sz w:val="18"/>
              </w:rPr>
              <w:t>CHIFFRAGE_V1.md/.csv : estimations par lot.</w:t>
              <w:br/>
              <w:t>Reste : Distinguer estimations, disponibilité réelle et temps effectivement passé.</w:t>
            </w:r>
          </w:p>
        </w:tc>
      </w:tr>
      <w:tr>
        <w:tc>
          <w:tcPr>
            <w:tcW w:type="dxa" w:w="3402"/>
          </w:tcPr>
          <w:p>
            <w:pPr>
              <w:spacing w:after="80"/>
            </w:pPr>
            <w:r>
              <w:rPr>
                <w:sz w:val="18"/>
              </w:rPr>
              <w:t>R08 — Go/no-go et ajustement</w:t>
            </w:r>
          </w:p>
        </w:tc>
        <w:tc>
          <w:tcPr>
            <w:tcW w:type="dxa" w:w="3402"/>
          </w:tcPr>
          <w:p>
            <w:pPr>
              <w:spacing w:after="80"/>
            </w:pPr>
            <w:r>
              <w:rPr>
                <w:sz w:val="18"/>
              </w:rPr>
              <w:t>Non démontré</w:t>
            </w:r>
          </w:p>
        </w:tc>
        <w:tc>
          <w:tcPr>
            <w:tcW w:type="dxa" w:w="3402"/>
          </w:tcPr>
          <w:p>
            <w:pPr>
              <w:spacing w:after="80"/>
            </w:pPr>
            <w:r>
              <w:rPr>
                <w:sz w:val="18"/>
              </w:rPr>
              <w:t>Go/no-go prévu dans le cadrage.</w:t>
              <w:br/>
              <w:t>Reste : Conserver une décision collective datée ; ne pas inventer sa tenue.</w:t>
            </w:r>
          </w:p>
        </w:tc>
      </w:tr>
      <w:tr>
        <w:tc>
          <w:tcPr>
            <w:tcW w:type="dxa" w:w="3402"/>
          </w:tcPr>
          <w:p>
            <w:pPr>
              <w:spacing w:after="80"/>
            </w:pPr>
            <w:r>
              <w:rPr>
                <w:sz w:val="18"/>
              </w:rPr>
              <w:t>R09 — Deux comptes/parcours</w:t>
            </w:r>
          </w:p>
        </w:tc>
        <w:tc>
          <w:tcPr>
            <w:tcW w:type="dxa" w:w="3402"/>
          </w:tcPr>
          <w:p>
            <w:pPr>
              <w:spacing w:after="80"/>
            </w:pPr>
            <w:r>
              <w:rPr>
                <w:sz w:val="18"/>
              </w:rPr>
              <w:t>Implémenté, scénarios testés</w:t>
            </w:r>
          </w:p>
        </w:tc>
        <w:tc>
          <w:tcPr>
            <w:tcW w:type="dxa" w:w="3402"/>
          </w:tcPr>
          <w:p>
            <w:pPr>
              <w:spacing w:after="80"/>
            </w:pPr>
            <w:r>
              <w:rPr>
                <w:sz w:val="18"/>
              </w:rPr>
              <w:t>NURSE/ENTERPRISE ; entreprises AGENCY/ESTABLISHMENT ; inscriptions et droits distincts.</w:t>
              <w:br/>
              <w:t>Reste : Affiliation agence–établissement par CLI, sans écran de gestion.</w:t>
            </w:r>
          </w:p>
        </w:tc>
      </w:tr>
      <w:tr>
        <w:tc>
          <w:tcPr>
            <w:tcW w:type="dxa" w:w="3402"/>
          </w:tcPr>
          <w:p>
            <w:pPr>
              <w:spacing w:after="80"/>
            </w:pPr>
            <w:r>
              <w:rPr>
                <w:sz w:val="18"/>
              </w:rPr>
              <w:t>R10 — Authentification sécurisée</w:t>
            </w:r>
          </w:p>
        </w:tc>
        <w:tc>
          <w:tcPr>
            <w:tcW w:type="dxa" w:w="3402"/>
          </w:tcPr>
          <w:p>
            <w:pPr>
              <w:spacing w:after="80"/>
            </w:pPr>
            <w:r>
              <w:rPr>
                <w:sz w:val="18"/>
              </w:rPr>
              <w:t>Implémenté localement ; livraison partielle</w:t>
            </w:r>
          </w:p>
        </w:tc>
        <w:tc>
          <w:tcPr>
            <w:tcW w:type="dxa" w:w="3402"/>
          </w:tcPr>
          <w:p>
            <w:pPr>
              <w:spacing w:after="80"/>
            </w:pPr>
            <w:r>
              <w:rPr>
                <w:sz w:val="18"/>
              </w:rPr>
              <w:t>Argon2id, sessions SQL, cookies HttpOnly/SameSite, CSRF/Origin, limite auth, DTO stricts.</w:t>
              <w:br/>
              <w:t>Reste : HTTPS et configuration de production à valider.</w:t>
            </w:r>
          </w:p>
        </w:tc>
      </w:tr>
      <w:tr>
        <w:tc>
          <w:tcPr>
            <w:tcW w:type="dxa" w:w="3402"/>
          </w:tcPr>
          <w:p>
            <w:pPr>
              <w:spacing w:after="80"/>
            </w:pPr>
            <w:r>
              <w:rPr>
                <w:sz w:val="18"/>
              </w:rPr>
              <w:t>R11 — Chiffrement repos/transit</w:t>
            </w:r>
          </w:p>
        </w:tc>
        <w:tc>
          <w:tcPr>
            <w:tcW w:type="dxa" w:w="3402"/>
          </w:tcPr>
          <w:p>
            <w:pPr>
              <w:spacing w:after="80"/>
            </w:pPr>
            <w:r>
              <w:rPr>
                <w:sz w:val="18"/>
              </w:rPr>
              <w:t>Partiel — exigence non achevée</w:t>
            </w:r>
          </w:p>
        </w:tc>
        <w:tc>
          <w:tcPr>
            <w:tcW w:type="dxa" w:w="3402"/>
          </w:tcPr>
          <w:p>
            <w:pPr>
              <w:spacing w:after="80"/>
            </w:pPr>
            <w:r>
              <w:rPr>
                <w:sz w:val="18"/>
              </w:rPr>
              <w:t>Documents/RIB fictifs AES-256-GCM ; Vault en HTTPS.</w:t>
              <w:br/>
              <w:t>Reste : Frontend/API en HTTP local ; TLS interservices non démontré. HTTPS Vault ne couvre pas les autres flux.</w:t>
            </w:r>
          </w:p>
        </w:tc>
      </w:tr>
      <w:tr>
        <w:tc>
          <w:tcPr>
            <w:tcW w:type="dxa" w:w="3402"/>
          </w:tcPr>
          <w:p>
            <w:pPr>
              <w:spacing w:after="80"/>
            </w:pPr>
            <w:r>
              <w:rPr>
                <w:sz w:val="18"/>
              </w:rPr>
              <w:t>R12 — Mission poste/dates/lieu/compétences/salaire</w:t>
            </w:r>
          </w:p>
        </w:tc>
        <w:tc>
          <w:tcPr>
            <w:tcW w:type="dxa" w:w="3402"/>
          </w:tcPr>
          <w:p>
            <w:pPr>
              <w:spacing w:after="80"/>
            </w:pPr>
            <w:r>
              <w:rPr>
                <w:sz w:val="18"/>
              </w:rPr>
              <w:t>Implémenté, scénarios testés</w:t>
            </w:r>
          </w:p>
        </w:tc>
        <w:tc>
          <w:tcPr>
            <w:tcW w:type="dxa" w:w="3402"/>
          </w:tcPr>
          <w:p>
            <w:pPr>
              <w:spacing w:after="80"/>
            </w:pPr>
            <w:r>
              <w:rPr>
                <w:sz w:val="18"/>
              </w:rPr>
              <w:t>Mission : poste, dates, lieu, qualification, compétences, salaire ; formulaire connecté.</w:t>
              <w:br/>
              <w:t>Reste : Recette exhaustive et rattachement organisationnel préalable.</w:t>
            </w:r>
          </w:p>
        </w:tc>
      </w:tr>
      <w:tr>
        <w:tc>
          <w:tcPr>
            <w:tcW w:type="dxa" w:w="3402"/>
          </w:tcPr>
          <w:p>
            <w:pPr>
              <w:spacing w:after="80"/>
            </w:pPr>
            <w:r>
              <w:rPr>
                <w:sz w:val="18"/>
              </w:rPr>
              <w:t>R13 — Profil compétences/disponibilité/zone/expérience</w:t>
            </w:r>
          </w:p>
        </w:tc>
        <w:tc>
          <w:tcPr>
            <w:tcW w:type="dxa" w:w="3402"/>
          </w:tcPr>
          <w:p>
            <w:pPr>
              <w:spacing w:after="80"/>
            </w:pPr>
            <w:r>
              <w:rPr>
                <w:sz w:val="18"/>
              </w:rPr>
              <w:t>Implémenté, scénarios testés</w:t>
            </w:r>
          </w:p>
        </w:tc>
        <w:tc>
          <w:tcPr>
            <w:tcW w:type="dxa" w:w="3402"/>
          </w:tcPr>
          <w:p>
            <w:pPr>
              <w:spacing w:after="80"/>
            </w:pPr>
            <w:r>
              <w:rPr>
                <w:sz w:val="18"/>
              </w:rPr>
              <w:t>Profil détaillé, expériences, compétences, qualifications, zone et disponibilités persistés.</w:t>
              <w:br/>
              <w:t>Reste : Déclarations de diplôme/expérience et vérification RPPS sont distinctes.</w:t>
            </w:r>
          </w:p>
        </w:tc>
      </w:tr>
      <w:tr>
        <w:tc>
          <w:tcPr>
            <w:tcW w:type="dxa" w:w="3402"/>
          </w:tcPr>
          <w:p>
            <w:pPr>
              <w:spacing w:after="80"/>
            </w:pPr>
            <w:r>
              <w:rPr>
                <w:sz w:val="18"/>
              </w:rPr>
              <w:t>R14 — Matching des missions ouvertes</w:t>
            </w:r>
          </w:p>
        </w:tc>
        <w:tc>
          <w:tcPr>
            <w:tcW w:type="dxa" w:w="3402"/>
          </w:tcPr>
          <w:p>
            <w:pPr>
              <w:spacing w:after="80"/>
            </w:pPr>
            <w:r>
              <w:rPr>
                <w:sz w:val="18"/>
              </w:rPr>
              <w:t>Backend implémenté ; front partiel</w:t>
            </w:r>
          </w:p>
        </w:tc>
        <w:tc>
          <w:tcPr>
            <w:tcW w:type="dxa" w:w="3402"/>
          </w:tcPr>
          <w:p>
            <w:pPr>
              <w:spacing w:after="80"/>
            </w:pPr>
            <w:r>
              <w:rPr>
                <w:sz w:val="18"/>
              </w:rPr>
              <w:t>Admissibilité puis score déterministe ; candidats proposés dans gestion de mission.</w:t>
              <w:br/>
              <w:t>Reste : /me/matches et /matches/:id/explanation non consommés côté candidat.</w:t>
            </w:r>
          </w:p>
        </w:tc>
      </w:tr>
      <w:tr>
        <w:tc>
          <w:tcPr>
            <w:tcW w:type="dxa" w:w="3402"/>
          </w:tcPr>
          <w:p>
            <w:pPr>
              <w:spacing w:after="80"/>
            </w:pPr>
            <w:r>
              <w:rPr>
                <w:sz w:val="18"/>
              </w:rPr>
              <w:t>R15 — Dashboard ouverte/pourvue/terminée</w:t>
            </w:r>
          </w:p>
        </w:tc>
        <w:tc>
          <w:tcPr>
            <w:tcW w:type="dxa" w:w="3402"/>
          </w:tcPr>
          <w:p>
            <w:pPr>
              <w:spacing w:after="80"/>
            </w:pPr>
            <w:r>
              <w:rPr>
                <w:sz w:val="18"/>
              </w:rPr>
              <w:t>Implémenté, scénarios testés</w:t>
            </w:r>
          </w:p>
        </w:tc>
        <w:tc>
          <w:tcPr>
            <w:tcW w:type="dxa" w:w="3402"/>
          </w:tcPr>
          <w:p>
            <w:pPr>
              <w:spacing w:after="80"/>
            </w:pPr>
            <w:r>
              <w:rPr>
                <w:sz w:val="18"/>
              </w:rPr>
              <w:t>Dashboards et listes avec OPEN/FILLED/COMPLETED ; transitions reliées.</w:t>
              <w:br/>
              <w:t>Reste : Rejouer le parcours sur l’environnement livré.</w:t>
            </w:r>
          </w:p>
        </w:tc>
      </w:tr>
      <w:tr>
        <w:tc>
          <w:tcPr>
            <w:tcW w:type="dxa" w:w="3402"/>
          </w:tcPr>
          <w:p>
            <w:pPr>
              <w:spacing w:after="80"/>
            </w:pPr>
            <w:r>
              <w:rPr>
                <w:sz w:val="18"/>
              </w:rPr>
              <w:t>R16 — Consommer une source publique</w:t>
            </w:r>
          </w:p>
        </w:tc>
        <w:tc>
          <w:tcPr>
            <w:tcW w:type="dxa" w:w="3402"/>
          </w:tcPr>
          <w:p>
            <w:pPr>
              <w:spacing w:after="80"/>
            </w:pPr>
            <w:r>
              <w:rPr>
                <w:sz w:val="18"/>
              </w:rPr>
              <w:t>Implémenté ; preuve réelle antérieure</w:t>
            </w:r>
          </w:p>
        </w:tc>
        <w:tc>
          <w:tcPr>
            <w:tcW w:type="dxa" w:w="3402"/>
          </w:tcPr>
          <w:p>
            <w:pPr>
              <w:spacing w:after="80"/>
            </w:pPr>
            <w:r>
              <w:rPr>
                <w:sz w:val="18"/>
              </w:rPr>
              <w:t>Acquisition France Travail/FINESS ; preuves locales datées.</w:t>
              <w:br/>
              <w:t>Reste : Accès et disponibilité fournisseur à revalider pour la démonstration finale.</w:t>
            </w:r>
          </w:p>
        </w:tc>
      </w:tr>
      <w:tr>
        <w:tc>
          <w:tcPr>
            <w:tcW w:type="dxa" w:w="3402"/>
          </w:tcPr>
          <w:p>
            <w:pPr>
              <w:spacing w:after="80"/>
            </w:pPr>
            <w:r>
              <w:rPr>
                <w:sz w:val="18"/>
              </w:rPr>
              <w:t>R17 — Nettoyer et reformater</w:t>
            </w:r>
          </w:p>
        </w:tc>
        <w:tc>
          <w:tcPr>
            <w:tcW w:type="dxa" w:w="3402"/>
          </w:tcPr>
          <w:p>
            <w:pPr>
              <w:spacing w:after="80"/>
            </w:pPr>
            <w:r>
              <w:rPr>
                <w:sz w:val="18"/>
              </w:rPr>
              <w:t>Implémenté, scénarios testés</w:t>
            </w:r>
          </w:p>
        </w:tc>
        <w:tc>
          <w:tcPr>
            <w:tcW w:type="dxa" w:w="3402"/>
          </w:tcPr>
          <w:p>
            <w:pPr>
              <w:spacing w:after="80"/>
            </w:pPr>
            <w:r>
              <w:rPr>
                <w:sz w:val="18"/>
              </w:rPr>
              <w:t>Normalisation, provenance, dédoublonnage et upsert source/source_id.</w:t>
              <w:br/>
              <w:t>Reste : Retrait systématique des offres disparues du fournisseur manquant.</w:t>
            </w:r>
          </w:p>
        </w:tc>
      </w:tr>
      <w:tr>
        <w:tc>
          <w:tcPr>
            <w:tcW w:type="dxa" w:w="3402"/>
          </w:tcPr>
          <w:p>
            <w:pPr>
              <w:spacing w:after="80"/>
            </w:pPr>
            <w:r>
              <w:rPr>
                <w:sz w:val="18"/>
              </w:rPr>
              <w:t>R18 — Usage visible des données</w:t>
            </w:r>
          </w:p>
        </w:tc>
        <w:tc>
          <w:tcPr>
            <w:tcW w:type="dxa" w:w="3402"/>
          </w:tcPr>
          <w:p>
            <w:pPr>
              <w:spacing w:after="80"/>
            </w:pPr>
            <w:r>
              <w:rPr>
                <w:sz w:val="18"/>
              </w:rPr>
              <w:t>Usage visible partiel</w:t>
            </w:r>
          </w:p>
        </w:tc>
        <w:tc>
          <w:tcPr>
            <w:tcW w:type="dxa" w:w="3402"/>
          </w:tcPr>
          <w:p>
            <w:pPr>
              <w:spacing w:after="80"/>
            </w:pPr>
            <w:r>
              <w:rPr>
                <w:sz w:val="18"/>
              </w:rPr>
              <w:t>Offres externes consultables, source, redirection et favoris.</w:t>
              <w:br/>
              <w:t>Reste : Correspondance personnelle détaillée et incertitudes non affichées.</w:t>
            </w:r>
          </w:p>
        </w:tc>
      </w:tr>
      <w:tr>
        <w:tc>
          <w:tcPr>
            <w:tcW w:type="dxa" w:w="3402"/>
          </w:tcPr>
          <w:p>
            <w:pPr>
              <w:spacing w:after="80"/>
            </w:pPr>
            <w:r>
              <w:rPr>
                <w:sz w:val="18"/>
              </w:rPr>
              <w:t>R19 — Au moins deux automatisations</w:t>
            </w:r>
          </w:p>
        </w:tc>
        <w:tc>
          <w:tcPr>
            <w:tcW w:type="dxa" w:w="3402"/>
          </w:tcPr>
          <w:p>
            <w:pPr>
              <w:spacing w:after="80"/>
            </w:pPr>
            <w:r>
              <w:rPr>
                <w:sz w:val="18"/>
              </w:rPr>
              <w:t>Implémenté localement ; preuve antérieure</w:t>
            </w:r>
          </w:p>
        </w:tc>
        <w:tc>
          <w:tcPr>
            <w:tcW w:type="dxa" w:w="3402"/>
          </w:tcPr>
          <w:p>
            <w:pPr>
              <w:spacing w:after="80"/>
            </w:pPr>
            <w:r>
              <w:rPr>
                <w:sz w:val="18"/>
              </w:rPr>
              <w:t>Trois workflows n8n : match, relance, confirmation PDF.</w:t>
              <w:br/>
              <w:t>Reste : Sujet : minimum deux workflows ; n8n Cloud non obligatoire. Revalider sur l’environnement livré.</w:t>
            </w:r>
          </w:p>
        </w:tc>
      </w:tr>
      <w:tr>
        <w:tc>
          <w:tcPr>
            <w:tcW w:type="dxa" w:w="3402"/>
          </w:tcPr>
          <w:p>
            <w:pPr>
              <w:spacing w:after="80"/>
            </w:pPr>
            <w:r>
              <w:rPr>
                <w:sz w:val="18"/>
              </w:rPr>
              <w:t>R20 — Bases RGAA et savoir les citer</w:t>
            </w:r>
          </w:p>
        </w:tc>
        <w:tc>
          <w:tcPr>
            <w:tcW w:type="dxa" w:w="3402"/>
          </w:tcPr>
          <w:p>
            <w:pPr>
              <w:spacing w:after="80"/>
            </w:pPr>
            <w:r>
              <w:rPr>
                <w:sz w:val="18"/>
              </w:rPr>
              <w:t>Partiel</w:t>
            </w:r>
          </w:p>
        </w:tc>
        <w:tc>
          <w:tcPr>
            <w:tcW w:type="dxa" w:w="3402"/>
          </w:tcPr>
          <w:p>
            <w:pPr>
              <w:spacing w:after="80"/>
            </w:pPr>
            <w:r>
              <w:rPr>
                <w:sz w:val="18"/>
              </w:rPr>
              <w:t>Labels, structure, focus, contrôles navigateur ; catalogue au clavier.</w:t>
              <w:br/>
              <w:t>Reste : Audit global actuel des contrastes, lecteurs d’écran et états restant. RGAA total non exigé pour ce POC.</w:t>
            </w:r>
          </w:p>
        </w:tc>
      </w:tr>
      <w:tr>
        <w:tc>
          <w:tcPr>
            <w:tcW w:type="dxa" w:w="3402"/>
          </w:tcPr>
          <w:p>
            <w:pPr>
              <w:spacing w:after="80"/>
            </w:pPr>
            <w:r>
              <w:rPr>
                <w:sz w:val="18"/>
              </w:rPr>
              <w:t>R21 — Deux pratiques RGESN documentées</w:t>
            </w:r>
          </w:p>
        </w:tc>
        <w:tc>
          <w:tcPr>
            <w:tcW w:type="dxa" w:w="3402"/>
          </w:tcPr>
          <w:p>
            <w:pPr>
              <w:spacing w:after="80"/>
            </w:pPr>
            <w:r>
              <w:rPr>
                <w:sz w:val="18"/>
              </w:rPr>
              <w:t>Partiel documentaire</w:t>
            </w:r>
          </w:p>
        </w:tc>
        <w:tc>
          <w:tcPr>
            <w:tcW w:type="dxa" w:w="3402"/>
          </w:tcPr>
          <w:p>
            <w:pPr>
              <w:spacing w:after="80"/>
            </w:pPr>
            <w:r>
              <w:rPr>
                <w:sz w:val="18"/>
              </w:rPr>
              <w:t>Sprite d’icônes et chargement différé dans certaines vues.</w:t>
              <w:br/>
              <w:t>Reste : Anciennes affirmations SVG&lt;2Ko et aucun appel réseau périmées ; documenter deux pratiques actuelles.</w:t>
            </w:r>
          </w:p>
        </w:tc>
      </w:tr>
      <w:tr>
        <w:tc>
          <w:tcPr>
            <w:tcW w:type="dxa" w:w="3402"/>
          </w:tcPr>
          <w:p>
            <w:pPr>
              <w:spacing w:after="80"/>
            </w:pPr>
            <w:r>
              <w:rPr>
                <w:sz w:val="18"/>
              </w:rPr>
              <w:t>R22 — RGPD : base, conservation, mentions</w:t>
            </w:r>
          </w:p>
        </w:tc>
        <w:tc>
          <w:tcPr>
            <w:tcW w:type="dxa" w:w="3402"/>
          </w:tcPr>
          <w:p>
            <w:pPr>
              <w:spacing w:after="80"/>
            </w:pPr>
            <w:r>
              <w:rPr>
                <w:sz w:val="18"/>
              </w:rPr>
              <w:t>Partiel — affichage incohérent</w:t>
            </w:r>
          </w:p>
        </w:tc>
        <w:tc>
          <w:tcPr>
            <w:tcW w:type="dxa" w:w="3402"/>
          </w:tcPr>
          <w:p>
            <w:pPr>
              <w:spacing w:after="80"/>
            </w:pPr>
            <w:r>
              <w:rPr>
                <w:sz w:val="18"/>
              </w:rPr>
              <w:t>CGU datées, mentions, documents privés et rétention Mongo.</w:t>
              <w:br/>
              <w:t>Reste : Mentions promettant purge, clôture et droits depuis l’espace sans parcours complet ; aligner engagements et code. Pas de validation juridique ici.</w:t>
            </w:r>
          </w:p>
        </w:tc>
      </w:tr>
      <w:tr>
        <w:tc>
          <w:tcPr>
            <w:tcW w:type="dxa" w:w="3402"/>
          </w:tcPr>
          <w:p>
            <w:pPr>
              <w:spacing w:after="80"/>
            </w:pPr>
            <w:r>
              <w:rPr>
                <w:sz w:val="18"/>
              </w:rPr>
              <w:t>R23 — Grandes règles de l’intérim</w:t>
            </w:r>
          </w:p>
        </w:tc>
        <w:tc>
          <w:tcPr>
            <w:tcW w:type="dxa" w:w="3402"/>
          </w:tcPr>
          <w:p>
            <w:pPr>
              <w:spacing w:after="80"/>
            </w:pPr>
            <w:r>
              <w:rPr>
                <w:sz w:val="18"/>
              </w:rPr>
              <w:t>Non démontré intégralement</w:t>
            </w:r>
          </w:p>
        </w:tc>
        <w:tc>
          <w:tcPr>
            <w:tcW w:type="dxa" w:w="3402"/>
          </w:tcPr>
          <w:p>
            <w:pPr>
              <w:spacing w:after="80"/>
            </w:pPr>
            <w:r>
              <w:rPr>
                <w:sz w:val="18"/>
              </w:rPr>
              <w:t>Dates, qualification, RPPS, expérience requise et confirmation fictive.</w:t>
              <w:br/>
              <w:t>Reste : Ces contrôles ne prouvent pas toutes les règles de l’intérim du secteur ; affirmation des mentions non justifiée par le code.</w:t>
            </w:r>
          </w:p>
        </w:tc>
      </w:tr>
      <w:tr>
        <w:tc>
          <w:tcPr>
            <w:tcW w:type="dxa" w:w="3402"/>
          </w:tcPr>
          <w:p>
            <w:pPr>
              <w:spacing w:after="80"/>
            </w:pPr>
            <w:r>
              <w:rPr>
                <w:sz w:val="18"/>
              </w:rPr>
              <w:t>R24 — Achat responsable/réemploi si pertinent</w:t>
            </w:r>
          </w:p>
        </w:tc>
        <w:tc>
          <w:tcPr>
            <w:tcW w:type="dxa" w:w="3402"/>
          </w:tcPr>
          <w:p>
            <w:pPr>
              <w:spacing w:after="80"/>
            </w:pPr>
            <w:r>
              <w:rPr>
                <w:sz w:val="18"/>
              </w:rPr>
              <w:t>À documenter si pertinent</w:t>
            </w:r>
          </w:p>
        </w:tc>
        <w:tc>
          <w:tcPr>
            <w:tcW w:type="dxa" w:w="3402"/>
          </w:tcPr>
          <w:p>
            <w:pPr>
              <w:spacing w:after="80"/>
            </w:pPr>
            <w:r>
              <w:rPr>
                <w:sz w:val="18"/>
              </w:rPr>
              <w:t>Aucun dispositif dédié établi par cet audit.</w:t>
              <w:br/>
              <w:t>Reste : Justifier un axe responsable adapté ou expliquer son absence.</w:t>
            </w:r>
          </w:p>
        </w:tc>
      </w:tr>
      <w:tr>
        <w:tc>
          <w:tcPr>
            <w:tcW w:type="dxa" w:w="3402"/>
          </w:tcPr>
          <w:p>
            <w:pPr>
              <w:spacing w:after="80"/>
            </w:pPr>
            <w:r>
              <w:rPr>
                <w:sz w:val="18"/>
              </w:rPr>
              <w:t>R25 — SEO public : meta, titres, URLs, sitemap</w:t>
            </w:r>
          </w:p>
        </w:tc>
        <w:tc>
          <w:tcPr>
            <w:tcW w:type="dxa" w:w="3402"/>
          </w:tcPr>
          <w:p>
            <w:pPr>
              <w:spacing w:after="80"/>
            </w:pPr>
            <w:r>
              <w:rPr>
                <w:sz w:val="18"/>
              </w:rPr>
              <w:t>Partiel</w:t>
            </w:r>
          </w:p>
        </w:tc>
        <w:tc>
          <w:tcPr>
            <w:tcW w:type="dxa" w:w="3402"/>
          </w:tcPr>
          <w:p>
            <w:pPr>
              <w:spacing w:after="80"/>
            </w:pPr>
            <w:r>
              <w:rPr>
                <w:sz w:val="18"/>
              </w:rPr>
              <w:t>Titres, descriptions, URLs, robots et sitemap présents.</w:t>
              <w:br/>
              <w:t>Reste : Domaine de livraison non vérifié ; /missions protégé dans le sitemap ; pas de fiche publique indexable confirmée.</w:t>
            </w:r>
          </w:p>
        </w:tc>
      </w:tr>
      <w:tr>
        <w:tc>
          <w:tcPr>
            <w:tcW w:type="dxa" w:w="3402"/>
          </w:tcPr>
          <w:p>
            <w:pPr>
              <w:spacing w:after="80"/>
            </w:pPr>
            <w:r>
              <w:rPr>
                <w:sz w:val="18"/>
              </w:rPr>
              <w:t>R26 — Frontend JS en TypeScript</w:t>
            </w:r>
          </w:p>
        </w:tc>
        <w:tc>
          <w:tcPr>
            <w:tcW w:type="dxa" w:w="3402"/>
          </w:tcPr>
          <w:p>
            <w:pPr>
              <w:spacing w:after="80"/>
            </w:pPr>
            <w:r>
              <w:rPr>
                <w:sz w:val="18"/>
              </w:rPr>
              <w:t>Implémenté, compilé</w:t>
            </w:r>
          </w:p>
        </w:tc>
        <w:tc>
          <w:tcPr>
            <w:tcW w:type="dxa" w:w="3402"/>
          </w:tcPr>
          <w:p>
            <w:pPr>
              <w:spacing w:after="80"/>
            </w:pPr>
            <w:r>
              <w:rPr>
                <w:sz w:val="18"/>
              </w:rPr>
              <w:t>React/TypeScript ; build réussi pendant cet audit.</w:t>
              <w:br/>
              <w:t>Reste : Aucun manque de framework constaté.</w:t>
            </w:r>
          </w:p>
        </w:tc>
      </w:tr>
      <w:tr>
        <w:tc>
          <w:tcPr>
            <w:tcW w:type="dxa" w:w="3402"/>
          </w:tcPr>
          <w:p>
            <w:pPr>
              <w:spacing w:after="80"/>
            </w:pPr>
            <w:r>
              <w:rPr>
                <w:sz w:val="18"/>
              </w:rPr>
              <w:t>R27 — Mobile/tablette/desktop</w:t>
            </w:r>
          </w:p>
        </w:tc>
        <w:tc>
          <w:tcPr>
            <w:tcW w:type="dxa" w:w="3402"/>
          </w:tcPr>
          <w:p>
            <w:pPr>
              <w:spacing w:after="80"/>
            </w:pPr>
            <w:r>
              <w:rPr>
                <w:sz w:val="18"/>
              </w:rPr>
              <w:t>Partiel, scénarios vérifiés</w:t>
            </w:r>
          </w:p>
        </w:tc>
        <w:tc>
          <w:tcPr>
            <w:tcW w:type="dxa" w:w="3402"/>
          </w:tcPr>
          <w:p>
            <w:pPr>
              <w:spacing w:after="80"/>
            </w:pPr>
            <w:r>
              <w:rPr>
                <w:sz w:val="18"/>
              </w:rPr>
              <w:t>Contrôles/captures 375/768/1440px ; galerie responsive.</w:t>
              <w:br/>
              <w:t>Reste : Deux listes missions établissement/agence débordent sur mobile : 400 px pour 375 px.</w:t>
            </w:r>
          </w:p>
        </w:tc>
      </w:tr>
      <w:tr>
        <w:tc>
          <w:tcPr>
            <w:tcW w:type="dxa" w:w="3402"/>
          </w:tcPr>
          <w:p>
            <w:pPr>
              <w:spacing w:after="80"/>
            </w:pPr>
            <w:r>
              <w:rPr>
                <w:sz w:val="18"/>
              </w:rPr>
              <w:t>R28 — Backend Node en TypeScript</w:t>
            </w:r>
          </w:p>
        </w:tc>
        <w:tc>
          <w:tcPr>
            <w:tcW w:type="dxa" w:w="3402"/>
          </w:tcPr>
          <w:p>
            <w:pPr>
              <w:spacing w:after="80"/>
            </w:pPr>
            <w:r>
              <w:rPr>
                <w:sz w:val="18"/>
              </w:rPr>
              <w:t>Implémenté, compilé</w:t>
            </w:r>
          </w:p>
        </w:tc>
        <w:tc>
          <w:tcPr>
            <w:tcW w:type="dxa" w:w="3402"/>
          </w:tcPr>
          <w:p>
            <w:pPr>
              <w:spacing w:after="80"/>
            </w:pPr>
            <w:r>
              <w:rPr>
                <w:sz w:val="18"/>
              </w:rPr>
              <w:t>NestJS/Node/TypeScript ; build backend réussi.</w:t>
              <w:br/>
              <w:t>Reste : Aucun manque de framework constaté.</w:t>
            </w:r>
          </w:p>
        </w:tc>
      </w:tr>
      <w:tr>
        <w:tc>
          <w:tcPr>
            <w:tcW w:type="dxa" w:w="3402"/>
          </w:tcPr>
          <w:p>
            <w:pPr>
              <w:spacing w:after="80"/>
            </w:pPr>
            <w:r>
              <w:rPr>
                <w:sz w:val="18"/>
              </w:rPr>
              <w:t>R29 — Base relationnelle</w:t>
            </w:r>
          </w:p>
        </w:tc>
        <w:tc>
          <w:tcPr>
            <w:tcW w:type="dxa" w:w="3402"/>
          </w:tcPr>
          <w:p>
            <w:pPr>
              <w:spacing w:after="80"/>
            </w:pPr>
            <w:r>
              <w:rPr>
                <w:sz w:val="18"/>
              </w:rPr>
              <w:t>Implémenté</w:t>
            </w:r>
          </w:p>
        </w:tc>
        <w:tc>
          <w:tcPr>
            <w:tcW w:type="dxa" w:w="3402"/>
          </w:tcPr>
          <w:p>
            <w:pPr>
              <w:spacing w:after="80"/>
            </w:pPr>
            <w:r>
              <w:rPr>
                <w:sz w:val="18"/>
              </w:rPr>
              <w:t>PostgreSQL/PostGIS : comptes, organisations, missions, candidatures, affectations, sessions.</w:t>
              <w:br/>
              <w:t>Reste : Privilèges minimaux et déploiement final à valider.</w:t>
            </w:r>
          </w:p>
        </w:tc>
      </w:tr>
      <w:tr>
        <w:tc>
          <w:tcPr>
            <w:tcW w:type="dxa" w:w="3402"/>
          </w:tcPr>
          <w:p>
            <w:pPr>
              <w:spacing w:after="80"/>
            </w:pPr>
            <w:r>
              <w:rPr>
                <w:sz w:val="18"/>
              </w:rPr>
              <w:t>R30 — Base non relationnelle complémentaire</w:t>
            </w:r>
          </w:p>
        </w:tc>
        <w:tc>
          <w:tcPr>
            <w:tcW w:type="dxa" w:w="3402"/>
          </w:tcPr>
          <w:p>
            <w:pPr>
              <w:spacing w:after="80"/>
            </w:pPr>
            <w:r>
              <w:rPr>
                <w:sz w:val="18"/>
              </w:rPr>
              <w:t>Implémenté, usage métier</w:t>
            </w:r>
          </w:p>
        </w:tc>
        <w:tc>
          <w:tcPr>
            <w:tcW w:type="dxa" w:w="3402"/>
          </w:tcPr>
          <w:p>
            <w:pPr>
              <w:spacing w:after="80"/>
            </w:pPr>
            <w:r>
              <w:rPr>
                <w:sz w:val="18"/>
              </w:rPr>
              <w:t>MongoDB : explications versionnées du matching, index de rétention.</w:t>
              <w:br/>
              <w:t>Reste : Des données vides après nettoyage ne signifient pas une absence de code.</w:t>
            </w:r>
          </w:p>
        </w:tc>
      </w:tr>
      <w:tr>
        <w:tc>
          <w:tcPr>
            <w:tcW w:type="dxa" w:w="3402"/>
          </w:tcPr>
          <w:p>
            <w:pPr>
              <w:spacing w:after="80"/>
            </w:pPr>
            <w:r>
              <w:rPr>
                <w:sz w:val="18"/>
              </w:rPr>
              <w:t>R31 — Tests unitaires et fonctionnels critiques</w:t>
            </w:r>
          </w:p>
        </w:tc>
        <w:tc>
          <w:tcPr>
            <w:tcW w:type="dxa" w:w="3402"/>
          </w:tcPr>
          <w:p>
            <w:pPr>
              <w:spacing w:after="80"/>
            </w:pPr>
            <w:r>
              <w:rPr>
                <w:sz w:val="18"/>
              </w:rPr>
              <w:t>Implémenté ; recette finale restante</w:t>
            </w:r>
          </w:p>
        </w:tc>
        <w:tc>
          <w:tcPr>
            <w:tcW w:type="dxa" w:w="3402"/>
          </w:tcPr>
          <w:p>
            <w:pPr>
              <w:spacing w:after="80"/>
            </w:pPr>
            <w:r>
              <w:rPr>
                <w:sz w:val="18"/>
              </w:rPr>
              <w:t>65 tests backend et 9 client relancés  ; 18 scénarios navigateur antérieurs.</w:t>
              <w:br/>
              <w:t>Reste : Pas de relance des intégrations avec écritures après nettoyage ; prévoir environnement isolé.</w:t>
            </w:r>
          </w:p>
        </w:tc>
      </w:tr>
      <w:tr>
        <w:tc>
          <w:tcPr>
            <w:tcW w:type="dxa" w:w="3402"/>
          </w:tcPr>
          <w:p>
            <w:pPr>
              <w:spacing w:after="80"/>
            </w:pPr>
            <w:r>
              <w:rPr>
                <w:sz w:val="18"/>
              </w:rPr>
              <w:t>R32 — Coverage générée et livrée</w:t>
            </w:r>
          </w:p>
        </w:tc>
        <w:tc>
          <w:tcPr>
            <w:tcW w:type="dxa" w:w="3402"/>
          </w:tcPr>
          <w:p>
            <w:pPr>
              <w:spacing w:after="80"/>
            </w:pPr>
            <w:r>
              <w:rPr>
                <w:sz w:val="18"/>
              </w:rPr>
              <w:t>Partiel — rapport à actualiser</w:t>
            </w:r>
          </w:p>
        </w:tc>
        <w:tc>
          <w:tcPr>
            <w:tcW w:type="dxa" w:w="3402"/>
          </w:tcPr>
          <w:p>
            <w:pPr>
              <w:spacing w:after="80"/>
            </w:pPr>
            <w:r>
              <w:rPr>
                <w:sz w:val="18"/>
              </w:rPr>
              <w:t>Coverage historique :79,38 % lignes,84,33 % branches,15/09 à 01:29 Paris.</w:t>
              <w:br/>
              <w:t>Reste : Ne pas attribuer ces taux au code actuel ; regénérer la couverture de livraison.</w:t>
            </w:r>
          </w:p>
        </w:tc>
      </w:tr>
      <w:tr>
        <w:tc>
          <w:tcPr>
            <w:tcW w:type="dxa" w:w="3402"/>
          </w:tcPr>
          <w:p>
            <w:pPr>
              <w:spacing w:after="80"/>
            </w:pPr>
            <w:r>
              <w:rPr>
                <w:sz w:val="18"/>
              </w:rPr>
              <w:t>R33 — Bibliothèque CLI utilisée</w:t>
            </w:r>
          </w:p>
        </w:tc>
        <w:tc>
          <w:tcPr>
            <w:tcW w:type="dxa" w:w="3402"/>
          </w:tcPr>
          <w:p>
            <w:pPr>
              <w:spacing w:after="80"/>
            </w:pPr>
            <w:r>
              <w:rPr>
                <w:sz w:val="18"/>
              </w:rPr>
              <w:t>Implémenté</w:t>
            </w:r>
          </w:p>
        </w:tc>
        <w:tc>
          <w:tcPr>
            <w:tcW w:type="dxa" w:w="3402"/>
          </w:tcPr>
          <w:p>
            <w:pPr>
              <w:spacing w:after="80"/>
            </w:pPr>
            <w:r>
              <w:rPr>
                <w:sz w:val="18"/>
              </w:rPr>
              <w:t>Commander : migrations, imports, rattachements, seed, reprise outbox et documents.</w:t>
              <w:br/>
              <w:t>Reste : Commandes d’écriture non rejouées ici.</w:t>
            </w:r>
          </w:p>
        </w:tc>
      </w:tr>
      <w:tr>
        <w:tc>
          <w:tcPr>
            <w:tcW w:type="dxa" w:w="3402"/>
          </w:tcPr>
          <w:p>
            <w:pPr>
              <w:spacing w:after="80"/>
            </w:pPr>
            <w:r>
              <w:rPr>
                <w:sz w:val="18"/>
              </w:rPr>
              <w:t>R34 — Auth classique comprise/implémentée</w:t>
            </w:r>
          </w:p>
        </w:tc>
        <w:tc>
          <w:tcPr>
            <w:tcW w:type="dxa" w:w="3402"/>
          </w:tcPr>
          <w:p>
            <w:pPr>
              <w:spacing w:after="80"/>
            </w:pPr>
            <w:r>
              <w:rPr>
                <w:sz w:val="18"/>
              </w:rPr>
              <w:t>Implémenté/testé ; compréhension à démontrer</w:t>
            </w:r>
          </w:p>
        </w:tc>
        <w:tc>
          <w:tcPr>
            <w:tcW w:type="dxa" w:w="3402"/>
          </w:tcPr>
          <w:p>
            <w:pPr>
              <w:spacing w:after="80"/>
            </w:pPr>
            <w:r>
              <w:rPr>
                <w:sz w:val="18"/>
              </w:rPr>
              <w:t>Email/mot de passe/hash/sessions codés dans auth.module.ts.</w:t>
              <w:br/>
              <w:t>Reste : L’équipe doit pouvoir expliquer le code ; pas de validation automatique de compréhension.</w:t>
            </w:r>
          </w:p>
        </w:tc>
      </w:tr>
      <w:tr>
        <w:tc>
          <w:tcPr>
            <w:tcW w:type="dxa" w:w="3402"/>
          </w:tcPr>
          <w:p>
            <w:pPr>
              <w:spacing w:after="80"/>
            </w:pPr>
            <w:r>
              <w:rPr>
                <w:sz w:val="18"/>
              </w:rPr>
              <w:t>R35 — OAuth tiers via bibliothèque si proposé</w:t>
            </w:r>
          </w:p>
        </w:tc>
        <w:tc>
          <w:tcPr>
            <w:tcW w:type="dxa" w:w="3402"/>
          </w:tcPr>
          <w:p>
            <w:pPr>
              <w:spacing w:after="80"/>
            </w:pPr>
            <w:r>
              <w:rPr>
                <w:sz w:val="18"/>
              </w:rPr>
              <w:t>Implémenté ; validation utilisateur restante</w:t>
            </w:r>
          </w:p>
        </w:tc>
        <w:tc>
          <w:tcPr>
            <w:tcW w:type="dxa" w:w="3402"/>
          </w:tcPr>
          <w:p>
            <w:pPr>
              <w:spacing w:after="80"/>
            </w:pPr>
            <w:r>
              <w:rPr>
                <w:sz w:val="18"/>
              </w:rPr>
              <w:t>Google Identity Services et google-auth-library ; signature/audience/nonce et liaison protégée.</w:t>
              <w:br/>
              <w:t>Reste : Google facultatif dans le sujet ; connexion complète propriétaire non confirmée ; compte local préalable requis.</w:t>
            </w:r>
          </w:p>
        </w:tc>
      </w:tr>
      <w:tr>
        <w:tc>
          <w:tcPr>
            <w:tcW w:type="dxa" w:w="3402"/>
          </w:tcPr>
          <w:p>
            <w:pPr>
              <w:spacing w:after="80"/>
            </w:pPr>
            <w:r>
              <w:rPr>
                <w:sz w:val="18"/>
              </w:rPr>
              <w:t>R36 — Dépôt front/back organisé et README</w:t>
            </w:r>
          </w:p>
        </w:tc>
        <w:tc>
          <w:tcPr>
            <w:tcW w:type="dxa" w:w="3402"/>
          </w:tcPr>
          <w:p>
            <w:pPr>
              <w:spacing w:after="80"/>
            </w:pPr>
            <w:r>
              <w:rPr>
                <w:sz w:val="18"/>
              </w:rPr>
              <w:t>Partiel documentaire</w:t>
            </w:r>
          </w:p>
        </w:tc>
        <w:tc>
          <w:tcPr>
            <w:tcW w:type="dxa" w:w="3402"/>
          </w:tcPr>
          <w:p>
            <w:pPr>
              <w:spacing w:after="80"/>
            </w:pPr>
            <w:r>
              <w:rPr>
                <w:sz w:val="18"/>
              </w:rPr>
              <w:t>Dépôts organisés, README et scripts ; nettoyage effectué.</w:t>
              <w:br/>
              <w:t>Reste : États documentaires historiques périmés ; installation propre et livraison finale à vérifier.</w:t>
            </w:r>
          </w:p>
        </w:tc>
      </w:tr>
      <w:tr>
        <w:tc>
          <w:tcPr>
            <w:tcW w:type="dxa" w:w="3402"/>
          </w:tcPr>
          <w:p>
            <w:pPr>
              <w:spacing w:after="80"/>
            </w:pPr>
            <w:r>
              <w:rPr>
                <w:sz w:val="18"/>
              </w:rPr>
              <w:t>R37 — Exports nocode, données/script et étude</w:t>
            </w:r>
          </w:p>
        </w:tc>
        <w:tc>
          <w:tcPr>
            <w:tcW w:type="dxa" w:w="3402"/>
          </w:tcPr>
          <w:p>
            <w:pPr>
              <w:spacing w:after="80"/>
            </w:pPr>
            <w:r>
              <w:rPr>
                <w:sz w:val="18"/>
              </w:rPr>
              <w:t>Livrables présents ; complétude à valider</w:t>
            </w:r>
          </w:p>
        </w:tc>
        <w:tc>
          <w:tcPr>
            <w:tcW w:type="dxa" w:w="3402"/>
          </w:tcPr>
          <w:p>
            <w:pPr>
              <w:spacing w:after="80"/>
            </w:pPr>
            <w:r>
              <w:rPr>
                <w:sz w:val="18"/>
              </w:rPr>
              <w:t>Trois exports n8n, scripts de données et documents d’étude.</w:t>
              <w:br/>
              <w:t>Reste : Assembler les versions finales et preuves cohérentes.</w:t>
            </w:r>
          </w:p>
        </w:tc>
      </w:tr>
      <w:tr>
        <w:tc>
          <w:tcPr>
            <w:tcW w:type="dxa" w:w="3402"/>
          </w:tcPr>
          <w:p>
            <w:pPr>
              <w:spacing w:after="80"/>
            </w:pPr>
            <w:r>
              <w:rPr>
                <w:sz w:val="18"/>
              </w:rPr>
              <w:t>R38 — Temps réels/écarts et support de pitch</w:t>
            </w:r>
          </w:p>
        </w:tc>
        <w:tc>
          <w:tcPr>
            <w:tcW w:type="dxa" w:w="3402"/>
          </w:tcPr>
          <w:p>
            <w:pPr>
              <w:spacing w:after="80"/>
            </w:pPr>
            <w:r>
              <w:rPr>
                <w:sz w:val="18"/>
              </w:rPr>
              <w:t>Partiel / manquant</w:t>
            </w:r>
          </w:p>
        </w:tc>
        <w:tc>
          <w:tcPr>
            <w:tcW w:type="dxa" w:w="3402"/>
          </w:tcPr>
          <w:p>
            <w:pPr>
              <w:spacing w:after="80"/>
            </w:pPr>
            <w:r>
              <w:rPr>
                <w:sz w:val="18"/>
              </w:rPr>
              <w:t>Estimations présentes ; TEMPS_REELS.csv : une mesure de temps agent seulement.</w:t>
              <w:br/>
              <w:t>Reste : Temps humains/écarts et support de pitch final non établis.</w:t>
            </w:r>
          </w:p>
        </w:tc>
      </w:tr>
      <w:tr>
        <w:tc>
          <w:tcPr>
            <w:tcW w:type="dxa" w:w="3402"/>
          </w:tcPr>
          <w:p>
            <w:pPr>
              <w:spacing w:after="80"/>
            </w:pPr>
            <w:r>
              <w:rPr>
                <w:sz w:val="18"/>
              </w:rPr>
              <w:t>R39 — Storytelling, live et participation de tous</w:t>
            </w:r>
          </w:p>
        </w:tc>
        <w:tc>
          <w:tcPr>
            <w:tcW w:type="dxa" w:w="3402"/>
          </w:tcPr>
          <w:p>
            <w:pPr>
              <w:spacing w:after="80"/>
            </w:pPr>
            <w:r>
              <w:rPr>
                <w:sz w:val="18"/>
              </w:rPr>
              <w:t>Hors preuve technique</w:t>
            </w:r>
          </w:p>
        </w:tc>
        <w:tc>
          <w:tcPr>
            <w:tcW w:type="dxa" w:w="3402"/>
          </w:tcPr>
          <w:p>
            <w:pPr>
              <w:spacing w:after="80"/>
            </w:pPr>
            <w:r>
              <w:rPr>
                <w:sz w:val="18"/>
              </w:rPr>
              <w:t>Parcours de démo et catalogue disponibles.</w:t>
              <w:br/>
              <w:t>Reste : Répétition, storytelling et participation de chaque membre à démontrer.</w:t>
            </w:r>
          </w:p>
        </w:tc>
      </w:tr>
      <w:tr>
        <w:tc>
          <w:tcPr>
            <w:tcW w:type="dxa" w:w="3402"/>
          </w:tcPr>
          <w:p>
            <w:pPr>
              <w:spacing w:after="80"/>
            </w:pPr>
            <w:r>
              <w:rPr>
                <w:sz w:val="18"/>
              </w:rPr>
              <w:t>R40 — Adaptation aux questions du jury</w:t>
            </w:r>
          </w:p>
        </w:tc>
        <w:tc>
          <w:tcPr>
            <w:tcW w:type="dxa" w:w="3402"/>
          </w:tcPr>
          <w:p>
            <w:pPr>
              <w:spacing w:after="80"/>
            </w:pPr>
            <w:r>
              <w:rPr>
                <w:sz w:val="18"/>
              </w:rPr>
              <w:t>Hors preuve technique</w:t>
            </w:r>
          </w:p>
        </w:tc>
        <w:tc>
          <w:tcPr>
            <w:tcW w:type="dxa" w:w="3402"/>
          </w:tcPr>
          <w:p>
            <w:pPr>
              <w:spacing w:after="80"/>
            </w:pPr>
            <w:r>
              <w:rPr>
                <w:sz w:val="18"/>
              </w:rPr>
              <w:t>Documentation/tests pour appuyer les réponses.</w:t>
              <w:br/>
              <w:t>Reste : Capacité à répondre au jury à vérifier en répétition et soutenance.</w:t>
            </w:r>
          </w:p>
        </w:tc>
      </w:tr>
    </w:tbl>
    <w:p/>
    <w:p>
      <w:pPr>
        <w:pStyle w:val="Heading1"/>
      </w:pPr>
      <w:r>
        <w:t>6. Contrôles sécurité V1</w:t>
      </w:r>
    </w:p>
    <w:tbl>
      <w:tblPr>
        <w:tblStyle w:val="LightShading-Accent1"/>
        <w:tblW w:type="auto" w:w="0"/>
        <w:tblLook w:firstColumn="1" w:firstRow="1" w:lastColumn="0" w:lastRow="0" w:noHBand="0" w:noVBand="1" w:val="04A0"/>
      </w:tblPr>
      <w:tblGrid>
        <w:gridCol w:w="3402"/>
        <w:gridCol w:w="3402"/>
        <w:gridCol w:w="3402"/>
      </w:tblGrid>
      <w:tr>
        <w:trPr>
          <w:tblHeader/>
        </w:trPr>
        <w:tc>
          <w:tcPr>
            <w:tcW w:type="dxa" w:w="3402"/>
          </w:tcPr>
          <w:p>
            <w:r>
              <w:t>ID</w:t>
            </w:r>
          </w:p>
        </w:tc>
        <w:tc>
          <w:tcPr>
            <w:tcW w:type="dxa" w:w="3402"/>
          </w:tcPr>
          <w:p>
            <w:r>
              <w:t>État</w:t>
            </w:r>
          </w:p>
        </w:tc>
        <w:tc>
          <w:tcPr>
            <w:tcW w:type="dxa" w:w="3402"/>
          </w:tcPr>
          <w:p>
            <w:r>
              <w:t>Preuve / limite</w:t>
            </w:r>
          </w:p>
        </w:tc>
      </w:tr>
      <w:tr>
        <w:tc>
          <w:tcPr>
            <w:tcW w:type="dxa" w:w="3402"/>
          </w:tcPr>
          <w:p>
            <w:pPr>
              <w:spacing w:after="80"/>
            </w:pPr>
            <w:r>
              <w:rPr>
                <w:sz w:val="18"/>
              </w:rPr>
              <w:t>SEC01</w:t>
            </w:r>
          </w:p>
        </w:tc>
        <w:tc>
          <w:tcPr>
            <w:tcW w:type="dxa" w:w="3402"/>
          </w:tcPr>
          <w:p>
            <w:pPr>
              <w:spacing w:after="80"/>
            </w:pPr>
            <w:r>
              <w:rPr>
                <w:sz w:val="18"/>
              </w:rPr>
              <w:t>Preuve antérieure</w:t>
            </w:r>
          </w:p>
        </w:tc>
        <w:tc>
          <w:tcPr>
            <w:tcW w:type="dxa" w:w="3402"/>
          </w:tcPr>
          <w:p>
            <w:pPr>
              <w:spacing w:after="80"/>
            </w:pPr>
            <w:r>
              <w:rPr>
                <w:sz w:val="18"/>
              </w:rPr>
              <w:t>Renouvellement de session à la connexion ; auth.module.ts et journey.spec.ts.</w:t>
            </w:r>
          </w:p>
        </w:tc>
      </w:tr>
      <w:tr>
        <w:tc>
          <w:tcPr>
            <w:tcW w:type="dxa" w:w="3402"/>
          </w:tcPr>
          <w:p>
            <w:pPr>
              <w:spacing w:after="80"/>
            </w:pPr>
            <w:r>
              <w:rPr>
                <w:sz w:val="18"/>
              </w:rPr>
              <w:t>SEC02</w:t>
            </w:r>
          </w:p>
        </w:tc>
        <w:tc>
          <w:tcPr>
            <w:tcW w:type="dxa" w:w="3402"/>
          </w:tcPr>
          <w:p>
            <w:pPr>
              <w:spacing w:after="80"/>
            </w:pPr>
            <w:r>
              <w:rPr>
                <w:sz w:val="18"/>
              </w:rPr>
              <w:t>Preuve antérieure</w:t>
            </w:r>
          </w:p>
        </w:tc>
        <w:tc>
          <w:tcPr>
            <w:tcW w:type="dxa" w:w="3402"/>
          </w:tcPr>
          <w:p>
            <w:pPr>
              <w:spacing w:after="80"/>
            </w:pPr>
            <w:r>
              <w:rPr>
                <w:sz w:val="18"/>
              </w:rPr>
              <w:t>Destruction de session/déconnexion/expiration ; recette HTTP historique.</w:t>
            </w:r>
          </w:p>
        </w:tc>
      </w:tr>
      <w:tr>
        <w:tc>
          <w:tcPr>
            <w:tcW w:type="dxa" w:w="3402"/>
          </w:tcPr>
          <w:p>
            <w:pPr>
              <w:spacing w:after="80"/>
            </w:pPr>
            <w:r>
              <w:rPr>
                <w:sz w:val="18"/>
              </w:rPr>
              <w:t>SEC03</w:t>
            </w:r>
          </w:p>
        </w:tc>
        <w:tc>
          <w:tcPr>
            <w:tcW w:type="dxa" w:w="3402"/>
          </w:tcPr>
          <w:p>
            <w:pPr>
              <w:spacing w:after="80"/>
            </w:pPr>
            <w:r>
              <w:rPr>
                <w:sz w:val="18"/>
              </w:rPr>
              <w:t>Implémenté, test actuel</w:t>
            </w:r>
          </w:p>
        </w:tc>
        <w:tc>
          <w:tcPr>
            <w:tcW w:type="dxa" w:w="3402"/>
          </w:tcPr>
          <w:p>
            <w:pPr>
              <w:spacing w:after="80"/>
            </w:pPr>
            <w:r>
              <w:rPr>
                <w:sz w:val="18"/>
              </w:rPr>
              <w:t>auth-rate-limit.ts : 50 écritures/15min ; test du refus suivant ; lectures exclues.</w:t>
            </w:r>
          </w:p>
        </w:tc>
      </w:tr>
      <w:tr>
        <w:tc>
          <w:tcPr>
            <w:tcW w:type="dxa" w:w="3402"/>
          </w:tcPr>
          <w:p>
            <w:pPr>
              <w:spacing w:after="80"/>
            </w:pPr>
            <w:r>
              <w:rPr>
                <w:sz w:val="18"/>
              </w:rPr>
              <w:t>SEC04</w:t>
            </w:r>
          </w:p>
        </w:tc>
        <w:tc>
          <w:tcPr>
            <w:tcW w:type="dxa" w:w="3402"/>
          </w:tcPr>
          <w:p>
            <w:pPr>
              <w:spacing w:after="80"/>
            </w:pPr>
            <w:r>
              <w:rPr>
                <w:sz w:val="18"/>
              </w:rPr>
              <w:t>Implémenté, preuve antérieure</w:t>
            </w:r>
          </w:p>
        </w:tc>
        <w:tc>
          <w:tcPr>
            <w:tcW w:type="dxa" w:w="3402"/>
          </w:tcPr>
          <w:p>
            <w:pPr>
              <w:spacing w:after="80"/>
            </w:pPr>
            <w:r>
              <w:rPr>
                <w:sz w:val="18"/>
              </w:rPr>
              <w:t>Origin/CSRF app.ts ; tests HTTP historiques non rejoués en écriture ici.</w:t>
            </w:r>
          </w:p>
        </w:tc>
      </w:tr>
      <w:tr>
        <w:tc>
          <w:tcPr>
            <w:tcW w:type="dxa" w:w="3402"/>
          </w:tcPr>
          <w:p>
            <w:pPr>
              <w:spacing w:after="80"/>
            </w:pPr>
            <w:r>
              <w:rPr>
                <w:sz w:val="18"/>
              </w:rPr>
              <w:t>SEC05</w:t>
            </w:r>
          </w:p>
        </w:tc>
        <w:tc>
          <w:tcPr>
            <w:tcW w:type="dxa" w:w="3402"/>
          </w:tcPr>
          <w:p>
            <w:pPr>
              <w:spacing w:after="80"/>
            </w:pPr>
            <w:r>
              <w:rPr>
                <w:sz w:val="18"/>
              </w:rPr>
              <w:t>Implémenté, preuve antérieure</w:t>
            </w:r>
          </w:p>
        </w:tc>
        <w:tc>
          <w:tcPr>
            <w:tcW w:type="dxa" w:w="3402"/>
          </w:tcPr>
          <w:p>
            <w:pPr>
              <w:spacing w:after="80"/>
            </w:pPr>
            <w:r>
              <w:rPr>
                <w:sz w:val="18"/>
              </w:rPr>
              <w:t>Téléchargement limité au titulaire/participants autorisés ; recette navigateur.</w:t>
            </w:r>
          </w:p>
        </w:tc>
      </w:tr>
      <w:tr>
        <w:tc>
          <w:tcPr>
            <w:tcW w:type="dxa" w:w="3402"/>
          </w:tcPr>
          <w:p>
            <w:pPr>
              <w:spacing w:after="80"/>
            </w:pPr>
            <w:r>
              <w:rPr>
                <w:sz w:val="18"/>
              </w:rPr>
              <w:t>SEC06</w:t>
            </w:r>
          </w:p>
        </w:tc>
        <w:tc>
          <w:tcPr>
            <w:tcW w:type="dxa" w:w="3402"/>
          </w:tcPr>
          <w:p>
            <w:pPr>
              <w:spacing w:after="80"/>
            </w:pPr>
            <w:r>
              <w:rPr>
                <w:sz w:val="18"/>
              </w:rPr>
              <w:t>Implémenté, preuve antérieure</w:t>
            </w:r>
          </w:p>
        </w:tc>
        <w:tc>
          <w:tcPr>
            <w:tcW w:type="dxa" w:w="3402"/>
          </w:tcPr>
          <w:p>
            <w:pPr>
              <w:spacing w:after="80"/>
            </w:pPr>
            <w:r>
              <w:rPr>
                <w:sz w:val="18"/>
              </w:rPr>
              <w:t>membership/agency_link/scope ; isolation missions/besoins testée.</w:t>
            </w:r>
          </w:p>
        </w:tc>
      </w:tr>
      <w:tr>
        <w:tc>
          <w:tcPr>
            <w:tcW w:type="dxa" w:w="3402"/>
          </w:tcPr>
          <w:p>
            <w:pPr>
              <w:spacing w:after="80"/>
            </w:pPr>
            <w:r>
              <w:rPr>
                <w:sz w:val="18"/>
              </w:rPr>
              <w:t>SEC07</w:t>
            </w:r>
          </w:p>
        </w:tc>
        <w:tc>
          <w:tcPr>
            <w:tcW w:type="dxa" w:w="3402"/>
          </w:tcPr>
          <w:p>
            <w:pPr>
              <w:spacing w:after="80"/>
            </w:pPr>
            <w:r>
              <w:rPr>
                <w:sz w:val="18"/>
              </w:rPr>
              <w:t>Implémenté, preuve antérieure</w:t>
            </w:r>
          </w:p>
        </w:tc>
        <w:tc>
          <w:tcPr>
            <w:tcW w:type="dxa" w:w="3402"/>
          </w:tcPr>
          <w:p>
            <w:pPr>
              <w:spacing w:after="80"/>
            </w:pPr>
            <w:r>
              <w:rPr>
                <w:sz w:val="18"/>
              </w:rPr>
              <w:t>DTO stricts et droits serveur ; tests injection de champs de privilège.</w:t>
            </w:r>
          </w:p>
        </w:tc>
      </w:tr>
      <w:tr>
        <w:tc>
          <w:tcPr>
            <w:tcW w:type="dxa" w:w="3402"/>
          </w:tcPr>
          <w:p>
            <w:pPr>
              <w:spacing w:after="80"/>
            </w:pPr>
            <w:r>
              <w:rPr>
                <w:sz w:val="18"/>
              </w:rPr>
              <w:t>SEC08</w:t>
            </w:r>
          </w:p>
        </w:tc>
        <w:tc>
          <w:tcPr>
            <w:tcW w:type="dxa" w:w="3402"/>
          </w:tcPr>
          <w:p>
            <w:pPr>
              <w:spacing w:after="80"/>
            </w:pPr>
            <w:r>
              <w:rPr>
                <w:sz w:val="18"/>
              </w:rPr>
              <w:t>Partiel</w:t>
            </w:r>
          </w:p>
        </w:tc>
        <w:tc>
          <w:tcPr>
            <w:tcW w:type="dxa" w:w="3402"/>
          </w:tcPr>
          <w:p>
            <w:pPr>
              <w:spacing w:after="80"/>
            </w:pPr>
            <w:r>
              <w:rPr>
                <w:sz w:val="18"/>
              </w:rPr>
              <w:t>React échappe les contenus ; pas de campagne XSS exhaustive actuelle.</w:t>
            </w:r>
          </w:p>
        </w:tc>
      </w:tr>
      <w:tr>
        <w:tc>
          <w:tcPr>
            <w:tcW w:type="dxa" w:w="3402"/>
          </w:tcPr>
          <w:p>
            <w:pPr>
              <w:spacing w:after="80"/>
            </w:pPr>
            <w:r>
              <w:rPr>
                <w:sz w:val="18"/>
              </w:rPr>
              <w:t>SEC09</w:t>
            </w:r>
          </w:p>
        </w:tc>
        <w:tc>
          <w:tcPr>
            <w:tcW w:type="dxa" w:w="3402"/>
          </w:tcPr>
          <w:p>
            <w:pPr>
              <w:spacing w:after="80"/>
            </w:pPr>
            <w:r>
              <w:rPr>
                <w:sz w:val="18"/>
              </w:rPr>
              <w:t>Partiel</w:t>
            </w:r>
          </w:p>
        </w:tc>
        <w:tc>
          <w:tcPr>
            <w:tcW w:type="dxa" w:w="3402"/>
          </w:tcPr>
          <w:p>
            <w:pPr>
              <w:spacing w:after="80"/>
            </w:pPr>
            <w:r>
              <w:rPr>
                <w:sz w:val="18"/>
              </w:rPr>
              <w:t>Requêtes paramétrées, DTO, UUID ; tous les filtres malformés non testés.</w:t>
            </w:r>
          </w:p>
        </w:tc>
      </w:tr>
      <w:tr>
        <w:tc>
          <w:tcPr>
            <w:tcW w:type="dxa" w:w="3402"/>
          </w:tcPr>
          <w:p>
            <w:pPr>
              <w:spacing w:after="80"/>
            </w:pPr>
            <w:r>
              <w:rPr>
                <w:sz w:val="18"/>
              </w:rPr>
              <w:t>SEC10</w:t>
            </w:r>
          </w:p>
        </w:tc>
        <w:tc>
          <w:tcPr>
            <w:tcW w:type="dxa" w:w="3402"/>
          </w:tcPr>
          <w:p>
            <w:pPr>
              <w:spacing w:after="80"/>
            </w:pPr>
            <w:r>
              <w:rPr>
                <w:sz w:val="18"/>
              </w:rPr>
              <w:t>Implémenté, validation partielle</w:t>
            </w:r>
          </w:p>
        </w:tc>
        <w:tc>
          <w:tcPr>
            <w:tcW w:type="dxa" w:w="3402"/>
          </w:tcPr>
          <w:p>
            <w:pPr>
              <w:spacing w:after="80"/>
            </w:pPr>
            <w:r>
              <w:rPr>
                <w:sz w:val="18"/>
              </w:rPr>
              <w:t>Taille/signature MIME ; test HTML refusé comme PDF ; purge globale incomplète.</w:t>
            </w:r>
          </w:p>
        </w:tc>
      </w:tr>
      <w:tr>
        <w:tc>
          <w:tcPr>
            <w:tcW w:type="dxa" w:w="3402"/>
          </w:tcPr>
          <w:p>
            <w:pPr>
              <w:spacing w:after="80"/>
            </w:pPr>
            <w:r>
              <w:rPr>
                <w:sz w:val="18"/>
              </w:rPr>
              <w:t>SEC11</w:t>
            </w:r>
          </w:p>
        </w:tc>
        <w:tc>
          <w:tcPr>
            <w:tcW w:type="dxa" w:w="3402"/>
          </w:tcPr>
          <w:p>
            <w:pPr>
              <w:spacing w:after="80"/>
            </w:pPr>
            <w:r>
              <w:rPr>
                <w:sz w:val="18"/>
              </w:rPr>
              <w:t>Test actuel réussi</w:t>
            </w:r>
          </w:p>
        </w:tc>
        <w:tc>
          <w:tcPr>
            <w:tcW w:type="dxa" w:w="3402"/>
          </w:tcPr>
          <w:p>
            <w:pPr>
              <w:spacing w:after="80"/>
            </w:pPr>
            <w:r>
              <w:rPr>
                <w:sz w:val="18"/>
              </w:rPr>
              <w:t>Chiffrement authentifié : altération et échange de documents refusés.</w:t>
            </w:r>
          </w:p>
        </w:tc>
      </w:tr>
      <w:tr>
        <w:tc>
          <w:tcPr>
            <w:tcW w:type="dxa" w:w="3402"/>
          </w:tcPr>
          <w:p>
            <w:pPr>
              <w:spacing w:after="80"/>
            </w:pPr>
            <w:r>
              <w:rPr>
                <w:sz w:val="18"/>
              </w:rPr>
              <w:t>SEC12</w:t>
            </w:r>
          </w:p>
        </w:tc>
        <w:tc>
          <w:tcPr>
            <w:tcW w:type="dxa" w:w="3402"/>
          </w:tcPr>
          <w:p>
            <w:pPr>
              <w:spacing w:after="80"/>
            </w:pPr>
            <w:r>
              <w:rPr>
                <w:sz w:val="18"/>
              </w:rPr>
              <w:t>Preuve antérieure</w:t>
            </w:r>
          </w:p>
        </w:tc>
        <w:tc>
          <w:tcPr>
            <w:tcW w:type="dxa" w:w="3402"/>
          </w:tcPr>
          <w:p>
            <w:pPr>
              <w:spacing w:after="80"/>
            </w:pPr>
            <w:r>
              <w:rPr>
                <w:sz w:val="18"/>
              </w:rPr>
              <w:t>Versionnement clés et scénario rotation ; exercice global non refait.</w:t>
            </w:r>
          </w:p>
        </w:tc>
      </w:tr>
      <w:tr>
        <w:tc>
          <w:tcPr>
            <w:tcW w:type="dxa" w:w="3402"/>
          </w:tcPr>
          <w:p>
            <w:pPr>
              <w:spacing w:after="80"/>
            </w:pPr>
            <w:r>
              <w:rPr>
                <w:sz w:val="18"/>
              </w:rPr>
              <w:t>SEC13</w:t>
            </w:r>
          </w:p>
        </w:tc>
        <w:tc>
          <w:tcPr>
            <w:tcW w:type="dxa" w:w="3402"/>
          </w:tcPr>
          <w:p>
            <w:pPr>
              <w:spacing w:after="80"/>
            </w:pPr>
            <w:r>
              <w:rPr>
                <w:sz w:val="18"/>
              </w:rPr>
              <w:t>Preuves antérieures</w:t>
            </w:r>
          </w:p>
        </w:tc>
        <w:tc>
          <w:tcPr>
            <w:tcW w:type="dxa" w:w="3402"/>
          </w:tcPr>
          <w:p>
            <w:pPr>
              <w:spacing w:after="80"/>
            </w:pPr>
            <w:r>
              <w:rPr>
                <w:sz w:val="18"/>
              </w:rPr>
              <w:t>Transaction affectation, exclusion SQL, idempotence et concurrence testées.</w:t>
            </w:r>
          </w:p>
        </w:tc>
      </w:tr>
      <w:tr>
        <w:tc>
          <w:tcPr>
            <w:tcW w:type="dxa" w:w="3402"/>
          </w:tcPr>
          <w:p>
            <w:pPr>
              <w:spacing w:after="80"/>
            </w:pPr>
            <w:r>
              <w:rPr>
                <w:sz w:val="18"/>
              </w:rPr>
              <w:t>SEC14</w:t>
            </w:r>
          </w:p>
        </w:tc>
        <w:tc>
          <w:tcPr>
            <w:tcW w:type="dxa" w:w="3402"/>
          </w:tcPr>
          <w:p>
            <w:pPr>
              <w:spacing w:after="80"/>
            </w:pPr>
            <w:r>
              <w:rPr>
                <w:sz w:val="18"/>
              </w:rPr>
              <w:t>Implémenté, limites</w:t>
            </w:r>
          </w:p>
        </w:tc>
        <w:tc>
          <w:tcPr>
            <w:tcW w:type="dxa" w:w="3402"/>
          </w:tcPr>
          <w:p>
            <w:pPr>
              <w:spacing w:after="80"/>
            </w:pPr>
            <w:r>
              <w:rPr>
                <w:sz w:val="18"/>
              </w:rPr>
              <w:t>Jeton commun aux trois routes automation ; pas de séparation de scopes par workflow.</w:t>
            </w:r>
          </w:p>
        </w:tc>
      </w:tr>
      <w:tr>
        <w:tc>
          <w:tcPr>
            <w:tcW w:type="dxa" w:w="3402"/>
          </w:tcPr>
          <w:p>
            <w:pPr>
              <w:spacing w:after="80"/>
            </w:pPr>
            <w:r>
              <w:rPr>
                <w:sz w:val="18"/>
              </w:rPr>
              <w:t>SEC15</w:t>
            </w:r>
          </w:p>
        </w:tc>
        <w:tc>
          <w:tcPr>
            <w:tcW w:type="dxa" w:w="3402"/>
          </w:tcPr>
          <w:p>
            <w:pPr>
              <w:spacing w:after="80"/>
            </w:pPr>
            <w:r>
              <w:rPr>
                <w:sz w:val="18"/>
              </w:rPr>
              <w:t>Preuves locales, audit final restant</w:t>
            </w:r>
          </w:p>
        </w:tc>
        <w:tc>
          <w:tcPr>
            <w:tcW w:type="dxa" w:w="3402"/>
          </w:tcPr>
          <w:p>
            <w:pPr>
              <w:spacing w:after="80"/>
            </w:pPr>
            <w:r>
              <w:rPr>
                <w:sz w:val="18"/>
              </w:rPr>
              <w:t>Exports et variables/Vault runtime ; aucune valeur secrète lue ici.</w:t>
            </w:r>
          </w:p>
        </w:tc>
      </w:tr>
      <w:tr>
        <w:tc>
          <w:tcPr>
            <w:tcW w:type="dxa" w:w="3402"/>
          </w:tcPr>
          <w:p>
            <w:pPr>
              <w:spacing w:after="80"/>
            </w:pPr>
            <w:r>
              <w:rPr>
                <w:sz w:val="18"/>
              </w:rPr>
              <w:t>SEC16</w:t>
            </w:r>
          </w:p>
        </w:tc>
        <w:tc>
          <w:tcPr>
            <w:tcW w:type="dxa" w:w="3402"/>
          </w:tcPr>
          <w:p>
            <w:pPr>
              <w:spacing w:after="80"/>
            </w:pPr>
            <w:r>
              <w:rPr>
                <w:sz w:val="18"/>
              </w:rPr>
              <w:t>Non démontré intégralement</w:t>
            </w:r>
          </w:p>
        </w:tc>
        <w:tc>
          <w:tcPr>
            <w:tcW w:type="dxa" w:w="3402"/>
          </w:tcPr>
          <w:p>
            <w:pPr>
              <w:spacing w:after="80"/>
            </w:pPr>
            <w:r>
              <w:rPr>
                <w:sz w:val="18"/>
              </w:rPr>
              <w:t>Restaurations code/SQL historiques ; restauration SQL+Mongo+fichiers+clés+n8n non prouvée.</w:t>
            </w:r>
          </w:p>
        </w:tc>
      </w:tr>
      <w:tr>
        <w:tc>
          <w:tcPr>
            <w:tcW w:type="dxa" w:w="3402"/>
          </w:tcPr>
          <w:p>
            <w:pPr>
              <w:spacing w:after="80"/>
            </w:pPr>
            <w:r>
              <w:rPr>
                <w:sz w:val="18"/>
              </w:rPr>
              <w:t>SEC17</w:t>
            </w:r>
          </w:p>
        </w:tc>
        <w:tc>
          <w:tcPr>
            <w:tcW w:type="dxa" w:w="3402"/>
          </w:tcPr>
          <w:p>
            <w:pPr>
              <w:spacing w:after="80"/>
            </w:pPr>
            <w:r>
              <w:rPr>
                <w:sz w:val="18"/>
              </w:rPr>
              <w:t>Non démontré intégralement</w:t>
            </w:r>
          </w:p>
        </w:tc>
        <w:tc>
          <w:tcPr>
            <w:tcW w:type="dxa" w:w="3402"/>
          </w:tcPr>
          <w:p>
            <w:pPr>
              <w:spacing w:after="80"/>
            </w:pPr>
            <w:r>
              <w:rPr>
                <w:sz w:val="18"/>
              </w:rPr>
              <w:t>Logs/audit/reprises présents ; exercice incident bout en bout non établi.</w:t>
            </w:r>
          </w:p>
        </w:tc>
      </w:tr>
      <w:tr>
        <w:tc>
          <w:tcPr>
            <w:tcW w:type="dxa" w:w="3402"/>
          </w:tcPr>
          <w:p>
            <w:pPr>
              <w:spacing w:after="80"/>
            </w:pPr>
            <w:r>
              <w:rPr>
                <w:sz w:val="18"/>
              </w:rPr>
              <w:t>SEC18</w:t>
            </w:r>
          </w:p>
        </w:tc>
        <w:tc>
          <w:tcPr>
            <w:tcW w:type="dxa" w:w="3402"/>
          </w:tcPr>
          <w:p>
            <w:pPr>
              <w:spacing w:after="80"/>
            </w:pPr>
            <w:r>
              <w:rPr>
                <w:sz w:val="18"/>
              </w:rPr>
              <w:t>Implémenté, preuve antérieure</w:t>
            </w:r>
          </w:p>
        </w:tc>
        <w:tc>
          <w:tcPr>
            <w:tcW w:type="dxa" w:w="3402"/>
          </w:tcPr>
          <w:p>
            <w:pPr>
              <w:spacing w:after="80"/>
            </w:pPr>
            <w:r>
              <w:rPr>
                <w:sz w:val="18"/>
              </w:rPr>
              <w:t>Cache-Control no-store privé et déconnexion ; limites des pages déjà affichées à documenter.</w:t>
            </w:r>
          </w:p>
        </w:tc>
      </w:tr>
    </w:tbl>
    <w:p/>
    <w:p>
      <w:pPr>
        <w:pStyle w:val="Heading1"/>
      </w:pPr>
      <w:r>
        <w:t>7. Distinctions importantes</w:t>
      </w:r>
    </w:p>
    <w:tbl>
      <w:tblPr>
        <w:tblStyle w:val="LightShading-Accent1"/>
        <w:tblW w:type="auto" w:w="0"/>
        <w:tblLook w:firstColumn="1" w:firstRow="1" w:lastColumn="0" w:lastRow="0" w:noHBand="0" w:noVBand="1" w:val="04A0"/>
      </w:tblPr>
      <w:tblGrid>
        <w:gridCol w:w="5103"/>
        <w:gridCol w:w="5103"/>
      </w:tblGrid>
      <w:tr>
        <w:trPr>
          <w:tblHeader/>
        </w:trPr>
        <w:tc>
          <w:tcPr>
            <w:tcW w:type="dxa" w:w="5103"/>
          </w:tcPr>
          <w:p>
            <w:r>
              <w:t>Confusion</w:t>
            </w:r>
          </w:p>
        </w:tc>
        <w:tc>
          <w:tcPr>
            <w:tcW w:type="dxa" w:w="5103"/>
          </w:tcPr>
          <w:p>
            <w:r>
              <w:t>Réalité</w:t>
            </w:r>
          </w:p>
        </w:tc>
      </w:tr>
      <w:tr>
        <w:tc>
          <w:tcPr>
            <w:tcW w:type="dxa" w:w="5103"/>
          </w:tcPr>
          <w:p>
            <w:pPr>
              <w:spacing w:after="80"/>
            </w:pPr>
            <w:r>
              <w:rPr>
                <w:sz w:val="18"/>
              </w:rPr>
              <w:t>Deux comptes = deux interfaces seulement</w:t>
            </w:r>
          </w:p>
        </w:tc>
        <w:tc>
          <w:tcPr>
            <w:tcW w:type="dxa" w:w="5103"/>
          </w:tcPr>
          <w:p>
            <w:pPr>
              <w:spacing w:after="80"/>
            </w:pPr>
            <w:r>
              <w:rPr>
                <w:sz w:val="18"/>
              </w:rPr>
              <w:t>Deux familles, dont entreprise divisée en agence et établissement avec droits différents.</w:t>
            </w:r>
          </w:p>
        </w:tc>
      </w:tr>
      <w:tr>
        <w:tc>
          <w:tcPr>
            <w:tcW w:type="dxa" w:w="5103"/>
          </w:tcPr>
          <w:p>
            <w:pPr>
              <w:spacing w:after="80"/>
            </w:pPr>
            <w:r>
              <w:rPr>
                <w:sz w:val="18"/>
              </w:rPr>
              <w:t>Qualification = rôle</w:t>
            </w:r>
          </w:p>
        </w:tc>
        <w:tc>
          <w:tcPr>
            <w:tcW w:type="dxa" w:w="5103"/>
          </w:tcPr>
          <w:p>
            <w:pPr>
              <w:spacing w:after="80"/>
            </w:pPr>
            <w:r>
              <w:rPr>
                <w:sz w:val="18"/>
              </w:rPr>
              <w:t>IDE/IADE/IBODE ne donnent pas de privilèges d’administration.</w:t>
            </w:r>
          </w:p>
        </w:tc>
      </w:tr>
      <w:tr>
        <w:tc>
          <w:tcPr>
            <w:tcW w:type="dxa" w:w="5103"/>
          </w:tcPr>
          <w:p>
            <w:pPr>
              <w:spacing w:after="80"/>
            </w:pPr>
            <w:r>
              <w:rPr>
                <w:sz w:val="18"/>
              </w:rPr>
              <w:t>Inscription = RPPS vérifié</w:t>
            </w:r>
          </w:p>
        </w:tc>
        <w:tc>
          <w:tcPr>
            <w:tcW w:type="dxa" w:w="5103"/>
          </w:tcPr>
          <w:p>
            <w:pPr>
              <w:spacing w:after="80"/>
            </w:pPr>
            <w:r>
              <w:rPr>
                <w:sz w:val="18"/>
              </w:rPr>
              <w:t>Le dossier déclenche un contrôle distinct ; profil déclaré et RPPS retrouvé sont deux choses différentes.</w:t>
            </w:r>
          </w:p>
        </w:tc>
      </w:tr>
      <w:tr>
        <w:tc>
          <w:tcPr>
            <w:tcW w:type="dxa" w:w="5103"/>
          </w:tcPr>
          <w:p>
            <w:pPr>
              <w:spacing w:after="80"/>
            </w:pPr>
            <w:r>
              <w:rPr>
                <w:sz w:val="18"/>
              </w:rPr>
              <w:t>RPPS trouvé = identité/diplôme vérifiés</w:t>
            </w:r>
          </w:p>
        </w:tc>
        <w:tc>
          <w:tcPr>
            <w:tcW w:type="dxa" w:w="5103"/>
          </w:tcPr>
          <w:p>
            <w:pPr>
              <w:spacing w:after="80"/>
            </w:pPr>
            <w:r>
              <w:rPr>
                <w:sz w:val="18"/>
              </w:rPr>
              <w:t>Le numéro retrouvé ne prouve pas le titulaire du compte ni toutes ses déclarations.</w:t>
            </w:r>
          </w:p>
        </w:tc>
      </w:tr>
      <w:tr>
        <w:tc>
          <w:tcPr>
            <w:tcW w:type="dxa" w:w="5103"/>
          </w:tcPr>
          <w:p>
            <w:pPr>
              <w:spacing w:after="80"/>
            </w:pPr>
            <w:r>
              <w:rPr>
                <w:sz w:val="18"/>
              </w:rPr>
              <w:t>Matching = affectation automatique</w:t>
            </w:r>
          </w:p>
        </w:tc>
        <w:tc>
          <w:tcPr>
            <w:tcW w:type="dxa" w:w="5103"/>
          </w:tcPr>
          <w:p>
            <w:pPr>
              <w:spacing w:after="80"/>
            </w:pPr>
            <w:r>
              <w:rPr>
                <w:sz w:val="18"/>
              </w:rPr>
              <w:t>Le score aide ; l’affectation reste une décision humaine autorisée.</w:t>
            </w:r>
          </w:p>
        </w:tc>
      </w:tr>
      <w:tr>
        <w:tc>
          <w:tcPr>
            <w:tcW w:type="dxa" w:w="5103"/>
          </w:tcPr>
          <w:p>
            <w:pPr>
              <w:spacing w:after="80"/>
            </w:pPr>
            <w:r>
              <w:rPr>
                <w:sz w:val="18"/>
              </w:rPr>
              <w:t>Annonce externe = mission interne</w:t>
            </w:r>
          </w:p>
        </w:tc>
        <w:tc>
          <w:tcPr>
            <w:tcW w:type="dxa" w:w="5103"/>
          </w:tcPr>
          <w:p>
            <w:pPr>
              <w:spacing w:after="80"/>
            </w:pPr>
            <w:r>
              <w:rPr>
                <w:sz w:val="18"/>
              </w:rPr>
              <w:t>Candidature par redirection ; pas de score complet d’admissibilité ni suivi externe de son issue.</w:t>
            </w:r>
          </w:p>
        </w:tc>
      </w:tr>
      <w:tr>
        <w:tc>
          <w:tcPr>
            <w:tcW w:type="dxa" w:w="5103"/>
          </w:tcPr>
          <w:p>
            <w:pPr>
              <w:spacing w:after="80"/>
            </w:pPr>
            <w:r>
              <w:rPr>
                <w:sz w:val="18"/>
              </w:rPr>
              <w:t>PDF = contrat signé</w:t>
            </w:r>
          </w:p>
        </w:tc>
        <w:tc>
          <w:tcPr>
            <w:tcW w:type="dxa" w:w="5103"/>
          </w:tcPr>
          <w:p>
            <w:pPr>
              <w:spacing w:after="80"/>
            </w:pPr>
            <w:r>
              <w:rPr>
                <w:sz w:val="18"/>
              </w:rPr>
              <w:t>Confirmation fictive ; signature et contrat complet non implémentés.</w:t>
            </w:r>
          </w:p>
        </w:tc>
      </w:tr>
      <w:tr>
        <w:tc>
          <w:tcPr>
            <w:tcW w:type="dxa" w:w="5103"/>
          </w:tcPr>
          <w:p>
            <w:pPr>
              <w:spacing w:after="80"/>
            </w:pPr>
            <w:r>
              <w:rPr>
                <w:sz w:val="18"/>
              </w:rPr>
              <w:t>Vault HTTPS = tout chiffré en transit</w:t>
            </w:r>
          </w:p>
        </w:tc>
        <w:tc>
          <w:tcPr>
            <w:tcW w:type="dxa" w:w="5103"/>
          </w:tcPr>
          <w:p>
            <w:pPr>
              <w:spacing w:after="80"/>
            </w:pPr>
            <w:r>
              <w:rPr>
                <w:sz w:val="18"/>
              </w:rPr>
              <w:t>Vault ne sécurise pas automatiquement les flux navigateur/API/bases.</w:t>
            </w:r>
          </w:p>
        </w:tc>
      </w:tr>
      <w:tr>
        <w:tc>
          <w:tcPr>
            <w:tcW w:type="dxa" w:w="5103"/>
          </w:tcPr>
          <w:p>
            <w:pPr>
              <w:spacing w:after="80"/>
            </w:pPr>
            <w:r>
              <w:rPr>
                <w:sz w:val="18"/>
              </w:rPr>
              <w:t>Catalogue = démo connectée</w:t>
            </w:r>
          </w:p>
        </w:tc>
        <w:tc>
          <w:tcPr>
            <w:tcW w:type="dxa" w:w="5103"/>
          </w:tcPr>
          <w:p>
            <w:pPr>
              <w:spacing w:after="80"/>
            </w:pPr>
            <w:r>
              <w:rPr>
                <w:sz w:val="18"/>
              </w:rPr>
              <w:t>49 vues issues des composants réels avec API interceptée et données fictives ; pas d’opérations dans la base.</w:t>
            </w:r>
          </w:p>
        </w:tc>
      </w:tr>
      <w:tr>
        <w:tc>
          <w:tcPr>
            <w:tcW w:type="dxa" w:w="5103"/>
          </w:tcPr>
          <w:p>
            <w:pPr>
              <w:spacing w:after="80"/>
            </w:pPr>
            <w:r>
              <w:rPr>
                <w:sz w:val="18"/>
              </w:rPr>
              <w:t>Tests réussis = 100 % terminé</w:t>
            </w:r>
          </w:p>
        </w:tc>
        <w:tc>
          <w:tcPr>
            <w:tcW w:type="dxa" w:w="5103"/>
          </w:tcPr>
          <w:p>
            <w:pPr>
              <w:spacing w:after="80"/>
            </w:pPr>
            <w:r>
              <w:rPr>
                <w:sz w:val="18"/>
              </w:rPr>
              <w:t>Tests de scénarios précis, sans preuve globale des parcours, conformité ou livraison.</w:t>
            </w:r>
          </w:p>
        </w:tc>
      </w:tr>
    </w:tbl>
    <w:p/>
    <w:p>
      <w:pPr>
        <w:pStyle w:val="Heading1"/>
      </w:pPr>
      <w:r>
        <w:t>8. Inventaire des 62 opérations HTTP</w:t>
      </w:r>
    </w:p>
    <w:p>
      <w:r>
        <w:t>Préfixe /api/v1. Swagger /api/docs et /api/docs-json sont des outils documentaires, exclus de ce total. Une route présente ne prouve pas tous ses contrôles. Le CSV indique les paramètres des contrôleurs.</w:t>
      </w:r>
    </w:p>
    <w:tbl>
      <w:tblPr>
        <w:tblStyle w:val="LightShading-Accent1"/>
        <w:tblW w:type="auto" w:w="0"/>
        <w:tblLook w:firstColumn="1" w:firstRow="1" w:lastColumn="0" w:lastRow="0" w:noHBand="0" w:noVBand="1" w:val="04A0"/>
      </w:tblPr>
      <w:tblGrid>
        <w:gridCol w:w="5103"/>
        <w:gridCol w:w="5103"/>
      </w:tblGrid>
      <w:tr>
        <w:trPr>
          <w:tblHeader/>
        </w:trPr>
        <w:tc>
          <w:tcPr>
            <w:tcW w:type="dxa" w:w="5103"/>
          </w:tcPr>
          <w:p>
            <w:r>
              <w:t>Méthode / route</w:t>
            </w:r>
          </w:p>
        </w:tc>
        <w:tc>
          <w:tcPr>
            <w:tcW w:type="dxa" w:w="5103"/>
          </w:tcPr>
          <w:p>
            <w:r>
              <w:t>Source</w:t>
            </w:r>
          </w:p>
        </w:tc>
      </w:tr>
      <w:tr>
        <w:tc>
          <w:tcPr>
            <w:tcW w:type="dxa" w:w="5103"/>
          </w:tcPr>
          <w:p>
            <w:pPr>
              <w:spacing w:after="80"/>
            </w:pPr>
            <w:r>
              <w:rPr>
                <w:sz w:val="18"/>
              </w:rPr>
              <w:t>GET /api/v1/health</w:t>
            </w:r>
          </w:p>
        </w:tc>
        <w:tc>
          <w:tcPr>
            <w:tcW w:type="dxa" w:w="5103"/>
          </w:tcPr>
          <w:p>
            <w:pPr>
              <w:spacing w:after="80"/>
            </w:pPr>
            <w:r>
              <w:rPr>
                <w:sz w:val="18"/>
              </w:rPr>
              <w:t>backend/src/app.ts:39</w:t>
            </w:r>
          </w:p>
        </w:tc>
      </w:tr>
      <w:tr>
        <w:tc>
          <w:tcPr>
            <w:tcW w:type="dxa" w:w="5103"/>
          </w:tcPr>
          <w:p>
            <w:pPr>
              <w:spacing w:after="80"/>
            </w:pPr>
            <w:r>
              <w:rPr>
                <w:sz w:val="18"/>
              </w:rPr>
              <w:t>GET /api/v1/auth/csrf</w:t>
            </w:r>
          </w:p>
        </w:tc>
        <w:tc>
          <w:tcPr>
            <w:tcW w:type="dxa" w:w="5103"/>
          </w:tcPr>
          <w:p>
            <w:pPr>
              <w:spacing w:after="80"/>
            </w:pPr>
            <w:r>
              <w:rPr>
                <w:sz w:val="18"/>
              </w:rPr>
              <w:t>backend/src/auth/auth.module.ts:274</w:t>
            </w:r>
          </w:p>
        </w:tc>
      </w:tr>
      <w:tr>
        <w:tc>
          <w:tcPr>
            <w:tcW w:type="dxa" w:w="5103"/>
          </w:tcPr>
          <w:p>
            <w:pPr>
              <w:spacing w:after="80"/>
            </w:pPr>
            <w:r>
              <w:rPr>
                <w:sz w:val="18"/>
              </w:rPr>
              <w:t>POST /api/v1/auth/google</w:t>
            </w:r>
          </w:p>
        </w:tc>
        <w:tc>
          <w:tcPr>
            <w:tcW w:type="dxa" w:w="5103"/>
          </w:tcPr>
          <w:p>
            <w:pPr>
              <w:spacing w:after="80"/>
            </w:pPr>
            <w:r>
              <w:rPr>
                <w:sz w:val="18"/>
              </w:rPr>
              <w:t>backend/src/auth/auth.module.ts:257</w:t>
            </w:r>
          </w:p>
        </w:tc>
      </w:tr>
      <w:tr>
        <w:tc>
          <w:tcPr>
            <w:tcW w:type="dxa" w:w="5103"/>
          </w:tcPr>
          <w:p>
            <w:pPr>
              <w:spacing w:after="80"/>
            </w:pPr>
            <w:r>
              <w:rPr>
                <w:sz w:val="18"/>
              </w:rPr>
              <w:t>POST /api/v1/auth/google/challenge</w:t>
            </w:r>
          </w:p>
        </w:tc>
        <w:tc>
          <w:tcPr>
            <w:tcW w:type="dxa" w:w="5103"/>
          </w:tcPr>
          <w:p>
            <w:pPr>
              <w:spacing w:after="80"/>
            </w:pPr>
            <w:r>
              <w:rPr>
                <w:sz w:val="18"/>
              </w:rPr>
              <w:t>backend/src/auth/auth.module.ts:244</w:t>
            </w:r>
          </w:p>
        </w:tc>
      </w:tr>
      <w:tr>
        <w:tc>
          <w:tcPr>
            <w:tcW w:type="dxa" w:w="5103"/>
          </w:tcPr>
          <w:p>
            <w:pPr>
              <w:spacing w:after="80"/>
            </w:pPr>
            <w:r>
              <w:rPr>
                <w:sz w:val="18"/>
              </w:rPr>
              <w:t>GET /api/v1/auth/google/config</w:t>
            </w:r>
          </w:p>
        </w:tc>
        <w:tc>
          <w:tcPr>
            <w:tcW w:type="dxa" w:w="5103"/>
          </w:tcPr>
          <w:p>
            <w:pPr>
              <w:spacing w:after="80"/>
            </w:pPr>
            <w:r>
              <w:rPr>
                <w:sz w:val="18"/>
              </w:rPr>
              <w:t>backend/src/auth/auth.module.ts:241</w:t>
            </w:r>
          </w:p>
        </w:tc>
      </w:tr>
      <w:tr>
        <w:tc>
          <w:tcPr>
            <w:tcW w:type="dxa" w:w="5103"/>
          </w:tcPr>
          <w:p>
            <w:pPr>
              <w:spacing w:after="80"/>
            </w:pPr>
            <w:r>
              <w:rPr>
                <w:sz w:val="18"/>
              </w:rPr>
              <w:t>POST /api/v1/auth/login</w:t>
            </w:r>
          </w:p>
        </w:tc>
        <w:tc>
          <w:tcPr>
            <w:tcW w:type="dxa" w:w="5103"/>
          </w:tcPr>
          <w:p>
            <w:pPr>
              <w:spacing w:after="80"/>
            </w:pPr>
            <w:r>
              <w:rPr>
                <w:sz w:val="18"/>
              </w:rPr>
              <w:t>backend/src/auth/auth.module.ts:284</w:t>
            </w:r>
          </w:p>
        </w:tc>
      </w:tr>
      <w:tr>
        <w:tc>
          <w:tcPr>
            <w:tcW w:type="dxa" w:w="5103"/>
          </w:tcPr>
          <w:p>
            <w:pPr>
              <w:spacing w:after="80"/>
            </w:pPr>
            <w:r>
              <w:rPr>
                <w:sz w:val="18"/>
              </w:rPr>
              <w:t>POST /api/v1/auth/logout</w:t>
            </w:r>
          </w:p>
        </w:tc>
        <w:tc>
          <w:tcPr>
            <w:tcW w:type="dxa" w:w="5103"/>
          </w:tcPr>
          <w:p>
            <w:pPr>
              <w:spacing w:after="80"/>
            </w:pPr>
            <w:r>
              <w:rPr>
                <w:sz w:val="18"/>
              </w:rPr>
              <w:t>backend/src/auth/auth.module.ts:299</w:t>
            </w:r>
          </w:p>
        </w:tc>
      </w:tr>
      <w:tr>
        <w:tc>
          <w:tcPr>
            <w:tcW w:type="dxa" w:w="5103"/>
          </w:tcPr>
          <w:p>
            <w:pPr>
              <w:spacing w:after="80"/>
            </w:pPr>
            <w:r>
              <w:rPr>
                <w:sz w:val="18"/>
              </w:rPr>
              <w:t>GET /api/v1/auth/me</w:t>
            </w:r>
          </w:p>
        </w:tc>
        <w:tc>
          <w:tcPr>
            <w:tcW w:type="dxa" w:w="5103"/>
          </w:tcPr>
          <w:p>
            <w:pPr>
              <w:spacing w:after="80"/>
            </w:pPr>
            <w:r>
              <w:rPr>
                <w:sz w:val="18"/>
              </w:rPr>
              <w:t>backend/src/auth/auth.module.ts:287</w:t>
            </w:r>
          </w:p>
        </w:tc>
      </w:tr>
      <w:tr>
        <w:tc>
          <w:tcPr>
            <w:tcW w:type="dxa" w:w="5103"/>
          </w:tcPr>
          <w:p>
            <w:pPr>
              <w:spacing w:after="80"/>
            </w:pPr>
            <w:r>
              <w:rPr>
                <w:sz w:val="18"/>
              </w:rPr>
              <w:t>POST /api/v1/auth/register</w:t>
            </w:r>
          </w:p>
        </w:tc>
        <w:tc>
          <w:tcPr>
            <w:tcW w:type="dxa" w:w="5103"/>
          </w:tcPr>
          <w:p>
            <w:pPr>
              <w:spacing w:after="80"/>
            </w:pPr>
            <w:r>
              <w:rPr>
                <w:sz w:val="18"/>
              </w:rPr>
              <w:t>backend/src/auth/auth.module.ts:278</w:t>
            </w:r>
          </w:p>
        </w:tc>
      </w:tr>
      <w:tr>
        <w:tc>
          <w:tcPr>
            <w:tcW w:type="dxa" w:w="5103"/>
          </w:tcPr>
          <w:p>
            <w:pPr>
              <w:spacing w:after="80"/>
            </w:pPr>
            <w:r>
              <w:rPr>
                <w:sz w:val="18"/>
              </w:rPr>
              <w:t>POST /api/v1/internal/automation/confirmation/:id</w:t>
            </w:r>
          </w:p>
        </w:tc>
        <w:tc>
          <w:tcPr>
            <w:tcW w:type="dxa" w:w="5103"/>
          </w:tcPr>
          <w:p>
            <w:pPr>
              <w:spacing w:after="80"/>
            </w:pPr>
            <w:r>
              <w:rPr>
                <w:sz w:val="18"/>
              </w:rPr>
              <w:t>backend/src/automation/automation.module.ts:356</w:t>
            </w:r>
          </w:p>
        </w:tc>
      </w:tr>
      <w:tr>
        <w:tc>
          <w:tcPr>
            <w:tcW w:type="dxa" w:w="5103"/>
          </w:tcPr>
          <w:p>
            <w:pPr>
              <w:spacing w:after="80"/>
            </w:pPr>
            <w:r>
              <w:rPr>
                <w:sz w:val="18"/>
              </w:rPr>
              <w:t>POST /api/v1/internal/automation/matches/:id</w:t>
            </w:r>
          </w:p>
        </w:tc>
        <w:tc>
          <w:tcPr>
            <w:tcW w:type="dxa" w:w="5103"/>
          </w:tcPr>
          <w:p>
            <w:pPr>
              <w:spacing w:after="80"/>
            </w:pPr>
            <w:r>
              <w:rPr>
                <w:sz w:val="18"/>
              </w:rPr>
              <w:t>backend/src/automation/automation.module.ts:345</w:t>
            </w:r>
          </w:p>
        </w:tc>
      </w:tr>
      <w:tr>
        <w:tc>
          <w:tcPr>
            <w:tcW w:type="dxa" w:w="5103"/>
          </w:tcPr>
          <w:p>
            <w:pPr>
              <w:spacing w:after="80"/>
            </w:pPr>
            <w:r>
              <w:rPr>
                <w:sz w:val="18"/>
              </w:rPr>
              <w:t>POST /api/v1/internal/automation/reminders</w:t>
            </w:r>
          </w:p>
        </w:tc>
        <w:tc>
          <w:tcPr>
            <w:tcW w:type="dxa" w:w="5103"/>
          </w:tcPr>
          <w:p>
            <w:pPr>
              <w:spacing w:after="80"/>
            </w:pPr>
            <w:r>
              <w:rPr>
                <w:sz w:val="18"/>
              </w:rPr>
              <w:t>backend/src/automation/automation.module.ts:352</w:t>
            </w:r>
          </w:p>
        </w:tc>
      </w:tr>
      <w:tr>
        <w:tc>
          <w:tcPr>
            <w:tcW w:type="dxa" w:w="5103"/>
          </w:tcPr>
          <w:p>
            <w:pPr>
              <w:spacing w:after="80"/>
            </w:pPr>
            <w:r>
              <w:rPr>
                <w:sz w:val="18"/>
              </w:rPr>
              <w:t>GET /api/v1/me/bank-details</w:t>
            </w:r>
          </w:p>
        </w:tc>
        <w:tc>
          <w:tcPr>
            <w:tcW w:type="dxa" w:w="5103"/>
          </w:tcPr>
          <w:p>
            <w:pPr>
              <w:spacing w:after="80"/>
            </w:pPr>
            <w:r>
              <w:rPr>
                <w:sz w:val="18"/>
              </w:rPr>
              <w:t>backend/src/documents/documents.module.ts:268</w:t>
            </w:r>
          </w:p>
        </w:tc>
      </w:tr>
      <w:tr>
        <w:tc>
          <w:tcPr>
            <w:tcW w:type="dxa" w:w="5103"/>
          </w:tcPr>
          <w:p>
            <w:pPr>
              <w:spacing w:after="80"/>
            </w:pPr>
            <w:r>
              <w:rPr>
                <w:sz w:val="18"/>
              </w:rPr>
              <w:t>PUT /api/v1/me/bank-details</w:t>
            </w:r>
          </w:p>
        </w:tc>
        <w:tc>
          <w:tcPr>
            <w:tcW w:type="dxa" w:w="5103"/>
          </w:tcPr>
          <w:p>
            <w:pPr>
              <w:spacing w:after="80"/>
            </w:pPr>
            <w:r>
              <w:rPr>
                <w:sz w:val="18"/>
              </w:rPr>
              <w:t>backend/src/documents/documents.module.ts:259</w:t>
            </w:r>
          </w:p>
        </w:tc>
      </w:tr>
      <w:tr>
        <w:tc>
          <w:tcPr>
            <w:tcW w:type="dxa" w:w="5103"/>
          </w:tcPr>
          <w:p>
            <w:pPr>
              <w:spacing w:after="80"/>
            </w:pPr>
            <w:r>
              <w:rPr>
                <w:sz w:val="18"/>
              </w:rPr>
              <w:t>GET /api/v1/me/documents</w:t>
            </w:r>
          </w:p>
        </w:tc>
        <w:tc>
          <w:tcPr>
            <w:tcW w:type="dxa" w:w="5103"/>
          </w:tcPr>
          <w:p>
            <w:pPr>
              <w:spacing w:after="80"/>
            </w:pPr>
            <w:r>
              <w:rPr>
                <w:sz w:val="18"/>
              </w:rPr>
              <w:t>backend/src/documents/documents.module.ts:233</w:t>
            </w:r>
          </w:p>
        </w:tc>
      </w:tr>
      <w:tr>
        <w:tc>
          <w:tcPr>
            <w:tcW w:type="dxa" w:w="5103"/>
          </w:tcPr>
          <w:p>
            <w:pPr>
              <w:spacing w:after="80"/>
            </w:pPr>
            <w:r>
              <w:rPr>
                <w:sz w:val="18"/>
              </w:rPr>
              <w:t>POST /api/v1/me/documents</w:t>
            </w:r>
          </w:p>
        </w:tc>
        <w:tc>
          <w:tcPr>
            <w:tcW w:type="dxa" w:w="5103"/>
          </w:tcPr>
          <w:p>
            <w:pPr>
              <w:spacing w:after="80"/>
            </w:pPr>
            <w:r>
              <w:rPr>
                <w:sz w:val="18"/>
              </w:rPr>
              <w:t>backend/src/documents/documents.module.ts:220</w:t>
            </w:r>
          </w:p>
        </w:tc>
      </w:tr>
      <w:tr>
        <w:tc>
          <w:tcPr>
            <w:tcW w:type="dxa" w:w="5103"/>
          </w:tcPr>
          <w:p>
            <w:pPr>
              <w:spacing w:after="80"/>
            </w:pPr>
            <w:r>
              <w:rPr>
                <w:sz w:val="18"/>
              </w:rPr>
              <w:t>GET /api/v1/me/documents/:id</w:t>
            </w:r>
          </w:p>
        </w:tc>
        <w:tc>
          <w:tcPr>
            <w:tcW w:type="dxa" w:w="5103"/>
          </w:tcPr>
          <w:p>
            <w:pPr>
              <w:spacing w:after="80"/>
            </w:pPr>
            <w:r>
              <w:rPr>
                <w:sz w:val="18"/>
              </w:rPr>
              <w:t>backend/src/documents/documents.module.ts:239</w:t>
            </w:r>
          </w:p>
        </w:tc>
      </w:tr>
      <w:tr>
        <w:tc>
          <w:tcPr>
            <w:tcW w:type="dxa" w:w="5103"/>
          </w:tcPr>
          <w:p>
            <w:pPr>
              <w:spacing w:after="80"/>
            </w:pPr>
            <w:r>
              <w:rPr>
                <w:sz w:val="18"/>
              </w:rPr>
              <w:t>GET /api/v1/dashboards</w:t>
            </w:r>
          </w:p>
        </w:tc>
        <w:tc>
          <w:tcPr>
            <w:tcW w:type="dxa" w:w="5103"/>
          </w:tcPr>
          <w:p>
            <w:pPr>
              <w:spacing w:after="80"/>
            </w:pPr>
            <w:r>
              <w:rPr>
                <w:sz w:val="18"/>
              </w:rPr>
              <w:t>backend/src/listings/listings.module.ts:296</w:t>
            </w:r>
          </w:p>
        </w:tc>
      </w:tr>
      <w:tr>
        <w:tc>
          <w:tcPr>
            <w:tcW w:type="dxa" w:w="5103"/>
          </w:tcPr>
          <w:p>
            <w:pPr>
              <w:spacing w:after="80"/>
            </w:pPr>
            <w:r>
              <w:rPr>
                <w:sz w:val="18"/>
              </w:rPr>
              <w:t>GET /api/v1/facilities</w:t>
            </w:r>
          </w:p>
        </w:tc>
        <w:tc>
          <w:tcPr>
            <w:tcW w:type="dxa" w:w="5103"/>
          </w:tcPr>
          <w:p>
            <w:pPr>
              <w:spacing w:after="80"/>
            </w:pPr>
            <w:r>
              <w:rPr>
                <w:sz w:val="18"/>
              </w:rPr>
              <w:t>backend/src/listings/listings.module.ts:225</w:t>
            </w:r>
          </w:p>
        </w:tc>
      </w:tr>
      <w:tr>
        <w:tc>
          <w:tcPr>
            <w:tcW w:type="dxa" w:w="5103"/>
          </w:tcPr>
          <w:p>
            <w:pPr>
              <w:spacing w:after="80"/>
            </w:pPr>
            <w:r>
              <w:rPr>
                <w:sz w:val="18"/>
              </w:rPr>
              <w:t>GET /api/v1/facilities/:id</w:t>
            </w:r>
          </w:p>
        </w:tc>
        <w:tc>
          <w:tcPr>
            <w:tcW w:type="dxa" w:w="5103"/>
          </w:tcPr>
          <w:p>
            <w:pPr>
              <w:spacing w:after="80"/>
            </w:pPr>
            <w:r>
              <w:rPr>
                <w:sz w:val="18"/>
              </w:rPr>
              <w:t>backend/src/listings/listings.module.ts:231</w:t>
            </w:r>
          </w:p>
        </w:tc>
      </w:tr>
      <w:tr>
        <w:tc>
          <w:tcPr>
            <w:tcW w:type="dxa" w:w="5103"/>
          </w:tcPr>
          <w:p>
            <w:pPr>
              <w:spacing w:after="80"/>
            </w:pPr>
            <w:r>
              <w:rPr>
                <w:sz w:val="18"/>
              </w:rPr>
              <w:t>GET /api/v1/listings/:id</w:t>
            </w:r>
          </w:p>
        </w:tc>
        <w:tc>
          <w:tcPr>
            <w:tcW w:type="dxa" w:w="5103"/>
          </w:tcPr>
          <w:p>
            <w:pPr>
              <w:spacing w:after="80"/>
            </w:pPr>
            <w:r>
              <w:rPr>
                <w:sz w:val="18"/>
              </w:rPr>
              <w:t>backend/src/listings/listings.module.ts:190</w:t>
            </w:r>
          </w:p>
        </w:tc>
      </w:tr>
      <w:tr>
        <w:tc>
          <w:tcPr>
            <w:tcW w:type="dxa" w:w="5103"/>
          </w:tcPr>
          <w:p>
            <w:pPr>
              <w:spacing w:after="80"/>
            </w:pPr>
            <w:r>
              <w:rPr>
                <w:sz w:val="18"/>
              </w:rPr>
              <w:t>GET /api/v1/listings/external</w:t>
            </w:r>
          </w:p>
        </w:tc>
        <w:tc>
          <w:tcPr>
            <w:tcW w:type="dxa" w:w="5103"/>
          </w:tcPr>
          <w:p>
            <w:pPr>
              <w:spacing w:after="80"/>
            </w:pPr>
            <w:r>
              <w:rPr>
                <w:sz w:val="18"/>
              </w:rPr>
              <w:t>backend/src/listings/listings.module.ts:167</w:t>
            </w:r>
          </w:p>
        </w:tc>
      </w:tr>
      <w:tr>
        <w:tc>
          <w:tcPr>
            <w:tcW w:type="dxa" w:w="5103"/>
          </w:tcPr>
          <w:p>
            <w:pPr>
              <w:spacing w:after="80"/>
            </w:pPr>
            <w:r>
              <w:rPr>
                <w:sz w:val="18"/>
              </w:rPr>
              <w:t>POST /api/v1/listings/search</w:t>
            </w:r>
          </w:p>
        </w:tc>
        <w:tc>
          <w:tcPr>
            <w:tcW w:type="dxa" w:w="5103"/>
          </w:tcPr>
          <w:p>
            <w:pPr>
              <w:spacing w:after="80"/>
            </w:pPr>
            <w:r>
              <w:rPr>
                <w:sz w:val="18"/>
              </w:rPr>
              <w:t>backend/src/listings/listings.module.ts:46</w:t>
            </w:r>
          </w:p>
        </w:tc>
      </w:tr>
      <w:tr>
        <w:tc>
          <w:tcPr>
            <w:tcW w:type="dxa" w:w="5103"/>
          </w:tcPr>
          <w:p>
            <w:pPr>
              <w:spacing w:after="80"/>
            </w:pPr>
            <w:r>
              <w:rPr>
                <w:sz w:val="18"/>
              </w:rPr>
              <w:t>GET /api/v1/me/favorites</w:t>
            </w:r>
          </w:p>
        </w:tc>
        <w:tc>
          <w:tcPr>
            <w:tcW w:type="dxa" w:w="5103"/>
          </w:tcPr>
          <w:p>
            <w:pPr>
              <w:spacing w:after="80"/>
            </w:pPr>
            <w:r>
              <w:rPr>
                <w:sz w:val="18"/>
              </w:rPr>
              <w:t>backend/src/listings/listings.module.ts:267</w:t>
            </w:r>
          </w:p>
        </w:tc>
      </w:tr>
      <w:tr>
        <w:tc>
          <w:tcPr>
            <w:tcW w:type="dxa" w:w="5103"/>
          </w:tcPr>
          <w:p>
            <w:pPr>
              <w:spacing w:after="80"/>
            </w:pPr>
            <w:r>
              <w:rPr>
                <w:sz w:val="18"/>
              </w:rPr>
              <w:t>POST /api/v1/me/favorites</w:t>
            </w:r>
          </w:p>
        </w:tc>
        <w:tc>
          <w:tcPr>
            <w:tcW w:type="dxa" w:w="5103"/>
          </w:tcPr>
          <w:p>
            <w:pPr>
              <w:spacing w:after="80"/>
            </w:pPr>
            <w:r>
              <w:rPr>
                <w:sz w:val="18"/>
              </w:rPr>
              <w:t>backend/src/listings/listings.module.ts:247</w:t>
            </w:r>
          </w:p>
        </w:tc>
      </w:tr>
      <w:tr>
        <w:tc>
          <w:tcPr>
            <w:tcW w:type="dxa" w:w="5103"/>
          </w:tcPr>
          <w:p>
            <w:pPr>
              <w:spacing w:after="80"/>
            </w:pPr>
            <w:r>
              <w:rPr>
                <w:sz w:val="18"/>
              </w:rPr>
              <w:t>DELETE /api/v1/me/favorites/:kind/:id</w:t>
            </w:r>
          </w:p>
        </w:tc>
        <w:tc>
          <w:tcPr>
            <w:tcW w:type="dxa" w:w="5103"/>
          </w:tcPr>
          <w:p>
            <w:pPr>
              <w:spacing w:after="80"/>
            </w:pPr>
            <w:r>
              <w:rPr>
                <w:sz w:val="18"/>
              </w:rPr>
              <w:t>backend/src/listings/listings.module.ts:275</w:t>
            </w:r>
          </w:p>
        </w:tc>
      </w:tr>
      <w:tr>
        <w:tc>
          <w:tcPr>
            <w:tcW w:type="dxa" w:w="5103"/>
          </w:tcPr>
          <w:p>
            <w:pPr>
              <w:spacing w:after="80"/>
            </w:pPr>
            <w:r>
              <w:rPr>
                <w:sz w:val="18"/>
              </w:rPr>
              <w:t>GET /api/v1/me/history</w:t>
            </w:r>
          </w:p>
        </w:tc>
        <w:tc>
          <w:tcPr>
            <w:tcW w:type="dxa" w:w="5103"/>
          </w:tcPr>
          <w:p>
            <w:pPr>
              <w:spacing w:after="80"/>
            </w:pPr>
            <w:r>
              <w:rPr>
                <w:sz w:val="18"/>
              </w:rPr>
              <w:t>backend/src/listings/listings.module.ts:288</w:t>
            </w:r>
          </w:p>
        </w:tc>
      </w:tr>
      <w:tr>
        <w:tc>
          <w:tcPr>
            <w:tcW w:type="dxa" w:w="5103"/>
          </w:tcPr>
          <w:p>
            <w:pPr>
              <w:spacing w:after="80"/>
            </w:pPr>
            <w:r>
              <w:rPr>
                <w:sz w:val="18"/>
              </w:rPr>
              <w:t>GET /api/v1/me/listings/:id/correspondence</w:t>
            </w:r>
          </w:p>
        </w:tc>
        <w:tc>
          <w:tcPr>
            <w:tcW w:type="dxa" w:w="5103"/>
          </w:tcPr>
          <w:p>
            <w:pPr>
              <w:spacing w:after="80"/>
            </w:pPr>
            <w:r>
              <w:rPr>
                <w:sz w:val="18"/>
              </w:rPr>
              <w:t>backend/src/listings/listings.module.ts:136</w:t>
            </w:r>
          </w:p>
        </w:tc>
      </w:tr>
      <w:tr>
        <w:tc>
          <w:tcPr>
            <w:tcW w:type="dxa" w:w="5103"/>
          </w:tcPr>
          <w:p>
            <w:pPr>
              <w:spacing w:after="80"/>
            </w:pPr>
            <w:r>
              <w:rPr>
                <w:sz w:val="18"/>
              </w:rPr>
              <w:t>GET /api/v1/me/notifications</w:t>
            </w:r>
          </w:p>
        </w:tc>
        <w:tc>
          <w:tcPr>
            <w:tcW w:type="dxa" w:w="5103"/>
          </w:tcPr>
          <w:p>
            <w:pPr>
              <w:spacing w:after="80"/>
            </w:pPr>
            <w:r>
              <w:rPr>
                <w:sz w:val="18"/>
              </w:rPr>
              <w:t>backend/src/listings/listings.module.ts:324</w:t>
            </w:r>
          </w:p>
        </w:tc>
      </w:tr>
      <w:tr>
        <w:tc>
          <w:tcPr>
            <w:tcW w:type="dxa" w:w="5103"/>
          </w:tcPr>
          <w:p>
            <w:pPr>
              <w:spacing w:after="80"/>
            </w:pPr>
            <w:r>
              <w:rPr>
                <w:sz w:val="18"/>
              </w:rPr>
              <w:t>POST /api/v1/me/notifications/:id/read</w:t>
            </w:r>
          </w:p>
        </w:tc>
        <w:tc>
          <w:tcPr>
            <w:tcW w:type="dxa" w:w="5103"/>
          </w:tcPr>
          <w:p>
            <w:pPr>
              <w:spacing w:after="80"/>
            </w:pPr>
            <w:r>
              <w:rPr>
                <w:sz w:val="18"/>
              </w:rPr>
              <w:t>backend/src/listings/listings.module.ts:333</w:t>
            </w:r>
          </w:p>
        </w:tc>
      </w:tr>
      <w:tr>
        <w:tc>
          <w:tcPr>
            <w:tcW w:type="dxa" w:w="5103"/>
          </w:tcPr>
          <w:p>
            <w:pPr>
              <w:spacing w:after="80"/>
            </w:pPr>
            <w:r>
              <w:rPr>
                <w:sz w:val="18"/>
              </w:rPr>
              <w:t>GET /api/v1/matches/:id/explanation</w:t>
            </w:r>
          </w:p>
        </w:tc>
        <w:tc>
          <w:tcPr>
            <w:tcW w:type="dxa" w:w="5103"/>
          </w:tcPr>
          <w:p>
            <w:pPr>
              <w:spacing w:after="80"/>
            </w:pPr>
            <w:r>
              <w:rPr>
                <w:sz w:val="18"/>
              </w:rPr>
              <w:t>backend/src/matching/matching.module.ts:262</w:t>
            </w:r>
          </w:p>
        </w:tc>
      </w:tr>
      <w:tr>
        <w:tc>
          <w:tcPr>
            <w:tcW w:type="dxa" w:w="5103"/>
          </w:tcPr>
          <w:p>
            <w:pPr>
              <w:spacing w:after="80"/>
            </w:pPr>
            <w:r>
              <w:rPr>
                <w:sz w:val="18"/>
              </w:rPr>
              <w:t>GET /api/v1/me/matches</w:t>
            </w:r>
          </w:p>
        </w:tc>
        <w:tc>
          <w:tcPr>
            <w:tcW w:type="dxa" w:w="5103"/>
          </w:tcPr>
          <w:p>
            <w:pPr>
              <w:spacing w:after="80"/>
            </w:pPr>
            <w:r>
              <w:rPr>
                <w:sz w:val="18"/>
              </w:rPr>
              <w:t>backend/src/matching/matching.module.ts:252</w:t>
            </w:r>
          </w:p>
        </w:tc>
      </w:tr>
      <w:tr>
        <w:tc>
          <w:tcPr>
            <w:tcW w:type="dxa" w:w="5103"/>
          </w:tcPr>
          <w:p>
            <w:pPr>
              <w:spacing w:after="80"/>
            </w:pPr>
            <w:r>
              <w:rPr>
                <w:sz w:val="18"/>
              </w:rPr>
              <w:t>GET /api/v1/missions/:id/candidates</w:t>
            </w:r>
          </w:p>
        </w:tc>
        <w:tc>
          <w:tcPr>
            <w:tcW w:type="dxa" w:w="5103"/>
          </w:tcPr>
          <w:p>
            <w:pPr>
              <w:spacing w:after="80"/>
            </w:pPr>
            <w:r>
              <w:rPr>
                <w:sz w:val="18"/>
              </w:rPr>
              <w:t>backend/src/matching/matching.module.ts:255</w:t>
            </w:r>
          </w:p>
        </w:tc>
      </w:tr>
      <w:tr>
        <w:tc>
          <w:tcPr>
            <w:tcW w:type="dxa" w:w="5103"/>
          </w:tcPr>
          <w:p>
            <w:pPr>
              <w:spacing w:after="80"/>
            </w:pPr>
            <w:r>
              <w:rPr>
                <w:sz w:val="18"/>
              </w:rPr>
              <w:t>GET /api/v1/applications/:id</w:t>
            </w:r>
          </w:p>
        </w:tc>
        <w:tc>
          <w:tcPr>
            <w:tcW w:type="dxa" w:w="5103"/>
          </w:tcPr>
          <w:p>
            <w:pPr>
              <w:spacing w:after="80"/>
            </w:pPr>
            <w:r>
              <w:rPr>
                <w:sz w:val="18"/>
              </w:rPr>
              <w:t>backend/src/missions/missions.module.ts:157</w:t>
            </w:r>
          </w:p>
        </w:tc>
      </w:tr>
      <w:tr>
        <w:tc>
          <w:tcPr>
            <w:tcW w:type="dxa" w:w="5103"/>
          </w:tcPr>
          <w:p>
            <w:pPr>
              <w:spacing w:after="80"/>
            </w:pPr>
            <w:r>
              <w:rPr>
                <w:sz w:val="18"/>
              </w:rPr>
              <w:t>POST /api/v1/applications/:id/rejection</w:t>
            </w:r>
          </w:p>
        </w:tc>
        <w:tc>
          <w:tcPr>
            <w:tcW w:type="dxa" w:w="5103"/>
          </w:tcPr>
          <w:p>
            <w:pPr>
              <w:spacing w:after="80"/>
            </w:pPr>
            <w:r>
              <w:rPr>
                <w:sz w:val="18"/>
              </w:rPr>
              <w:t>backend/src/missions/missions.module.ts:107</w:t>
            </w:r>
          </w:p>
        </w:tc>
      </w:tr>
      <w:tr>
        <w:tc>
          <w:tcPr>
            <w:tcW w:type="dxa" w:w="5103"/>
          </w:tcPr>
          <w:p>
            <w:pPr>
              <w:spacing w:after="80"/>
            </w:pPr>
            <w:r>
              <w:rPr>
                <w:sz w:val="18"/>
              </w:rPr>
              <w:t>POST /api/v1/applications/:id/selection</w:t>
            </w:r>
          </w:p>
        </w:tc>
        <w:tc>
          <w:tcPr>
            <w:tcW w:type="dxa" w:w="5103"/>
          </w:tcPr>
          <w:p>
            <w:pPr>
              <w:spacing w:after="80"/>
            </w:pPr>
            <w:r>
              <w:rPr>
                <w:sz w:val="18"/>
              </w:rPr>
              <w:t>backend/src/missions/missions.module.ts:100</w:t>
            </w:r>
          </w:p>
        </w:tc>
      </w:tr>
      <w:tr>
        <w:tc>
          <w:tcPr>
            <w:tcW w:type="dxa" w:w="5103"/>
          </w:tcPr>
          <w:p>
            <w:pPr>
              <w:spacing w:after="80"/>
            </w:pPr>
            <w:r>
              <w:rPr>
                <w:sz w:val="18"/>
              </w:rPr>
              <w:t>POST /api/v1/applications/:id/withdrawal</w:t>
            </w:r>
          </w:p>
        </w:tc>
        <w:tc>
          <w:tcPr>
            <w:tcW w:type="dxa" w:w="5103"/>
          </w:tcPr>
          <w:p>
            <w:pPr>
              <w:spacing w:after="80"/>
            </w:pPr>
            <w:r>
              <w:rPr>
                <w:sz w:val="18"/>
              </w:rPr>
              <w:t>backend/src/missions/missions.module.ts:93</w:t>
            </w:r>
          </w:p>
        </w:tc>
      </w:tr>
      <w:tr>
        <w:tc>
          <w:tcPr>
            <w:tcW w:type="dxa" w:w="5103"/>
          </w:tcPr>
          <w:p>
            <w:pPr>
              <w:spacing w:after="80"/>
            </w:pPr>
            <w:r>
              <w:rPr>
                <w:sz w:val="18"/>
              </w:rPr>
              <w:t>GET /api/v1/me/applications</w:t>
            </w:r>
          </w:p>
        </w:tc>
        <w:tc>
          <w:tcPr>
            <w:tcW w:type="dxa" w:w="5103"/>
          </w:tcPr>
          <w:p>
            <w:pPr>
              <w:spacing w:after="80"/>
            </w:pPr>
            <w:r>
              <w:rPr>
                <w:sz w:val="18"/>
              </w:rPr>
              <w:t>backend/src/missions/missions.module.ts:122</w:t>
            </w:r>
          </w:p>
        </w:tc>
      </w:tr>
      <w:tr>
        <w:tc>
          <w:tcPr>
            <w:tcW w:type="dxa" w:w="5103"/>
          </w:tcPr>
          <w:p>
            <w:pPr>
              <w:spacing w:after="80"/>
            </w:pPr>
            <w:r>
              <w:rPr>
                <w:sz w:val="18"/>
              </w:rPr>
              <w:t>GET /api/v1/missions</w:t>
            </w:r>
          </w:p>
        </w:tc>
        <w:tc>
          <w:tcPr>
            <w:tcW w:type="dxa" w:w="5103"/>
          </w:tcPr>
          <w:p>
            <w:pPr>
              <w:spacing w:after="80"/>
            </w:pPr>
            <w:r>
              <w:rPr>
                <w:sz w:val="18"/>
              </w:rPr>
              <w:t>backend/src/missions/missions.module.ts:131</w:t>
            </w:r>
          </w:p>
        </w:tc>
      </w:tr>
      <w:tr>
        <w:tc>
          <w:tcPr>
            <w:tcW w:type="dxa" w:w="5103"/>
          </w:tcPr>
          <w:p>
            <w:pPr>
              <w:spacing w:after="80"/>
            </w:pPr>
            <w:r>
              <w:rPr>
                <w:sz w:val="18"/>
              </w:rPr>
              <w:t>POST /api/v1/missions</w:t>
            </w:r>
          </w:p>
        </w:tc>
        <w:tc>
          <w:tcPr>
            <w:tcW w:type="dxa" w:w="5103"/>
          </w:tcPr>
          <w:p>
            <w:pPr>
              <w:spacing w:after="80"/>
            </w:pPr>
            <w:r>
              <w:rPr>
                <w:sz w:val="18"/>
              </w:rPr>
              <w:t>backend/src/missions/missions.module.ts:42</w:t>
            </w:r>
          </w:p>
        </w:tc>
      </w:tr>
      <w:tr>
        <w:tc>
          <w:tcPr>
            <w:tcW w:type="dxa" w:w="5103"/>
          </w:tcPr>
          <w:p>
            <w:pPr>
              <w:spacing w:after="80"/>
            </w:pPr>
            <w:r>
              <w:rPr>
                <w:sz w:val="18"/>
              </w:rPr>
              <w:t>GET /api/v1/missions/:id</w:t>
            </w:r>
          </w:p>
        </w:tc>
        <w:tc>
          <w:tcPr>
            <w:tcW w:type="dxa" w:w="5103"/>
          </w:tcPr>
          <w:p>
            <w:pPr>
              <w:spacing w:after="80"/>
            </w:pPr>
            <w:r>
              <w:rPr>
                <w:sz w:val="18"/>
              </w:rPr>
              <w:t>backend/src/missions/missions.module.ts:138</w:t>
            </w:r>
          </w:p>
        </w:tc>
      </w:tr>
      <w:tr>
        <w:tc>
          <w:tcPr>
            <w:tcW w:type="dxa" w:w="5103"/>
          </w:tcPr>
          <w:p>
            <w:pPr>
              <w:spacing w:after="80"/>
            </w:pPr>
            <w:r>
              <w:rPr>
                <w:sz w:val="18"/>
              </w:rPr>
              <w:t>PUT /api/v1/missions/:id</w:t>
            </w:r>
          </w:p>
        </w:tc>
        <w:tc>
          <w:tcPr>
            <w:tcW w:type="dxa" w:w="5103"/>
          </w:tcPr>
          <w:p>
            <w:pPr>
              <w:spacing w:after="80"/>
            </w:pPr>
            <w:r>
              <w:rPr>
                <w:sz w:val="18"/>
              </w:rPr>
              <w:t>backend/src/missions/missions.module.ts:49</w:t>
            </w:r>
          </w:p>
        </w:tc>
      </w:tr>
      <w:tr>
        <w:tc>
          <w:tcPr>
            <w:tcW w:type="dxa" w:w="5103"/>
          </w:tcPr>
          <w:p>
            <w:pPr>
              <w:spacing w:after="80"/>
            </w:pPr>
            <w:r>
              <w:rPr>
                <w:sz w:val="18"/>
              </w:rPr>
              <w:t>GET /api/v1/missions/:id/applications</w:t>
            </w:r>
          </w:p>
        </w:tc>
        <w:tc>
          <w:tcPr>
            <w:tcW w:type="dxa" w:w="5103"/>
          </w:tcPr>
          <w:p>
            <w:pPr>
              <w:spacing w:after="80"/>
            </w:pPr>
            <w:r>
              <w:rPr>
                <w:sz w:val="18"/>
              </w:rPr>
              <w:t>backend/src/missions/missions.module.ts:179</w:t>
            </w:r>
          </w:p>
        </w:tc>
      </w:tr>
      <w:tr>
        <w:tc>
          <w:tcPr>
            <w:tcW w:type="dxa" w:w="5103"/>
          </w:tcPr>
          <w:p>
            <w:pPr>
              <w:spacing w:after="80"/>
            </w:pPr>
            <w:r>
              <w:rPr>
                <w:sz w:val="18"/>
              </w:rPr>
              <w:t>POST /api/v1/missions/:id/applications</w:t>
            </w:r>
          </w:p>
        </w:tc>
        <w:tc>
          <w:tcPr>
            <w:tcW w:type="dxa" w:w="5103"/>
          </w:tcPr>
          <w:p>
            <w:pPr>
              <w:spacing w:after="80"/>
            </w:pPr>
            <w:r>
              <w:rPr>
                <w:sz w:val="18"/>
              </w:rPr>
              <w:t>backend/src/missions/missions.module.ts:85</w:t>
            </w:r>
          </w:p>
        </w:tc>
      </w:tr>
      <w:tr>
        <w:tc>
          <w:tcPr>
            <w:tcW w:type="dxa" w:w="5103"/>
          </w:tcPr>
          <w:p>
            <w:pPr>
              <w:spacing w:after="80"/>
            </w:pPr>
            <w:r>
              <w:rPr>
                <w:sz w:val="18"/>
              </w:rPr>
              <w:t>POST /api/v1/missions/:id/assignments</w:t>
            </w:r>
          </w:p>
        </w:tc>
        <w:tc>
          <w:tcPr>
            <w:tcW w:type="dxa" w:w="5103"/>
          </w:tcPr>
          <w:p>
            <w:pPr>
              <w:spacing w:after="80"/>
            </w:pPr>
            <w:r>
              <w:rPr>
                <w:sz w:val="18"/>
              </w:rPr>
              <w:t>backend/src/missions/missions.module.ts:114</w:t>
            </w:r>
          </w:p>
        </w:tc>
      </w:tr>
      <w:tr>
        <w:tc>
          <w:tcPr>
            <w:tcW w:type="dxa" w:w="5103"/>
          </w:tcPr>
          <w:p>
            <w:pPr>
              <w:spacing w:after="80"/>
            </w:pPr>
            <w:r>
              <w:rPr>
                <w:sz w:val="18"/>
              </w:rPr>
              <w:t>POST /api/v1/missions/:id/cancel</w:t>
            </w:r>
          </w:p>
        </w:tc>
        <w:tc>
          <w:tcPr>
            <w:tcW w:type="dxa" w:w="5103"/>
          </w:tcPr>
          <w:p>
            <w:pPr>
              <w:spacing w:after="80"/>
            </w:pPr>
            <w:r>
              <w:rPr>
                <w:sz w:val="18"/>
              </w:rPr>
              <w:t>backend/src/missions/missions.module.ts:64</w:t>
            </w:r>
          </w:p>
        </w:tc>
      </w:tr>
      <w:tr>
        <w:tc>
          <w:tcPr>
            <w:tcW w:type="dxa" w:w="5103"/>
          </w:tcPr>
          <w:p>
            <w:pPr>
              <w:spacing w:after="80"/>
            </w:pPr>
            <w:r>
              <w:rPr>
                <w:sz w:val="18"/>
              </w:rPr>
              <w:t>POST /api/v1/missions/:id/complete</w:t>
            </w:r>
          </w:p>
        </w:tc>
        <w:tc>
          <w:tcPr>
            <w:tcW w:type="dxa" w:w="5103"/>
          </w:tcPr>
          <w:p>
            <w:pPr>
              <w:spacing w:after="80"/>
            </w:pPr>
            <w:r>
              <w:rPr>
                <w:sz w:val="18"/>
              </w:rPr>
              <w:t>backend/src/missions/missions.module.ts:78</w:t>
            </w:r>
          </w:p>
        </w:tc>
      </w:tr>
      <w:tr>
        <w:tc>
          <w:tcPr>
            <w:tcW w:type="dxa" w:w="5103"/>
          </w:tcPr>
          <w:p>
            <w:pPr>
              <w:spacing w:after="80"/>
            </w:pPr>
            <w:r>
              <w:rPr>
                <w:sz w:val="18"/>
              </w:rPr>
              <w:t>POST /api/v1/missions/:id/publish</w:t>
            </w:r>
          </w:p>
        </w:tc>
        <w:tc>
          <w:tcPr>
            <w:tcW w:type="dxa" w:w="5103"/>
          </w:tcPr>
          <w:p>
            <w:pPr>
              <w:spacing w:after="80"/>
            </w:pPr>
            <w:r>
              <w:rPr>
                <w:sz w:val="18"/>
              </w:rPr>
              <w:t>backend/src/missions/missions.module.ts:57</w:t>
            </w:r>
          </w:p>
        </w:tc>
      </w:tr>
      <w:tr>
        <w:tc>
          <w:tcPr>
            <w:tcW w:type="dxa" w:w="5103"/>
          </w:tcPr>
          <w:p>
            <w:pPr>
              <w:spacing w:after="80"/>
            </w:pPr>
            <w:r>
              <w:rPr>
                <w:sz w:val="18"/>
              </w:rPr>
              <w:t>POST /api/v1/missions/:id/reopen</w:t>
            </w:r>
          </w:p>
        </w:tc>
        <w:tc>
          <w:tcPr>
            <w:tcW w:type="dxa" w:w="5103"/>
          </w:tcPr>
          <w:p>
            <w:pPr>
              <w:spacing w:after="80"/>
            </w:pPr>
            <w:r>
              <w:rPr>
                <w:sz w:val="18"/>
              </w:rPr>
              <w:t>backend/src/missions/missions.module.ts:71</w:t>
            </w:r>
          </w:p>
        </w:tc>
      </w:tr>
      <w:tr>
        <w:tc>
          <w:tcPr>
            <w:tcW w:type="dxa" w:w="5103"/>
          </w:tcPr>
          <w:p>
            <w:pPr>
              <w:spacing w:after="80"/>
            </w:pPr>
            <w:r>
              <w:rPr>
                <w:sz w:val="18"/>
              </w:rPr>
              <w:t>GET /api/v1/assignments/:id/confirmation</w:t>
            </w:r>
          </w:p>
        </w:tc>
        <w:tc>
          <w:tcPr>
            <w:tcW w:type="dxa" w:w="5103"/>
          </w:tcPr>
          <w:p>
            <w:pPr>
              <w:spacing w:after="80"/>
            </w:pPr>
            <w:r>
              <w:rPr>
                <w:sz w:val="18"/>
              </w:rPr>
              <w:t>backend/src/organizations/organizations.module.ts:150</w:t>
            </w:r>
          </w:p>
        </w:tc>
      </w:tr>
      <w:tr>
        <w:tc>
          <w:tcPr>
            <w:tcW w:type="dxa" w:w="5103"/>
          </w:tcPr>
          <w:p>
            <w:pPr>
              <w:spacing w:after="80"/>
            </w:pPr>
            <w:r>
              <w:rPr>
                <w:sz w:val="18"/>
              </w:rPr>
              <w:t>PUT /api/v1/me/notification-preferences</w:t>
            </w:r>
          </w:p>
        </w:tc>
        <w:tc>
          <w:tcPr>
            <w:tcW w:type="dxa" w:w="5103"/>
          </w:tcPr>
          <w:p>
            <w:pPr>
              <w:spacing w:after="80"/>
            </w:pPr>
            <w:r>
              <w:rPr>
                <w:sz w:val="18"/>
              </w:rPr>
              <w:t>backend/src/organizations/organizations.module.ts:137</w:t>
            </w:r>
          </w:p>
        </w:tc>
      </w:tr>
      <w:tr>
        <w:tc>
          <w:tcPr>
            <w:tcW w:type="dxa" w:w="5103"/>
          </w:tcPr>
          <w:p>
            <w:pPr>
              <w:spacing w:after="80"/>
            </w:pPr>
            <w:r>
              <w:rPr>
                <w:sz w:val="18"/>
              </w:rPr>
              <w:t>GET /api/v1/me/organizations</w:t>
            </w:r>
          </w:p>
        </w:tc>
        <w:tc>
          <w:tcPr>
            <w:tcW w:type="dxa" w:w="5103"/>
          </w:tcPr>
          <w:p>
            <w:pPr>
              <w:spacing w:after="80"/>
            </w:pPr>
            <w:r>
              <w:rPr>
                <w:sz w:val="18"/>
              </w:rPr>
              <w:t>backend/src/organizations/organizations.module.ts:76</w:t>
            </w:r>
          </w:p>
        </w:tc>
      </w:tr>
      <w:tr>
        <w:tc>
          <w:tcPr>
            <w:tcW w:type="dxa" w:w="5103"/>
          </w:tcPr>
          <w:p>
            <w:pPr>
              <w:spacing w:after="80"/>
            </w:pPr>
            <w:r>
              <w:rPr>
                <w:sz w:val="18"/>
              </w:rPr>
              <w:t>PUT /api/v1/organizations/:id</w:t>
            </w:r>
          </w:p>
        </w:tc>
        <w:tc>
          <w:tcPr>
            <w:tcW w:type="dxa" w:w="5103"/>
          </w:tcPr>
          <w:p>
            <w:pPr>
              <w:spacing w:after="80"/>
            </w:pPr>
            <w:r>
              <w:rPr>
                <w:sz w:val="18"/>
              </w:rPr>
              <w:t>backend/src/organizations/organizations.module.ts:87</w:t>
            </w:r>
          </w:p>
        </w:tc>
      </w:tr>
      <w:tr>
        <w:tc>
          <w:tcPr>
            <w:tcW w:type="dxa" w:w="5103"/>
          </w:tcPr>
          <w:p>
            <w:pPr>
              <w:spacing w:after="80"/>
            </w:pPr>
            <w:r>
              <w:rPr>
                <w:sz w:val="18"/>
              </w:rPr>
              <w:t>GET /api/v1/staffing-requests</w:t>
            </w:r>
          </w:p>
        </w:tc>
        <w:tc>
          <w:tcPr>
            <w:tcW w:type="dxa" w:w="5103"/>
          </w:tcPr>
          <w:p>
            <w:pPr>
              <w:spacing w:after="80"/>
            </w:pPr>
            <w:r>
              <w:rPr>
                <w:sz w:val="18"/>
              </w:rPr>
              <w:t>backend/src/organizations/organizations.module.ts:131</w:t>
            </w:r>
          </w:p>
        </w:tc>
      </w:tr>
      <w:tr>
        <w:tc>
          <w:tcPr>
            <w:tcW w:type="dxa" w:w="5103"/>
          </w:tcPr>
          <w:p>
            <w:pPr>
              <w:spacing w:after="80"/>
            </w:pPr>
            <w:r>
              <w:rPr>
                <w:sz w:val="18"/>
              </w:rPr>
              <w:t>POST /api/v1/staffing-requests</w:t>
            </w:r>
          </w:p>
        </w:tc>
        <w:tc>
          <w:tcPr>
            <w:tcW w:type="dxa" w:w="5103"/>
          </w:tcPr>
          <w:p>
            <w:pPr>
              <w:spacing w:after="80"/>
            </w:pPr>
            <w:r>
              <w:rPr>
                <w:sz w:val="18"/>
              </w:rPr>
              <w:t>backend/src/organizations/organizations.module.ts:108</w:t>
            </w:r>
          </w:p>
        </w:tc>
      </w:tr>
      <w:tr>
        <w:tc>
          <w:tcPr>
            <w:tcW w:type="dxa" w:w="5103"/>
          </w:tcPr>
          <w:p>
            <w:pPr>
              <w:spacing w:after="80"/>
            </w:pPr>
            <w:r>
              <w:rPr>
                <w:sz w:val="18"/>
              </w:rPr>
              <w:t>GET /api/v1/profile</w:t>
            </w:r>
          </w:p>
        </w:tc>
        <w:tc>
          <w:tcPr>
            <w:tcW w:type="dxa" w:w="5103"/>
          </w:tcPr>
          <w:p>
            <w:pPr>
              <w:spacing w:after="80"/>
            </w:pPr>
            <w:r>
              <w:rPr>
                <w:sz w:val="18"/>
              </w:rPr>
              <w:t>backend/src/profiles/profiles.module.ts:277</w:t>
            </w:r>
          </w:p>
        </w:tc>
      </w:tr>
      <w:tr>
        <w:tc>
          <w:tcPr>
            <w:tcW w:type="dxa" w:w="5103"/>
          </w:tcPr>
          <w:p>
            <w:pPr>
              <w:spacing w:after="80"/>
            </w:pPr>
            <w:r>
              <w:rPr>
                <w:sz w:val="18"/>
              </w:rPr>
              <w:t>PUT /api/v1/profile</w:t>
            </w:r>
          </w:p>
        </w:tc>
        <w:tc>
          <w:tcPr>
            <w:tcW w:type="dxa" w:w="5103"/>
          </w:tcPr>
          <w:p>
            <w:pPr>
              <w:spacing w:after="80"/>
            </w:pPr>
            <w:r>
              <w:rPr>
                <w:sz w:val="18"/>
              </w:rPr>
              <w:t>backend/src/profiles/profiles.module.ts:280</w:t>
            </w:r>
          </w:p>
        </w:tc>
      </w:tr>
      <w:tr>
        <w:tc>
          <w:tcPr>
            <w:tcW w:type="dxa" w:w="5103"/>
          </w:tcPr>
          <w:p>
            <w:pPr>
              <w:spacing w:after="80"/>
            </w:pPr>
            <w:r>
              <w:rPr>
                <w:sz w:val="18"/>
              </w:rPr>
              <w:t>PUT /api/v1/profile/rpps</w:t>
            </w:r>
          </w:p>
        </w:tc>
        <w:tc>
          <w:tcPr>
            <w:tcW w:type="dxa" w:w="5103"/>
          </w:tcPr>
          <w:p>
            <w:pPr>
              <w:spacing w:after="80"/>
            </w:pPr>
            <w:r>
              <w:rPr>
                <w:sz w:val="18"/>
              </w:rPr>
              <w:t>backend/src/profiles/profiles.module.ts:283</w:t>
            </w:r>
          </w:p>
        </w:tc>
      </w:tr>
      <w:tr>
        <w:tc>
          <w:tcPr>
            <w:tcW w:type="dxa" w:w="5103"/>
          </w:tcPr>
          <w:p>
            <w:pPr>
              <w:spacing w:after="80"/>
            </w:pPr>
            <w:r>
              <w:rPr>
                <w:sz w:val="18"/>
              </w:rPr>
              <w:t>POST /api/v1/profile/rpps/retry</w:t>
            </w:r>
          </w:p>
        </w:tc>
        <w:tc>
          <w:tcPr>
            <w:tcW w:type="dxa" w:w="5103"/>
          </w:tcPr>
          <w:p>
            <w:pPr>
              <w:spacing w:after="80"/>
            </w:pPr>
            <w:r>
              <w:rPr>
                <w:sz w:val="18"/>
              </w:rPr>
              <w:t>backend/src/profiles/profiles.module.ts:286</w:t>
            </w:r>
          </w:p>
        </w:tc>
      </w:tr>
      <w:tr>
        <w:tc>
          <w:tcPr>
            <w:tcW w:type="dxa" w:w="5103"/>
          </w:tcPr>
          <w:p>
            <w:pPr>
              <w:spacing w:after="80"/>
            </w:pPr>
            <w:r>
              <w:rPr>
                <w:sz w:val="18"/>
              </w:rPr>
              <w:t>GET /api/v1/reference-data/finess</w:t>
            </w:r>
          </w:p>
        </w:tc>
        <w:tc>
          <w:tcPr>
            <w:tcW w:type="dxa" w:w="5103"/>
          </w:tcPr>
          <w:p>
            <w:pPr>
              <w:spacing w:after="80"/>
            </w:pPr>
            <w:r>
              <w:rPr>
                <w:sz w:val="18"/>
              </w:rPr>
              <w:t>backend/src/reference-data/finess.module.ts:26</w:t>
            </w:r>
          </w:p>
        </w:tc>
      </w:tr>
      <w:tr>
        <w:tc>
          <w:tcPr>
            <w:tcW w:type="dxa" w:w="5103"/>
          </w:tcPr>
          <w:p>
            <w:pPr>
              <w:spacing w:after="80"/>
            </w:pPr>
            <w:r>
              <w:rPr>
                <w:sz w:val="18"/>
              </w:rPr>
              <w:t>GET /api/v1/reference-data/finess/:finess</w:t>
            </w:r>
          </w:p>
        </w:tc>
        <w:tc>
          <w:tcPr>
            <w:tcW w:type="dxa" w:w="5103"/>
          </w:tcPr>
          <w:p>
            <w:pPr>
              <w:spacing w:after="80"/>
            </w:pPr>
            <w:r>
              <w:rPr>
                <w:sz w:val="18"/>
              </w:rPr>
              <w:t>backend/src/reference-data/finess.module.ts:44</w:t>
            </w:r>
          </w:p>
        </w:tc>
      </w:tr>
      <w:tr>
        <w:tc>
          <w:tcPr>
            <w:tcW w:type="dxa" w:w="5103"/>
          </w:tcPr>
          <w:p>
            <w:pPr>
              <w:spacing w:after="80"/>
            </w:pPr>
            <w:r>
              <w:rPr>
                <w:sz w:val="18"/>
              </w:rPr>
              <w:t>GET /api/v1/reference-data</w:t>
            </w:r>
          </w:p>
        </w:tc>
        <w:tc>
          <w:tcPr>
            <w:tcW w:type="dxa" w:w="5103"/>
          </w:tcPr>
          <w:p>
            <w:pPr>
              <w:spacing w:after="80"/>
            </w:pPr>
            <w:r>
              <w:rPr>
                <w:sz w:val="18"/>
              </w:rPr>
              <w:t>backend/src/reference-data/reference-data.module.ts:66</w:t>
            </w:r>
          </w:p>
        </w:tc>
      </w:tr>
    </w:tbl>
    <w:p/>
    <w:p>
      <w:pPr>
        <w:pStyle w:val="Heading1"/>
      </w:pPr>
      <w:r>
        <w:t>9. Preuves et validations suivantes</w:t>
      </w:r>
    </w:p>
    <w:p>
      <w:r>
        <w:t>Preuves actuelles : docs/proofs/audit-kickoff-2026-09-16/ : tests/builds, http-and-routes.json, scope-and-hashes.json. Les empreintes identifient l’arbre local lu, sans prétendre à un commit propre.</w:t>
      </w:r>
    </w:p>
    <w:p>
      <w:r>
        <w:t>Preuves antérieures : docs/proofs/verification.json, coverage-totals.json, n8n-executions.json, france-travail-rectification.json, ans-fhir-live.json, ans-fhir-positive.json ; frontend docs/proofs/raccordement/checks.json et catalogue-captures.json. Chaque preuve garde sa date et sa portée.</w:t>
      </w:r>
    </w:p>
    <w:p>
      <w:r>
        <w:t>Suite : traiter P1 ; raccorder les API inutilisées ; recette isolée sans repeupler la base utilisateur ; coverage final, exports et restauration ; parcours de soutenance réalisable par toute l’équipe.</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Code local et preuves datées — portée explicitée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AUDIT BACKEND / KICKOFF · 16/09/2026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D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D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D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