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InfiMatch — Suivi des travaux du backend V1</w:t>
      </w:r>
    </w:p>
    <w:p>
      <w:r>
        <w:t>État au 15 septembre 2026</w:t>
      </w:r>
    </w:p>
    <w:p>
      <w:r>
        <w:t>Ce document distingue les fonctions implémentées des travaux restant à terminer. « Fait » signifie que le code existe, avec des vérifications sur les scénarios documentés ; cela ne constitue pas une validation intégrale de la V1 ou une certification de conformité. Les 71 tests correspondent à la dernière recette, et non à une nouvelle exécution réalisée pour ce document.</w:t>
      </w:r>
    </w:p>
    <w:p>
      <w:pPr>
        <w:pStyle w:val="Heading1"/>
      </w:pPr>
      <w:r>
        <w:t>1. Fait dans le backend</w:t>
      </w:r>
    </w:p>
    <w:p>
      <w:pPr>
        <w:pStyle w:val="Heading2"/>
      </w:pPr>
      <w:r>
        <w:t>Socle technique et sécurité</w:t>
      </w:r>
    </w:p>
    <w:p>
      <w:pPr>
        <w:pStyle w:val="ListBullet"/>
      </w:pPr>
      <w:r>
        <w:t>Backend NestJS en TypeScript ; PostgreSQL, PostGIS, migrations et MongoDB pour les explications du matching interne.</w:t>
      </w:r>
    </w:p>
    <w:p>
      <w:pPr>
        <w:pStyle w:val="ListBullet"/>
      </w:pPr>
      <w:r>
        <w:t>Inscription infirmier et entreprise, connexion, déconnexion, mots de passe hachés et sessions.</w:t>
      </w:r>
    </w:p>
    <w:p>
      <w:pPr>
        <w:pStyle w:val="ListBullet"/>
      </w:pPr>
      <w:r>
        <w:t>Protections Origin/CSRF, permissions et isolation entre organisations.</w:t>
      </w:r>
    </w:p>
    <w:p>
      <w:pPr>
        <w:pStyle w:val="ListBullet"/>
      </w:pPr>
      <w:r>
        <w:t>Chiffrement au repos des fichiers privés ; accès aux documents contrôlé par l’API.</w:t>
      </w:r>
    </w:p>
    <w:p>
      <w:pPr>
        <w:pStyle w:val="Heading2"/>
      </w:pPr>
      <w:r>
        <w:t>Profils, missions et candidatures</w:t>
      </w:r>
    </w:p>
    <w:p>
      <w:pPr>
        <w:pStyle w:val="ListBullet"/>
      </w:pPr>
      <w:r>
        <w:t>Profils IDE, IADE et IBODE : qualifications, compétences, expérience, disponibilités et mobilité.</w:t>
      </w:r>
    </w:p>
    <w:p>
      <w:pPr>
        <w:pStyle w:val="ListBullet"/>
      </w:pPr>
      <w:r>
        <w:t>Vérification RPPS via l’Annuaire Santé : retrouvé, introuvable ou en attente.</w:t>
      </w:r>
    </w:p>
    <w:p>
      <w:pPr>
        <w:pStyle w:val="ListBullet"/>
      </w:pPr>
      <w:r>
        <w:t>Référentiel FINESS importé et consultable.</w:t>
      </w:r>
    </w:p>
    <w:p>
      <w:pPr>
        <w:pStyle w:val="ListBullet"/>
      </w:pPr>
      <w:r>
        <w:t>Création, modification, publication, annulation, réouverture et clôture des missions.</w:t>
      </w:r>
    </w:p>
    <w:p>
      <w:pPr>
        <w:pStyle w:val="ListBullet"/>
      </w:pPr>
      <w:r>
        <w:t>Candidatures, retrait, sélection et refus ; affectation humaine par l’agence avec contrôle des conflits.</w:t>
      </w:r>
    </w:p>
    <w:p>
      <w:pPr>
        <w:pStyle w:val="ListBullet"/>
      </w:pPr>
      <w:r>
        <w:t>Favoris, historique et données des tableaux de bord.</w:t>
      </w:r>
    </w:p>
    <w:p>
      <w:pPr>
        <w:pStyle w:val="ListBullet"/>
      </w:pPr>
      <w:r>
        <w:t>Rejeu protégé contre les doublons pour les principales commandes métier.</w:t>
      </w:r>
    </w:p>
    <w:p>
      <w:pPr>
        <w:pStyle w:val="Heading2"/>
      </w:pPr>
      <w:r>
        <w:t>Matching</w:t>
      </w:r>
    </w:p>
    <w:p>
      <w:pPr>
        <w:pStyle w:val="ListBullet"/>
      </w:pPr>
      <w:r>
        <w:t>Contrôles d’admissibilité avant score : qualification, RPPS, compétences obligatoires, expérience minimale, disponibilité complète, conflits, horaires et mobilité.</w:t>
      </w:r>
    </w:p>
    <w:p>
      <w:pPr>
        <w:pStyle w:val="ListBullet"/>
      </w:pPr>
      <w:r>
        <w:t>Score interne expliqué, règles versionnées et classement des profils admissibles.</w:t>
      </w:r>
    </w:p>
    <w:p>
      <w:pPr>
        <w:pStyle w:val="ListBullet"/>
      </w:pPr>
      <w:r>
        <w:t>Pondération expérimentale : compétences souhaitées 45 %, proximité 25 %, préférence horaire 20 %, expérience pertinente 10 %.</w:t>
      </w:r>
    </w:p>
    <w:p>
      <w:pPr>
        <w:pStyle w:val="ListBullet"/>
      </w:pPr>
      <w:r>
        <w:t>Comparaison partielle des annonces externes avec le profil connecté ; distinction entre informations manquantes, indices et incompatibilités connues.</w:t>
      </w:r>
    </w:p>
    <w:p>
      <w:pPr>
        <w:pStyle w:val="ListBullet"/>
      </w:pPr>
      <w:r>
        <w:t>Option explicite permettant d’inclure des annonces incomplètes, avec indication des filtres non vérifiés.</w:t>
      </w:r>
    </w:p>
    <w:p>
      <w:pPr>
        <w:pStyle w:val="ListBullet"/>
      </w:pPr>
      <w:r>
        <w:t>Aucun score global ni disponibilité présumée pour les annonces externes.</w:t>
      </w:r>
    </w:p>
    <w:p>
      <w:pPr>
        <w:pStyle w:val="Heading2"/>
      </w:pPr>
      <w:r>
        <w:t>Données France Travail</w:t>
      </w:r>
    </w:p>
    <w:p>
      <w:pPr>
        <w:pStyle w:val="ListBullet"/>
      </w:pPr>
      <w:r>
        <w:t>Connexion réelle à l’API et recherches croisées infirmier, IDE, IADE et IBODE.</w:t>
      </w:r>
    </w:p>
    <w:p>
      <w:pPr>
        <w:pStyle w:val="ListBullet"/>
      </w:pPr>
      <w:r>
        <w:t>Nettoyage, classement prudent, dédoublonnage et conservation de la provenance.</w:t>
      </w:r>
    </w:p>
    <w:p>
      <w:pPr>
        <w:pStyle w:val="ListBullet"/>
      </w:pPr>
      <w:r>
        <w:t>Import rejouable sans doublons et alertes sur certaines incohérences potentielles.</w:t>
      </w:r>
    </w:p>
    <w:p>
      <w:pPr>
        <w:pStyle w:val="ListBullet"/>
      </w:pPr>
      <w:r>
        <w:t>Routes pour les listes, fiches et comparaisons au profil ; candidature externe par redirection.</w:t>
      </w:r>
    </w:p>
    <w:p>
      <w:pPr>
        <w:pStyle w:val="ListBullet"/>
      </w:pPr>
      <w:r>
        <w:t>Lot réel Paris vérifié : 134 annonces distinctes. Les comparaisons complémentaires utilisent des profils fictifs en mémoire.</w:t>
      </w:r>
    </w:p>
    <w:p>
      <w:pPr>
        <w:pStyle w:val="Heading2"/>
      </w:pPr>
      <w:r>
        <w:t>Notifications et n8n</w:t>
      </w:r>
    </w:p>
    <w:p>
      <w:pPr>
        <w:pStyle w:val="ListBullet"/>
      </w:pPr>
      <w:r>
        <w:t>Notifications internes consultables et marquables comme lues.</w:t>
      </w:r>
    </w:p>
    <w:p>
      <w:pPr>
        <w:pStyle w:val="ListBullet"/>
      </w:pPr>
      <w:r>
        <w:t>Trois workflows testés avec n8n local : notification de matching interne, relance de mission non pourvue et confirmation PDF après affectation.</w:t>
      </w:r>
    </w:p>
    <w:p>
      <w:pPr>
        <w:pStyle w:val="ListBullet"/>
      </w:pPr>
      <w:r>
        <w:t>Worker, événements persistés dans l’outbox, tentatives de reprise et contrôle du reçu final.</w:t>
      </w:r>
    </w:p>
    <w:p>
      <w:pPr>
        <w:pStyle w:val="ListBullet"/>
      </w:pPr>
      <w:r>
        <w:t>n8n orchestre les appels ; les règles métier et la génération PDF restent dans le backend.</w:t>
      </w:r>
    </w:p>
    <w:p>
      <w:pPr>
        <w:pStyle w:val="Heading2"/>
      </w:pPr>
      <w:r>
        <w:t>Documents, tests et sauvegardes</w:t>
      </w:r>
    </w:p>
    <w:p>
      <w:pPr>
        <w:pStyle w:val="ListBullet"/>
      </w:pPr>
      <w:r>
        <w:t>Dépôt et téléchargement autorisé de documents fictifs chiffrés ; confirmations PDF privées.</w:t>
      </w:r>
    </w:p>
    <w:p>
      <w:pPr>
        <w:pStyle w:val="ListBullet"/>
      </w:pPr>
      <w:r>
        <w:t>Tests d’altération des fichiers et de rotation des clés.</w:t>
      </w:r>
    </w:p>
    <w:p>
      <w:pPr>
        <w:pStyle w:val="ListBullet"/>
      </w:pPr>
      <w:r>
        <w:t>Sauvegardes GitHub et bundles Git vérifiés ; exercices antérieurs de restauration du code et de PostgreSQL.</w:t>
      </w:r>
    </w:p>
    <w:p>
      <w:pPr>
        <w:pStyle w:val="ListBullet"/>
      </w:pPr>
      <w:r>
        <w:t>Dernière recette : 71 tests réussis, typage et compilation validés ; couverture de 79,38 % des lignes et 84,33 % des branches.</w:t>
      </w:r>
    </w:p>
    <w:p>
      <w:pPr>
        <w:pStyle w:val="ListBullet"/>
      </w:pPr>
      <w:r>
        <w:t>Swagger/OpenAPI, README, scripts d’import, preuves et schémas disponibles.</w:t>
      </w:r>
    </w:p>
    <w:p>
      <w:r>
        <w:br w:type="page"/>
      </w:r>
    </w:p>
    <w:p>
      <w:pPr>
        <w:pStyle w:val="Heading1"/>
      </w:pPr>
      <w:r>
        <w:t>2. Reste ? faire dans le backend</w:t>
      </w:r>
    </w:p>
    <w:p>
      <w:pPr>
        <w:pStyle w:val="Heading2"/>
      </w:pPr>
      <w:r>
        <w:t>Priorité 1 — Sécurité, cadre métier et commandes sensibles</w:t>
      </w:r>
    </w:p>
    <w:p>
      <w:pPr>
        <w:pStyle w:val="ListBullet"/>
      </w:pPr>
      <w:r>
        <w:t>Configurer et vérifier HTTPS dans l’environnement livré, ainsi que la protection des échanges entre services.</w:t>
      </w:r>
    </w:p>
    <w:p>
      <w:pPr>
        <w:pStyle w:val="ListBullet"/>
      </w:pPr>
      <w:r>
        <w:t>Vérifier les droits minimaux des bases et la configuration de sécurité de l’environnement de déploiement.</w:t>
      </w:r>
    </w:p>
    <w:p>
      <w:pPr>
        <w:pStyle w:val="ListBullet"/>
      </w:pPr>
      <w:r>
        <w:t>Compléter la vérification réglementaire de l’expérience préalable applicable à l’intérim : champ d’application, équivalent temps plein, périodes retenues, profession ou spécialité et justificatifs. Le calcul actuel d’expérience déclarée ne réalise pas ce contrôle.</w:t>
      </w:r>
    </w:p>
    <w:p>
      <w:pPr>
        <w:pStyle w:val="ListBullet"/>
      </w:pPr>
      <w:r>
        <w:t>Rendre les dépôts documentaires et remplacements bancaires entièrement rejouables sans doublons, y compris après interruption.</w:t>
      </w:r>
    </w:p>
    <w:p>
      <w:pPr>
        <w:pStyle w:val="ListBullet"/>
      </w:pPr>
      <w:r>
        <w:t>Définir et appliquer les durées de conservation annoncées ; compléter la purge contrôlée des fichiers orphelins.</w:t>
      </w:r>
    </w:p>
    <w:p>
      <w:pPr>
        <w:pStyle w:val="Heading2"/>
      </w:pPr>
      <w:r>
        <w:t>Priorité 1 — Données et automatisations</w:t>
      </w:r>
    </w:p>
    <w:p>
      <w:pPr>
        <w:pStyle w:val="ListBullet"/>
      </w:pPr>
      <w:r>
        <w:t>Compléter le rafraîchissement des annonces France Travail.</w:t>
      </w:r>
    </w:p>
    <w:p>
      <w:pPr>
        <w:pStyle w:val="ListBullet"/>
      </w:pPr>
      <w:r>
        <w:t>Traiter les annonces retirées ou expirées sans assimiler une absence dans une recherche partielle à un retrait confirmé.</w:t>
      </w:r>
    </w:p>
    <w:p>
      <w:pPr>
        <w:pStyle w:val="ListBullet"/>
      </w:pPr>
      <w:r>
        <w:t>Raccorder et tester n8n Cloud si cette instance est retenue pour le rendu. La connexion locale existe déjà ; le kick-off n’impose pas l’hébergement Cloud.</w:t>
      </w:r>
    </w:p>
    <w:p>
      <w:pPr>
        <w:pStyle w:val="ListBullet"/>
      </w:pPr>
      <w:r>
        <w:t>Vérifier le démarrage automatique et la surveillance du worker sur l’environnement livré.</w:t>
      </w:r>
    </w:p>
    <w:p>
      <w:pPr>
        <w:pStyle w:val="ListBullet"/>
      </w:pPr>
      <w:r>
        <w:t>Corriger le problème d’encodage repéré dans le message de relance.</w:t>
      </w:r>
    </w:p>
    <w:p>
      <w:pPr>
        <w:pStyle w:val="Heading2"/>
      </w:pPr>
      <w:r>
        <w:t>Priorité 2 — Validation et livraison</w:t>
      </w:r>
    </w:p>
    <w:p>
      <w:pPr>
        <w:pStyle w:val="ListBullet"/>
      </w:pPr>
      <w:r>
        <w:t>Compléter la recette des routes sensibles, des permissions, des champs, des transitions et des scénarios de panne.</w:t>
      </w:r>
    </w:p>
    <w:p>
      <w:pPr>
        <w:pStyle w:val="ListBullet"/>
      </w:pPr>
      <w:r>
        <w:t>Compléter les schémas de réponses complexes OpenAPI nécessaires au frontend.</w:t>
      </w:r>
    </w:p>
    <w:p>
      <w:pPr>
        <w:pStyle w:val="ListBullet"/>
      </w:pPr>
      <w:r>
        <w:t>Tester une restauration commune de PostgreSQL, MongoDB, des fichiers, des clés et de n8n. Une sauvegarde Git ne couvre pas ces données.</w:t>
      </w:r>
    </w:p>
    <w:p>
      <w:pPr>
        <w:pStyle w:val="ListBullet"/>
      </w:pPr>
      <w:r>
        <w:t>Vérifier un démarrage reproductible du dernier état depuis une installation propre.</w:t>
      </w:r>
    </w:p>
    <w:p>
      <w:pPr>
        <w:pStyle w:val="ListBullet"/>
      </w:pPr>
      <w:r>
        <w:t>Harmoniser les anciens chiffres et statuts encore présents dans certains documents de suivi.</w:t>
      </w:r>
    </w:p>
    <w:p>
      <w:pPr>
        <w:pStyle w:val="ListBullet"/>
      </w:pPr>
      <w:r>
        <w:t>Documenter avec l’équipe les pratiques d’écoconception réellement appliquées et les éléments de conformité attendus au kick-off.</w:t>
      </w:r>
    </w:p>
    <w:p>
      <w:pPr>
        <w:pStyle w:val="ListBullet"/>
      </w:pPr>
      <w:r>
        <w:t>Réaliser la recette finale avec le frontend et préparer la démonstration des parcours critiques.</w:t>
      </w:r>
    </w:p>
    <w:p>
      <w:pPr>
        <w:pStyle w:val="Heading2"/>
      </w:pPr>
      <w:r>
        <w:t>Améliorations à poursuivre</w:t>
      </w:r>
    </w:p>
    <w:p>
      <w:pPr>
        <w:pStyle w:val="ListBullet"/>
      </w:pPr>
      <w:r>
        <w:t>Réévaluer les pondérations expérimentales du score avec les retours des professionnels et des agences.</w:t>
      </w:r>
    </w:p>
    <w:p>
      <w:pPr>
        <w:pStyle w:val="ListBullet"/>
      </w:pPr>
      <w:r>
        <w:t>Améliorer progressivement la reconnaissance des services et exigences dans les annonces externes.</w:t>
      </w:r>
    </w:p>
    <w:p>
      <w:pPr>
        <w:pStyle w:val="ListBullet"/>
      </w:pPr>
      <w:r>
        <w:t>Conserver les informations non interprétables comme inconnues ou à confirmer ; ne pas fabriquer un score complet pour pallier les données absentes.</w:t>
      </w:r>
    </w:p>
    <w:p>
      <w:pPr>
        <w:pStyle w:val="Heading1"/>
      </w:pPr>
      <w:r>
        <w:t>3. P?rim?tre frontend et canaux de notification</w:t>
      </w:r>
    </w:p>
    <w:p>
      <w:r>
        <w:t>Les cartes, formulaires, compteurs, notifications et états de matching à afficher relèvent du frontend. Leur intégration nécessite une recette commune des appels API, mais ne doit pas être présentée comme du backend restant à coder. Les notifications actuelles sont internes à InfiMatch ; aucun canal email, SMS, Slack ou Discord n’est branché. Ces canaux ne sont pas ajoutés à la V1 par ce document.</w:t>
      </w:r>
    </w:p>
    <w:p>
      <w:pPr>
        <w:pStyle w:val="Heading1"/>
      </w:pPr>
      <w:r>
        <w:t>4. Ordre de traitement conseill?</w:t>
      </w:r>
    </w:p>
    <w:p>
      <w:r>
        <w:t>Ordre conseillé : HTTPS et cadrage réglementaire ; documents rejouables et conservation ; cycle de mise à jour des offres ; raccordement de l’environnement n8n retenu ; restauration et recette finale.</w:t>
      </w:r>
    </w:p>
    <w:p>
      <w:pPr>
        <w:pStyle w:val="Heading1"/>
      </w:pPr>
      <w:r>
        <w:t>5. R?f?rences et port?e des preuves</w:t>
      </w:r>
    </w:p>
    <w:p>
      <w:r>
        <w:t>Références du dépôt : docs/proofs/verification.json ; docs/REPRISE_BACKEND_V1.md ; docs/RECETTE_BACKEND_V1.md ; docs/OFFRES_EXTERNES_V1.md ; docs/proofs/external-partial-live.json. Dernier code identifié dans la preuve de recette : 5f9db50b26638a03259d37640d1aea8e24c53e18. Les mises à jour documentaires ultérieures ne constituent pas une nouvelle exécution de tests.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InfiMatch ? Backend V1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