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916F" w14:textId="77777777" w:rsidR="0082306A" w:rsidRDefault="000A7EDA">
      <w:pPr>
        <w:keepNext/>
        <w:spacing w:before="567"/>
        <w:jc w:val="center"/>
      </w:pPr>
      <w:r>
        <w:t>InfiMatch</w:t>
      </w:r>
    </w:p>
    <w:p w14:paraId="51B61648" w14:textId="77777777" w:rsidR="0082306A" w:rsidRDefault="000A7EDA">
      <w:pPr>
        <w:spacing w:before="1587"/>
        <w:jc w:val="center"/>
      </w:pPr>
      <w:r>
        <w:rPr>
          <w:noProof/>
        </w:rPr>
        <w:drawing>
          <wp:inline distT="0" distB="0" distL="0" distR="0" wp14:anchorId="4F2292FF" wp14:editId="7C6E28EF">
            <wp:extent cx="2304000" cy="2029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04000" cy="2029713"/>
                    </a:xfrm>
                    <a:prstGeom prst="rect">
                      <a:avLst/>
                    </a:prstGeom>
                  </pic:spPr>
                </pic:pic>
              </a:graphicData>
            </a:graphic>
          </wp:inline>
        </w:drawing>
      </w:r>
    </w:p>
    <w:p w14:paraId="5181A285" w14:textId="77777777" w:rsidR="0082306A" w:rsidRDefault="000A7EDA">
      <w:pPr>
        <w:spacing w:before="2154"/>
        <w:jc w:val="center"/>
      </w:pPr>
      <w:r>
        <w:rPr>
          <w:b/>
          <w:color w:val="000000"/>
          <w:sz w:val="34"/>
        </w:rPr>
        <w:t>Groupe 12</w:t>
      </w:r>
    </w:p>
    <w:p w14:paraId="7544A466" w14:textId="77777777" w:rsidR="0082306A" w:rsidRDefault="000A7EDA">
      <w:pPr>
        <w:spacing w:after="100"/>
        <w:jc w:val="center"/>
      </w:pPr>
      <w:r>
        <w:t>Yanis Ziouani — Référent frontend</w:t>
      </w:r>
    </w:p>
    <w:p w14:paraId="6563E652" w14:textId="77777777" w:rsidR="0082306A" w:rsidRDefault="000A7EDA">
      <w:pPr>
        <w:spacing w:after="100"/>
        <w:jc w:val="center"/>
      </w:pPr>
      <w:r>
        <w:t>Yves Le Bret — Référent backend</w:t>
      </w:r>
    </w:p>
    <w:p w14:paraId="4487CF00" w14:textId="77777777" w:rsidR="0082306A" w:rsidRDefault="000A7EDA">
      <w:pPr>
        <w:spacing w:after="100"/>
        <w:jc w:val="center"/>
      </w:pPr>
      <w:r>
        <w:t>Khalil Khamma — Référent backend</w:t>
      </w:r>
    </w:p>
    <w:p w14:paraId="291D0C77" w14:textId="77777777" w:rsidR="0082306A" w:rsidRDefault="000A7EDA">
      <w:pPr>
        <w:spacing w:after="100"/>
        <w:jc w:val="center"/>
      </w:pPr>
      <w:r>
        <w:t>Aurélie Rambout — Référente automatisation et gestion de projet</w:t>
      </w:r>
    </w:p>
    <w:p w14:paraId="5A74066C" w14:textId="77777777" w:rsidR="0082306A" w:rsidRDefault="000A7EDA">
      <w:pPr>
        <w:spacing w:before="1531"/>
        <w:jc w:val="right"/>
      </w:pPr>
      <w:r>
        <w:t>Septembre 2026 — version révisée le 24 septembre</w:t>
      </w:r>
    </w:p>
    <w:p w14:paraId="30274B3B" w14:textId="77777777" w:rsidR="0082306A" w:rsidRDefault="0082306A">
      <w:pPr>
        <w:sectPr w:rsidR="0082306A">
          <w:footerReference w:type="default" r:id="rId9"/>
          <w:pgSz w:w="11906" w:h="16838"/>
          <w:pgMar w:top="907" w:right="1020" w:bottom="850" w:left="1020" w:header="720" w:footer="720" w:gutter="0"/>
          <w:cols w:space="720"/>
          <w:docGrid w:linePitch="360"/>
        </w:sectPr>
      </w:pPr>
    </w:p>
    <w:sdt>
      <w:sdtPr>
        <w:rPr>
          <w:rFonts w:ascii="Arial" w:eastAsiaTheme="minorEastAsia" w:hAnsi="Arial" w:cstheme="minorBidi"/>
          <w:b w:val="0"/>
          <w:bCs w:val="0"/>
          <w:color w:val="auto"/>
          <w:sz w:val="21"/>
          <w:szCs w:val="22"/>
          <w:lang w:val="fr-FR"/>
        </w:rPr>
        <w:id w:val="-79378776"/>
        <w:docPartObj>
          <w:docPartGallery w:val="Table of Contents"/>
          <w:docPartUnique/>
        </w:docPartObj>
      </w:sdtPr>
      <w:sdtEndPr>
        <w:rPr>
          <w:lang w:val="en-US"/>
        </w:rPr>
      </w:sdtEndPr>
      <w:sdtContent>
        <w:p w14:paraId="6E7DE2C8" w14:textId="77777777" w:rsidR="00461B1E" w:rsidRDefault="00461B1E">
          <w:pPr>
            <w:pStyle w:val="En-ttedetabledesmatires"/>
          </w:pPr>
          <w:r>
            <w:rPr>
              <w:lang w:val="fr-FR"/>
            </w:rPr>
            <w:t>Table des matières</w:t>
          </w:r>
        </w:p>
        <w:p w14:paraId="602F6F97" w14:textId="0F7D6148" w:rsidR="00624573" w:rsidRDefault="00461B1E">
          <w:pPr>
            <w:pStyle w:val="TM1"/>
            <w:tabs>
              <w:tab w:val="right" w:leader="dot" w:pos="9856"/>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41154120" w:history="1">
            <w:r w:rsidR="00624573" w:rsidRPr="0021161A">
              <w:rPr>
                <w:rStyle w:val="Lienhypertexte"/>
                <w:noProof/>
              </w:rPr>
              <w:t>Synthèse du projet</w:t>
            </w:r>
            <w:r w:rsidR="00624573">
              <w:rPr>
                <w:noProof/>
                <w:webHidden/>
              </w:rPr>
              <w:tab/>
            </w:r>
            <w:r w:rsidR="00624573">
              <w:rPr>
                <w:noProof/>
                <w:webHidden/>
              </w:rPr>
              <w:fldChar w:fldCharType="begin"/>
            </w:r>
            <w:r w:rsidR="00624573">
              <w:rPr>
                <w:noProof/>
                <w:webHidden/>
              </w:rPr>
              <w:instrText xml:space="preserve"> PAGEREF _Toc241154120 \h </w:instrText>
            </w:r>
            <w:r w:rsidR="00624573">
              <w:rPr>
                <w:noProof/>
                <w:webHidden/>
              </w:rPr>
            </w:r>
            <w:r w:rsidR="00624573">
              <w:rPr>
                <w:noProof/>
                <w:webHidden/>
              </w:rPr>
              <w:fldChar w:fldCharType="separate"/>
            </w:r>
            <w:r w:rsidR="00624573">
              <w:rPr>
                <w:noProof/>
                <w:webHidden/>
              </w:rPr>
              <w:t>3</w:t>
            </w:r>
            <w:r w:rsidR="00624573">
              <w:rPr>
                <w:noProof/>
                <w:webHidden/>
              </w:rPr>
              <w:fldChar w:fldCharType="end"/>
            </w:r>
          </w:hyperlink>
        </w:p>
        <w:p w14:paraId="16D8ED3E" w14:textId="082FCBB1"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21" w:history="1">
            <w:r w:rsidRPr="0021161A">
              <w:rPr>
                <w:rStyle w:val="Lienhypertexte"/>
                <w:noProof/>
              </w:rPr>
              <w:t>1. Accès et périmètre</w:t>
            </w:r>
            <w:r>
              <w:rPr>
                <w:noProof/>
                <w:webHidden/>
              </w:rPr>
              <w:tab/>
            </w:r>
            <w:r>
              <w:rPr>
                <w:noProof/>
                <w:webHidden/>
              </w:rPr>
              <w:fldChar w:fldCharType="begin"/>
            </w:r>
            <w:r>
              <w:rPr>
                <w:noProof/>
                <w:webHidden/>
              </w:rPr>
              <w:instrText xml:space="preserve"> PAGEREF _Toc241154121 \h </w:instrText>
            </w:r>
            <w:r>
              <w:rPr>
                <w:noProof/>
                <w:webHidden/>
              </w:rPr>
            </w:r>
            <w:r>
              <w:rPr>
                <w:noProof/>
                <w:webHidden/>
              </w:rPr>
              <w:fldChar w:fldCharType="separate"/>
            </w:r>
            <w:r>
              <w:rPr>
                <w:noProof/>
                <w:webHidden/>
              </w:rPr>
              <w:t>3</w:t>
            </w:r>
            <w:r>
              <w:rPr>
                <w:noProof/>
                <w:webHidden/>
              </w:rPr>
              <w:fldChar w:fldCharType="end"/>
            </w:r>
          </w:hyperlink>
        </w:p>
        <w:p w14:paraId="1B1220E4" w14:textId="76039EF0"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22" w:history="1">
            <w:r w:rsidRPr="0021161A">
              <w:rPr>
                <w:rStyle w:val="Lienhypertexte"/>
                <w:noProof/>
              </w:rPr>
              <w:t>2. Choix du secteur</w:t>
            </w:r>
            <w:r>
              <w:rPr>
                <w:noProof/>
                <w:webHidden/>
              </w:rPr>
              <w:tab/>
            </w:r>
            <w:r>
              <w:rPr>
                <w:noProof/>
                <w:webHidden/>
              </w:rPr>
              <w:fldChar w:fldCharType="begin"/>
            </w:r>
            <w:r>
              <w:rPr>
                <w:noProof/>
                <w:webHidden/>
              </w:rPr>
              <w:instrText xml:space="preserve"> PAGEREF _Toc241154122 \h </w:instrText>
            </w:r>
            <w:r>
              <w:rPr>
                <w:noProof/>
                <w:webHidden/>
              </w:rPr>
            </w:r>
            <w:r>
              <w:rPr>
                <w:noProof/>
                <w:webHidden/>
              </w:rPr>
              <w:fldChar w:fldCharType="separate"/>
            </w:r>
            <w:r>
              <w:rPr>
                <w:noProof/>
                <w:webHidden/>
              </w:rPr>
              <w:t>3</w:t>
            </w:r>
            <w:r>
              <w:rPr>
                <w:noProof/>
                <w:webHidden/>
              </w:rPr>
              <w:fldChar w:fldCharType="end"/>
            </w:r>
          </w:hyperlink>
        </w:p>
        <w:p w14:paraId="21849B9A" w14:textId="73F05AF8"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23" w:history="1">
            <w:r w:rsidRPr="0021161A">
              <w:rPr>
                <w:rStyle w:val="Lienhypertexte"/>
                <w:noProof/>
              </w:rPr>
              <w:t>Contexte réglementaire</w:t>
            </w:r>
            <w:r>
              <w:rPr>
                <w:noProof/>
                <w:webHidden/>
              </w:rPr>
              <w:tab/>
            </w:r>
            <w:r>
              <w:rPr>
                <w:noProof/>
                <w:webHidden/>
              </w:rPr>
              <w:fldChar w:fldCharType="begin"/>
            </w:r>
            <w:r>
              <w:rPr>
                <w:noProof/>
                <w:webHidden/>
              </w:rPr>
              <w:instrText xml:space="preserve"> PAGEREF _Toc241154123 \h </w:instrText>
            </w:r>
            <w:r>
              <w:rPr>
                <w:noProof/>
                <w:webHidden/>
              </w:rPr>
            </w:r>
            <w:r>
              <w:rPr>
                <w:noProof/>
                <w:webHidden/>
              </w:rPr>
              <w:fldChar w:fldCharType="separate"/>
            </w:r>
            <w:r>
              <w:rPr>
                <w:noProof/>
                <w:webHidden/>
              </w:rPr>
              <w:t>3</w:t>
            </w:r>
            <w:r>
              <w:rPr>
                <w:noProof/>
                <w:webHidden/>
              </w:rPr>
              <w:fldChar w:fldCharType="end"/>
            </w:r>
          </w:hyperlink>
        </w:p>
        <w:p w14:paraId="77523570" w14:textId="0F543A52"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24" w:history="1">
            <w:r w:rsidRPr="0021161A">
              <w:rPr>
                <w:rStyle w:val="Lienhypertexte"/>
                <w:noProof/>
              </w:rPr>
              <w:t>3. Étude du marché</w:t>
            </w:r>
            <w:r>
              <w:rPr>
                <w:noProof/>
                <w:webHidden/>
              </w:rPr>
              <w:tab/>
            </w:r>
            <w:r>
              <w:rPr>
                <w:noProof/>
                <w:webHidden/>
              </w:rPr>
              <w:fldChar w:fldCharType="begin"/>
            </w:r>
            <w:r>
              <w:rPr>
                <w:noProof/>
                <w:webHidden/>
              </w:rPr>
              <w:instrText xml:space="preserve"> PAGEREF _Toc241154124 \h </w:instrText>
            </w:r>
            <w:r>
              <w:rPr>
                <w:noProof/>
                <w:webHidden/>
              </w:rPr>
            </w:r>
            <w:r>
              <w:rPr>
                <w:noProof/>
                <w:webHidden/>
              </w:rPr>
              <w:fldChar w:fldCharType="separate"/>
            </w:r>
            <w:r>
              <w:rPr>
                <w:noProof/>
                <w:webHidden/>
              </w:rPr>
              <w:t>4</w:t>
            </w:r>
            <w:r>
              <w:rPr>
                <w:noProof/>
                <w:webHidden/>
              </w:rPr>
              <w:fldChar w:fldCharType="end"/>
            </w:r>
          </w:hyperlink>
        </w:p>
        <w:p w14:paraId="27D9095E" w14:textId="2938F805"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25" w:history="1">
            <w:r w:rsidRPr="0021161A">
              <w:rPr>
                <w:rStyle w:val="Lienhypertexte"/>
                <w:noProof/>
              </w:rPr>
              <w:t>3.1 Taille et tension du marché</w:t>
            </w:r>
            <w:r>
              <w:rPr>
                <w:noProof/>
                <w:webHidden/>
              </w:rPr>
              <w:tab/>
            </w:r>
            <w:r>
              <w:rPr>
                <w:noProof/>
                <w:webHidden/>
              </w:rPr>
              <w:fldChar w:fldCharType="begin"/>
            </w:r>
            <w:r>
              <w:rPr>
                <w:noProof/>
                <w:webHidden/>
              </w:rPr>
              <w:instrText xml:space="preserve"> PAGEREF _Toc241154125 \h </w:instrText>
            </w:r>
            <w:r>
              <w:rPr>
                <w:noProof/>
                <w:webHidden/>
              </w:rPr>
            </w:r>
            <w:r>
              <w:rPr>
                <w:noProof/>
                <w:webHidden/>
              </w:rPr>
              <w:fldChar w:fldCharType="separate"/>
            </w:r>
            <w:r>
              <w:rPr>
                <w:noProof/>
                <w:webHidden/>
              </w:rPr>
              <w:t>4</w:t>
            </w:r>
            <w:r>
              <w:rPr>
                <w:noProof/>
                <w:webHidden/>
              </w:rPr>
              <w:fldChar w:fldCharType="end"/>
            </w:r>
          </w:hyperlink>
        </w:p>
        <w:p w14:paraId="4C492268" w14:textId="6657C5F4"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26" w:history="1">
            <w:r w:rsidRPr="0021161A">
              <w:rPr>
                <w:rStyle w:val="Lienhypertexte"/>
                <w:noProof/>
              </w:rPr>
              <w:t>3.2 Segment ciblé et modèle économique</w:t>
            </w:r>
            <w:r>
              <w:rPr>
                <w:noProof/>
                <w:webHidden/>
              </w:rPr>
              <w:tab/>
            </w:r>
            <w:r>
              <w:rPr>
                <w:noProof/>
                <w:webHidden/>
              </w:rPr>
              <w:fldChar w:fldCharType="begin"/>
            </w:r>
            <w:r>
              <w:rPr>
                <w:noProof/>
                <w:webHidden/>
              </w:rPr>
              <w:instrText xml:space="preserve"> PAGEREF _Toc241154126 \h </w:instrText>
            </w:r>
            <w:r>
              <w:rPr>
                <w:noProof/>
                <w:webHidden/>
              </w:rPr>
            </w:r>
            <w:r>
              <w:rPr>
                <w:noProof/>
                <w:webHidden/>
              </w:rPr>
              <w:fldChar w:fldCharType="separate"/>
            </w:r>
            <w:r>
              <w:rPr>
                <w:noProof/>
                <w:webHidden/>
              </w:rPr>
              <w:t>4</w:t>
            </w:r>
            <w:r>
              <w:rPr>
                <w:noProof/>
                <w:webHidden/>
              </w:rPr>
              <w:fldChar w:fldCharType="end"/>
            </w:r>
          </w:hyperlink>
        </w:p>
        <w:p w14:paraId="2CB9BFA8" w14:textId="78BB5AB7"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27" w:history="1">
            <w:r w:rsidRPr="0021161A">
              <w:rPr>
                <w:rStyle w:val="Lienhypertexte"/>
                <w:noProof/>
              </w:rPr>
              <w:t>3.3 Concurrence et différenciation</w:t>
            </w:r>
            <w:r>
              <w:rPr>
                <w:noProof/>
                <w:webHidden/>
              </w:rPr>
              <w:tab/>
            </w:r>
            <w:r>
              <w:rPr>
                <w:noProof/>
                <w:webHidden/>
              </w:rPr>
              <w:fldChar w:fldCharType="begin"/>
            </w:r>
            <w:r>
              <w:rPr>
                <w:noProof/>
                <w:webHidden/>
              </w:rPr>
              <w:instrText xml:space="preserve"> PAGEREF _Toc241154127 \h </w:instrText>
            </w:r>
            <w:r>
              <w:rPr>
                <w:noProof/>
                <w:webHidden/>
              </w:rPr>
            </w:r>
            <w:r>
              <w:rPr>
                <w:noProof/>
                <w:webHidden/>
              </w:rPr>
              <w:fldChar w:fldCharType="separate"/>
            </w:r>
            <w:r>
              <w:rPr>
                <w:noProof/>
                <w:webHidden/>
              </w:rPr>
              <w:t>4</w:t>
            </w:r>
            <w:r>
              <w:rPr>
                <w:noProof/>
                <w:webHidden/>
              </w:rPr>
              <w:fldChar w:fldCharType="end"/>
            </w:r>
          </w:hyperlink>
        </w:p>
        <w:p w14:paraId="6CFA5BA2" w14:textId="3CF3BF87"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28" w:history="1">
            <w:r w:rsidRPr="0021161A">
              <w:rPr>
                <w:rStyle w:val="Lienhypertexte"/>
                <w:noProof/>
              </w:rPr>
              <w:t>4. Source de données publique</w:t>
            </w:r>
            <w:r>
              <w:rPr>
                <w:noProof/>
                <w:webHidden/>
              </w:rPr>
              <w:tab/>
            </w:r>
            <w:r>
              <w:rPr>
                <w:noProof/>
                <w:webHidden/>
              </w:rPr>
              <w:fldChar w:fldCharType="begin"/>
            </w:r>
            <w:r>
              <w:rPr>
                <w:noProof/>
                <w:webHidden/>
              </w:rPr>
              <w:instrText xml:space="preserve"> PAGEREF _Toc241154128 \h </w:instrText>
            </w:r>
            <w:r>
              <w:rPr>
                <w:noProof/>
                <w:webHidden/>
              </w:rPr>
            </w:r>
            <w:r>
              <w:rPr>
                <w:noProof/>
                <w:webHidden/>
              </w:rPr>
              <w:fldChar w:fldCharType="separate"/>
            </w:r>
            <w:r>
              <w:rPr>
                <w:noProof/>
                <w:webHidden/>
              </w:rPr>
              <w:t>5</w:t>
            </w:r>
            <w:r>
              <w:rPr>
                <w:noProof/>
                <w:webHidden/>
              </w:rPr>
              <w:fldChar w:fldCharType="end"/>
            </w:r>
          </w:hyperlink>
        </w:p>
        <w:p w14:paraId="5B9A3A41" w14:textId="311E78CC"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29" w:history="1">
            <w:r w:rsidRPr="0021161A">
              <w:rPr>
                <w:rStyle w:val="Lienhypertexte"/>
                <w:noProof/>
              </w:rPr>
              <w:t>5. Proposition de valeur</w:t>
            </w:r>
            <w:r>
              <w:rPr>
                <w:noProof/>
                <w:webHidden/>
              </w:rPr>
              <w:tab/>
            </w:r>
            <w:r>
              <w:rPr>
                <w:noProof/>
                <w:webHidden/>
              </w:rPr>
              <w:fldChar w:fldCharType="begin"/>
            </w:r>
            <w:r>
              <w:rPr>
                <w:noProof/>
                <w:webHidden/>
              </w:rPr>
              <w:instrText xml:space="preserve"> PAGEREF _Toc241154129 \h </w:instrText>
            </w:r>
            <w:r>
              <w:rPr>
                <w:noProof/>
                <w:webHidden/>
              </w:rPr>
            </w:r>
            <w:r>
              <w:rPr>
                <w:noProof/>
                <w:webHidden/>
              </w:rPr>
              <w:fldChar w:fldCharType="separate"/>
            </w:r>
            <w:r>
              <w:rPr>
                <w:noProof/>
                <w:webHidden/>
              </w:rPr>
              <w:t>5</w:t>
            </w:r>
            <w:r>
              <w:rPr>
                <w:noProof/>
                <w:webHidden/>
              </w:rPr>
              <w:fldChar w:fldCharType="end"/>
            </w:r>
          </w:hyperlink>
        </w:p>
        <w:p w14:paraId="46B9B8BD" w14:textId="03B38F13"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30" w:history="1">
            <w:r w:rsidRPr="0021161A">
              <w:rPr>
                <w:rStyle w:val="Lienhypertexte"/>
                <w:noProof/>
              </w:rPr>
              <w:t>Logique de matching</w:t>
            </w:r>
            <w:r>
              <w:rPr>
                <w:noProof/>
                <w:webHidden/>
              </w:rPr>
              <w:tab/>
            </w:r>
            <w:r>
              <w:rPr>
                <w:noProof/>
                <w:webHidden/>
              </w:rPr>
              <w:fldChar w:fldCharType="begin"/>
            </w:r>
            <w:r>
              <w:rPr>
                <w:noProof/>
                <w:webHidden/>
              </w:rPr>
              <w:instrText xml:space="preserve"> PAGEREF _Toc241154130 \h </w:instrText>
            </w:r>
            <w:r>
              <w:rPr>
                <w:noProof/>
                <w:webHidden/>
              </w:rPr>
            </w:r>
            <w:r>
              <w:rPr>
                <w:noProof/>
                <w:webHidden/>
              </w:rPr>
              <w:fldChar w:fldCharType="separate"/>
            </w:r>
            <w:r>
              <w:rPr>
                <w:noProof/>
                <w:webHidden/>
              </w:rPr>
              <w:t>5</w:t>
            </w:r>
            <w:r>
              <w:rPr>
                <w:noProof/>
                <w:webHidden/>
              </w:rPr>
              <w:fldChar w:fldCharType="end"/>
            </w:r>
          </w:hyperlink>
        </w:p>
        <w:p w14:paraId="5DF0FE6E" w14:textId="66BE8D6D"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31" w:history="1">
            <w:r w:rsidRPr="0021161A">
              <w:rPr>
                <w:rStyle w:val="Lienhypertexte"/>
                <w:noProof/>
              </w:rPr>
              <w:t>6. Matrice MoSCoW des fonctionnalités</w:t>
            </w:r>
            <w:r>
              <w:rPr>
                <w:noProof/>
                <w:webHidden/>
              </w:rPr>
              <w:tab/>
            </w:r>
            <w:r>
              <w:rPr>
                <w:noProof/>
                <w:webHidden/>
              </w:rPr>
              <w:fldChar w:fldCharType="begin"/>
            </w:r>
            <w:r>
              <w:rPr>
                <w:noProof/>
                <w:webHidden/>
              </w:rPr>
              <w:instrText xml:space="preserve"> PAGEREF _Toc241154131 \h </w:instrText>
            </w:r>
            <w:r>
              <w:rPr>
                <w:noProof/>
                <w:webHidden/>
              </w:rPr>
            </w:r>
            <w:r>
              <w:rPr>
                <w:noProof/>
                <w:webHidden/>
              </w:rPr>
              <w:fldChar w:fldCharType="separate"/>
            </w:r>
            <w:r>
              <w:rPr>
                <w:noProof/>
                <w:webHidden/>
              </w:rPr>
              <w:t>6</w:t>
            </w:r>
            <w:r>
              <w:rPr>
                <w:noProof/>
                <w:webHidden/>
              </w:rPr>
              <w:fldChar w:fldCharType="end"/>
            </w:r>
          </w:hyperlink>
        </w:p>
        <w:p w14:paraId="015D9EA7" w14:textId="5B74E829"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32" w:history="1">
            <w:r w:rsidRPr="0021161A">
              <w:rPr>
                <w:rStyle w:val="Lienhypertexte"/>
                <w:noProof/>
              </w:rPr>
              <w:t>7. Chiffrage estimé et comparaison au réel</w:t>
            </w:r>
            <w:r>
              <w:rPr>
                <w:noProof/>
                <w:webHidden/>
              </w:rPr>
              <w:tab/>
            </w:r>
            <w:r>
              <w:rPr>
                <w:noProof/>
                <w:webHidden/>
              </w:rPr>
              <w:fldChar w:fldCharType="begin"/>
            </w:r>
            <w:r>
              <w:rPr>
                <w:noProof/>
                <w:webHidden/>
              </w:rPr>
              <w:instrText xml:space="preserve"> PAGEREF _Toc241154132 \h </w:instrText>
            </w:r>
            <w:r>
              <w:rPr>
                <w:noProof/>
                <w:webHidden/>
              </w:rPr>
            </w:r>
            <w:r>
              <w:rPr>
                <w:noProof/>
                <w:webHidden/>
              </w:rPr>
              <w:fldChar w:fldCharType="separate"/>
            </w:r>
            <w:r>
              <w:rPr>
                <w:noProof/>
                <w:webHidden/>
              </w:rPr>
              <w:t>6</w:t>
            </w:r>
            <w:r>
              <w:rPr>
                <w:noProof/>
                <w:webHidden/>
              </w:rPr>
              <w:fldChar w:fldCharType="end"/>
            </w:r>
          </w:hyperlink>
        </w:p>
        <w:p w14:paraId="7F9C143A" w14:textId="7C8FC107"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33" w:history="1">
            <w:r w:rsidRPr="0021161A">
              <w:rPr>
                <w:rStyle w:val="Lienhypertexte"/>
                <w:noProof/>
              </w:rPr>
              <w:t>Analyse du travail déclaré</w:t>
            </w:r>
            <w:r>
              <w:rPr>
                <w:noProof/>
                <w:webHidden/>
              </w:rPr>
              <w:tab/>
            </w:r>
            <w:r>
              <w:rPr>
                <w:noProof/>
                <w:webHidden/>
              </w:rPr>
              <w:fldChar w:fldCharType="begin"/>
            </w:r>
            <w:r>
              <w:rPr>
                <w:noProof/>
                <w:webHidden/>
              </w:rPr>
              <w:instrText xml:space="preserve"> PAGEREF _Toc241154133 \h </w:instrText>
            </w:r>
            <w:r>
              <w:rPr>
                <w:noProof/>
                <w:webHidden/>
              </w:rPr>
            </w:r>
            <w:r>
              <w:rPr>
                <w:noProof/>
                <w:webHidden/>
              </w:rPr>
              <w:fldChar w:fldCharType="separate"/>
            </w:r>
            <w:r>
              <w:rPr>
                <w:noProof/>
                <w:webHidden/>
              </w:rPr>
              <w:t>6</w:t>
            </w:r>
            <w:r>
              <w:rPr>
                <w:noProof/>
                <w:webHidden/>
              </w:rPr>
              <w:fldChar w:fldCharType="end"/>
            </w:r>
          </w:hyperlink>
        </w:p>
        <w:p w14:paraId="21C0F1AE" w14:textId="744480AA"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34" w:history="1">
            <w:r w:rsidRPr="0021161A">
              <w:rPr>
                <w:rStyle w:val="Lienhypertexte"/>
                <w:noProof/>
              </w:rPr>
              <w:t>8. Roadmap initiale</w:t>
            </w:r>
            <w:r>
              <w:rPr>
                <w:noProof/>
                <w:webHidden/>
              </w:rPr>
              <w:tab/>
            </w:r>
            <w:r>
              <w:rPr>
                <w:noProof/>
                <w:webHidden/>
              </w:rPr>
              <w:fldChar w:fldCharType="begin"/>
            </w:r>
            <w:r>
              <w:rPr>
                <w:noProof/>
                <w:webHidden/>
              </w:rPr>
              <w:instrText xml:space="preserve"> PAGEREF _Toc241154134 \h </w:instrText>
            </w:r>
            <w:r>
              <w:rPr>
                <w:noProof/>
                <w:webHidden/>
              </w:rPr>
            </w:r>
            <w:r>
              <w:rPr>
                <w:noProof/>
                <w:webHidden/>
              </w:rPr>
              <w:fldChar w:fldCharType="separate"/>
            </w:r>
            <w:r>
              <w:rPr>
                <w:noProof/>
                <w:webHidden/>
              </w:rPr>
              <w:t>8</w:t>
            </w:r>
            <w:r>
              <w:rPr>
                <w:noProof/>
                <w:webHidden/>
              </w:rPr>
              <w:fldChar w:fldCharType="end"/>
            </w:r>
          </w:hyperlink>
        </w:p>
        <w:p w14:paraId="020461ED" w14:textId="069BAFE2"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35" w:history="1">
            <w:r w:rsidRPr="0021161A">
              <w:rPr>
                <w:rStyle w:val="Lienhypertexte"/>
                <w:noProof/>
              </w:rPr>
              <w:t>9. Justification du backend et des bases de données</w:t>
            </w:r>
            <w:r>
              <w:rPr>
                <w:noProof/>
                <w:webHidden/>
              </w:rPr>
              <w:tab/>
            </w:r>
            <w:r>
              <w:rPr>
                <w:noProof/>
                <w:webHidden/>
              </w:rPr>
              <w:fldChar w:fldCharType="begin"/>
            </w:r>
            <w:r>
              <w:rPr>
                <w:noProof/>
                <w:webHidden/>
              </w:rPr>
              <w:instrText xml:space="preserve"> PAGEREF _Toc241154135 \h </w:instrText>
            </w:r>
            <w:r>
              <w:rPr>
                <w:noProof/>
                <w:webHidden/>
              </w:rPr>
            </w:r>
            <w:r>
              <w:rPr>
                <w:noProof/>
                <w:webHidden/>
              </w:rPr>
              <w:fldChar w:fldCharType="separate"/>
            </w:r>
            <w:r>
              <w:rPr>
                <w:noProof/>
                <w:webHidden/>
              </w:rPr>
              <w:t>8</w:t>
            </w:r>
            <w:r>
              <w:rPr>
                <w:noProof/>
                <w:webHidden/>
              </w:rPr>
              <w:fldChar w:fldCharType="end"/>
            </w:r>
          </w:hyperlink>
        </w:p>
        <w:p w14:paraId="7D2D8009" w14:textId="18562FAA"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36" w:history="1">
            <w:r w:rsidRPr="0021161A">
              <w:rPr>
                <w:rStyle w:val="Lienhypertexte"/>
                <w:noProof/>
              </w:rPr>
              <w:t>9.1 Backend</w:t>
            </w:r>
            <w:r>
              <w:rPr>
                <w:noProof/>
                <w:webHidden/>
              </w:rPr>
              <w:tab/>
            </w:r>
            <w:r>
              <w:rPr>
                <w:noProof/>
                <w:webHidden/>
              </w:rPr>
              <w:fldChar w:fldCharType="begin"/>
            </w:r>
            <w:r>
              <w:rPr>
                <w:noProof/>
                <w:webHidden/>
              </w:rPr>
              <w:instrText xml:space="preserve"> PAGEREF _Toc241154136 \h </w:instrText>
            </w:r>
            <w:r>
              <w:rPr>
                <w:noProof/>
                <w:webHidden/>
              </w:rPr>
            </w:r>
            <w:r>
              <w:rPr>
                <w:noProof/>
                <w:webHidden/>
              </w:rPr>
              <w:fldChar w:fldCharType="separate"/>
            </w:r>
            <w:r>
              <w:rPr>
                <w:noProof/>
                <w:webHidden/>
              </w:rPr>
              <w:t>8</w:t>
            </w:r>
            <w:r>
              <w:rPr>
                <w:noProof/>
                <w:webHidden/>
              </w:rPr>
              <w:fldChar w:fldCharType="end"/>
            </w:r>
          </w:hyperlink>
        </w:p>
        <w:p w14:paraId="5595C94A" w14:textId="70ADF7A4" w:rsidR="00624573" w:rsidRDefault="00624573">
          <w:pPr>
            <w:pStyle w:val="TM2"/>
            <w:tabs>
              <w:tab w:val="right" w:leader="dot" w:pos="9856"/>
            </w:tabs>
            <w:rPr>
              <w:rFonts w:asciiTheme="minorHAnsi" w:hAnsiTheme="minorHAnsi"/>
              <w:noProof/>
              <w:kern w:val="2"/>
              <w:sz w:val="24"/>
              <w:szCs w:val="24"/>
              <w:lang w:val="fr-FR" w:eastAsia="fr-FR"/>
              <w14:ligatures w14:val="standardContextual"/>
            </w:rPr>
          </w:pPr>
          <w:hyperlink w:anchor="_Toc241154137" w:history="1">
            <w:r w:rsidRPr="0021161A">
              <w:rPr>
                <w:rStyle w:val="Lienhypertexte"/>
                <w:noProof/>
              </w:rPr>
              <w:t>9.2 Bases de données</w:t>
            </w:r>
            <w:r>
              <w:rPr>
                <w:noProof/>
                <w:webHidden/>
              </w:rPr>
              <w:tab/>
            </w:r>
            <w:r>
              <w:rPr>
                <w:noProof/>
                <w:webHidden/>
              </w:rPr>
              <w:fldChar w:fldCharType="begin"/>
            </w:r>
            <w:r>
              <w:rPr>
                <w:noProof/>
                <w:webHidden/>
              </w:rPr>
              <w:instrText xml:space="preserve"> PAGEREF _Toc241154137 \h </w:instrText>
            </w:r>
            <w:r>
              <w:rPr>
                <w:noProof/>
                <w:webHidden/>
              </w:rPr>
            </w:r>
            <w:r>
              <w:rPr>
                <w:noProof/>
                <w:webHidden/>
              </w:rPr>
              <w:fldChar w:fldCharType="separate"/>
            </w:r>
            <w:r>
              <w:rPr>
                <w:noProof/>
                <w:webHidden/>
              </w:rPr>
              <w:t>8</w:t>
            </w:r>
            <w:r>
              <w:rPr>
                <w:noProof/>
                <w:webHidden/>
              </w:rPr>
              <w:fldChar w:fldCharType="end"/>
            </w:r>
          </w:hyperlink>
        </w:p>
        <w:p w14:paraId="6E57FB90" w14:textId="3C86C120"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38" w:history="1">
            <w:r w:rsidRPr="0021161A">
              <w:rPr>
                <w:rStyle w:val="Lienhypertexte"/>
                <w:noProof/>
              </w:rPr>
              <w:t>10. Écoconception RGESN</w:t>
            </w:r>
            <w:r>
              <w:rPr>
                <w:noProof/>
                <w:webHidden/>
              </w:rPr>
              <w:tab/>
            </w:r>
            <w:r>
              <w:rPr>
                <w:noProof/>
                <w:webHidden/>
              </w:rPr>
              <w:fldChar w:fldCharType="begin"/>
            </w:r>
            <w:r>
              <w:rPr>
                <w:noProof/>
                <w:webHidden/>
              </w:rPr>
              <w:instrText xml:space="preserve"> PAGEREF _Toc241154138 \h </w:instrText>
            </w:r>
            <w:r>
              <w:rPr>
                <w:noProof/>
                <w:webHidden/>
              </w:rPr>
            </w:r>
            <w:r>
              <w:rPr>
                <w:noProof/>
                <w:webHidden/>
              </w:rPr>
              <w:fldChar w:fldCharType="separate"/>
            </w:r>
            <w:r>
              <w:rPr>
                <w:noProof/>
                <w:webHidden/>
              </w:rPr>
              <w:t>9</w:t>
            </w:r>
            <w:r>
              <w:rPr>
                <w:noProof/>
                <w:webHidden/>
              </w:rPr>
              <w:fldChar w:fldCharType="end"/>
            </w:r>
          </w:hyperlink>
        </w:p>
        <w:p w14:paraId="405AC1CB" w14:textId="0FAC4847"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39" w:history="1">
            <w:r w:rsidRPr="0021161A">
              <w:rPr>
                <w:rStyle w:val="Lienhypertexte"/>
                <w:noProof/>
              </w:rPr>
              <w:t>11. Accessibilité — RGAA</w:t>
            </w:r>
            <w:r>
              <w:rPr>
                <w:noProof/>
                <w:webHidden/>
              </w:rPr>
              <w:tab/>
            </w:r>
            <w:r>
              <w:rPr>
                <w:noProof/>
                <w:webHidden/>
              </w:rPr>
              <w:fldChar w:fldCharType="begin"/>
            </w:r>
            <w:r>
              <w:rPr>
                <w:noProof/>
                <w:webHidden/>
              </w:rPr>
              <w:instrText xml:space="preserve"> PAGEREF _Toc241154139 \h </w:instrText>
            </w:r>
            <w:r>
              <w:rPr>
                <w:noProof/>
                <w:webHidden/>
              </w:rPr>
            </w:r>
            <w:r>
              <w:rPr>
                <w:noProof/>
                <w:webHidden/>
              </w:rPr>
              <w:fldChar w:fldCharType="separate"/>
            </w:r>
            <w:r>
              <w:rPr>
                <w:noProof/>
                <w:webHidden/>
              </w:rPr>
              <w:t>9</w:t>
            </w:r>
            <w:r>
              <w:rPr>
                <w:noProof/>
                <w:webHidden/>
              </w:rPr>
              <w:fldChar w:fldCharType="end"/>
            </w:r>
          </w:hyperlink>
        </w:p>
        <w:p w14:paraId="74C95399" w14:textId="218C245E"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40" w:history="1">
            <w:r w:rsidRPr="0021161A">
              <w:rPr>
                <w:rStyle w:val="Lienhypertexte"/>
                <w:noProof/>
              </w:rPr>
              <w:t>12. SEO</w:t>
            </w:r>
            <w:r>
              <w:rPr>
                <w:noProof/>
                <w:webHidden/>
              </w:rPr>
              <w:tab/>
            </w:r>
            <w:r>
              <w:rPr>
                <w:noProof/>
                <w:webHidden/>
              </w:rPr>
              <w:fldChar w:fldCharType="begin"/>
            </w:r>
            <w:r>
              <w:rPr>
                <w:noProof/>
                <w:webHidden/>
              </w:rPr>
              <w:instrText xml:space="preserve"> PAGEREF _Toc241154140 \h </w:instrText>
            </w:r>
            <w:r>
              <w:rPr>
                <w:noProof/>
                <w:webHidden/>
              </w:rPr>
            </w:r>
            <w:r>
              <w:rPr>
                <w:noProof/>
                <w:webHidden/>
              </w:rPr>
              <w:fldChar w:fldCharType="separate"/>
            </w:r>
            <w:r>
              <w:rPr>
                <w:noProof/>
                <w:webHidden/>
              </w:rPr>
              <w:t>9</w:t>
            </w:r>
            <w:r>
              <w:rPr>
                <w:noProof/>
                <w:webHidden/>
              </w:rPr>
              <w:fldChar w:fldCharType="end"/>
            </w:r>
          </w:hyperlink>
        </w:p>
        <w:p w14:paraId="6A990007" w14:textId="1C4B7B82"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41" w:history="1">
            <w:r w:rsidRPr="0021161A">
              <w:rPr>
                <w:rStyle w:val="Lienhypertexte"/>
                <w:noProof/>
              </w:rPr>
              <w:t>13. Automatisations</w:t>
            </w:r>
            <w:r>
              <w:rPr>
                <w:noProof/>
                <w:webHidden/>
              </w:rPr>
              <w:tab/>
            </w:r>
            <w:r>
              <w:rPr>
                <w:noProof/>
                <w:webHidden/>
              </w:rPr>
              <w:fldChar w:fldCharType="begin"/>
            </w:r>
            <w:r>
              <w:rPr>
                <w:noProof/>
                <w:webHidden/>
              </w:rPr>
              <w:instrText xml:space="preserve"> PAGEREF _Toc241154141 \h </w:instrText>
            </w:r>
            <w:r>
              <w:rPr>
                <w:noProof/>
                <w:webHidden/>
              </w:rPr>
            </w:r>
            <w:r>
              <w:rPr>
                <w:noProof/>
                <w:webHidden/>
              </w:rPr>
              <w:fldChar w:fldCharType="separate"/>
            </w:r>
            <w:r>
              <w:rPr>
                <w:noProof/>
                <w:webHidden/>
              </w:rPr>
              <w:t>10</w:t>
            </w:r>
            <w:r>
              <w:rPr>
                <w:noProof/>
                <w:webHidden/>
              </w:rPr>
              <w:fldChar w:fldCharType="end"/>
            </w:r>
          </w:hyperlink>
        </w:p>
        <w:p w14:paraId="0AA2F8AB" w14:textId="750C598C"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42" w:history="1">
            <w:r w:rsidRPr="0021161A">
              <w:rPr>
                <w:rStyle w:val="Lienhypertexte"/>
                <w:noProof/>
              </w:rPr>
              <w:t>14. Tests et preuves</w:t>
            </w:r>
            <w:r>
              <w:rPr>
                <w:noProof/>
                <w:webHidden/>
              </w:rPr>
              <w:tab/>
            </w:r>
            <w:r>
              <w:rPr>
                <w:noProof/>
                <w:webHidden/>
              </w:rPr>
              <w:fldChar w:fldCharType="begin"/>
            </w:r>
            <w:r>
              <w:rPr>
                <w:noProof/>
                <w:webHidden/>
              </w:rPr>
              <w:instrText xml:space="preserve"> PAGEREF _Toc241154142 \h </w:instrText>
            </w:r>
            <w:r>
              <w:rPr>
                <w:noProof/>
                <w:webHidden/>
              </w:rPr>
            </w:r>
            <w:r>
              <w:rPr>
                <w:noProof/>
                <w:webHidden/>
              </w:rPr>
              <w:fldChar w:fldCharType="separate"/>
            </w:r>
            <w:r>
              <w:rPr>
                <w:noProof/>
                <w:webHidden/>
              </w:rPr>
              <w:t>10</w:t>
            </w:r>
            <w:r>
              <w:rPr>
                <w:noProof/>
                <w:webHidden/>
              </w:rPr>
              <w:fldChar w:fldCharType="end"/>
            </w:r>
          </w:hyperlink>
        </w:p>
        <w:p w14:paraId="292A6FB8" w14:textId="6CDF69D5"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43" w:history="1">
            <w:r w:rsidRPr="0021161A">
              <w:rPr>
                <w:rStyle w:val="Lienhypertexte"/>
                <w:noProof/>
              </w:rPr>
              <w:t>Complément — relances après migration n8n</w:t>
            </w:r>
            <w:r>
              <w:rPr>
                <w:noProof/>
                <w:webHidden/>
              </w:rPr>
              <w:tab/>
            </w:r>
            <w:r>
              <w:rPr>
                <w:noProof/>
                <w:webHidden/>
              </w:rPr>
              <w:fldChar w:fldCharType="begin"/>
            </w:r>
            <w:r>
              <w:rPr>
                <w:noProof/>
                <w:webHidden/>
              </w:rPr>
              <w:instrText xml:space="preserve"> PAGEREF _Toc241154143 \h </w:instrText>
            </w:r>
            <w:r>
              <w:rPr>
                <w:noProof/>
                <w:webHidden/>
              </w:rPr>
            </w:r>
            <w:r>
              <w:rPr>
                <w:noProof/>
                <w:webHidden/>
              </w:rPr>
              <w:fldChar w:fldCharType="separate"/>
            </w:r>
            <w:r>
              <w:rPr>
                <w:noProof/>
                <w:webHidden/>
              </w:rPr>
              <w:t>13</w:t>
            </w:r>
            <w:r>
              <w:rPr>
                <w:noProof/>
                <w:webHidden/>
              </w:rPr>
              <w:fldChar w:fldCharType="end"/>
            </w:r>
          </w:hyperlink>
        </w:p>
        <w:p w14:paraId="5C0CB724" w14:textId="638DAC31"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44" w:history="1">
            <w:r w:rsidRPr="0021161A">
              <w:rPr>
                <w:rStyle w:val="Lienhypertexte"/>
                <w:noProof/>
              </w:rPr>
              <w:t>Complément — coût de réalisation et exploitation</w:t>
            </w:r>
            <w:r>
              <w:rPr>
                <w:noProof/>
                <w:webHidden/>
              </w:rPr>
              <w:tab/>
            </w:r>
            <w:r>
              <w:rPr>
                <w:noProof/>
                <w:webHidden/>
              </w:rPr>
              <w:fldChar w:fldCharType="begin"/>
            </w:r>
            <w:r>
              <w:rPr>
                <w:noProof/>
                <w:webHidden/>
              </w:rPr>
              <w:instrText xml:space="preserve"> PAGEREF _Toc241154144 \h </w:instrText>
            </w:r>
            <w:r>
              <w:rPr>
                <w:noProof/>
                <w:webHidden/>
              </w:rPr>
            </w:r>
            <w:r>
              <w:rPr>
                <w:noProof/>
                <w:webHidden/>
              </w:rPr>
              <w:fldChar w:fldCharType="separate"/>
            </w:r>
            <w:r>
              <w:rPr>
                <w:noProof/>
                <w:webHidden/>
              </w:rPr>
              <w:t>14</w:t>
            </w:r>
            <w:r>
              <w:rPr>
                <w:noProof/>
                <w:webHidden/>
              </w:rPr>
              <w:fldChar w:fldCharType="end"/>
            </w:r>
          </w:hyperlink>
        </w:p>
        <w:p w14:paraId="6EDABCFD" w14:textId="089FCB3E" w:rsidR="00624573" w:rsidRDefault="00624573">
          <w:pPr>
            <w:pStyle w:val="TM1"/>
            <w:tabs>
              <w:tab w:val="right" w:leader="dot" w:pos="9856"/>
            </w:tabs>
            <w:rPr>
              <w:rFonts w:asciiTheme="minorHAnsi" w:hAnsiTheme="minorHAnsi"/>
              <w:noProof/>
              <w:kern w:val="2"/>
              <w:sz w:val="24"/>
              <w:szCs w:val="24"/>
              <w:lang w:val="fr-FR" w:eastAsia="fr-FR"/>
              <w14:ligatures w14:val="standardContextual"/>
            </w:rPr>
          </w:pPr>
          <w:hyperlink w:anchor="_Toc241154145" w:history="1">
            <w:r w:rsidRPr="0021161A">
              <w:rPr>
                <w:rStyle w:val="Lienhypertexte"/>
                <w:noProof/>
              </w:rPr>
              <w:t>Limites à conserver dans le rendu</w:t>
            </w:r>
            <w:r>
              <w:rPr>
                <w:noProof/>
                <w:webHidden/>
              </w:rPr>
              <w:tab/>
            </w:r>
            <w:r>
              <w:rPr>
                <w:noProof/>
                <w:webHidden/>
              </w:rPr>
              <w:fldChar w:fldCharType="begin"/>
            </w:r>
            <w:r>
              <w:rPr>
                <w:noProof/>
                <w:webHidden/>
              </w:rPr>
              <w:instrText xml:space="preserve"> PAGEREF _Toc241154145 \h </w:instrText>
            </w:r>
            <w:r>
              <w:rPr>
                <w:noProof/>
                <w:webHidden/>
              </w:rPr>
            </w:r>
            <w:r>
              <w:rPr>
                <w:noProof/>
                <w:webHidden/>
              </w:rPr>
              <w:fldChar w:fldCharType="separate"/>
            </w:r>
            <w:r>
              <w:rPr>
                <w:noProof/>
                <w:webHidden/>
              </w:rPr>
              <w:t>14</w:t>
            </w:r>
            <w:r>
              <w:rPr>
                <w:noProof/>
                <w:webHidden/>
              </w:rPr>
              <w:fldChar w:fldCharType="end"/>
            </w:r>
          </w:hyperlink>
        </w:p>
        <w:p w14:paraId="60E771B2" w14:textId="589118BD" w:rsidR="00461B1E" w:rsidRDefault="00461B1E">
          <w:r>
            <w:rPr>
              <w:b/>
              <w:bCs/>
            </w:rPr>
            <w:fldChar w:fldCharType="end"/>
          </w:r>
        </w:p>
      </w:sdtContent>
    </w:sdt>
    <w:p w14:paraId="2A01AEEE" w14:textId="77777777" w:rsidR="00461B1E" w:rsidRDefault="00461B1E">
      <w:pPr>
        <w:spacing w:after="100" w:line="259" w:lineRule="auto"/>
      </w:pPr>
    </w:p>
    <w:p w14:paraId="1DA09E34" w14:textId="77777777" w:rsidR="00481F5E" w:rsidRDefault="00481F5E">
      <w:pPr>
        <w:spacing w:after="100" w:line="259" w:lineRule="auto"/>
      </w:pPr>
    </w:p>
    <w:p w14:paraId="35E1FE25" w14:textId="77777777" w:rsidR="00481F5E" w:rsidRDefault="00481F5E">
      <w:pPr>
        <w:spacing w:after="100" w:line="259" w:lineRule="auto"/>
      </w:pPr>
    </w:p>
    <w:p w14:paraId="39DF8F55" w14:textId="77777777" w:rsidR="00481F5E" w:rsidRDefault="00481F5E">
      <w:pPr>
        <w:spacing w:after="100" w:line="259" w:lineRule="auto"/>
      </w:pPr>
    </w:p>
    <w:p w14:paraId="508A8B11" w14:textId="77777777" w:rsidR="00481F5E" w:rsidRDefault="00481F5E">
      <w:pPr>
        <w:spacing w:after="100" w:line="259" w:lineRule="auto"/>
      </w:pPr>
    </w:p>
    <w:p w14:paraId="6E05E72F" w14:textId="77777777" w:rsidR="00481F5E" w:rsidRDefault="00481F5E">
      <w:pPr>
        <w:spacing w:after="100" w:line="259" w:lineRule="auto"/>
      </w:pPr>
    </w:p>
    <w:p w14:paraId="7382F85F" w14:textId="77777777" w:rsidR="00481F5E" w:rsidRDefault="00481F5E">
      <w:pPr>
        <w:spacing w:after="100" w:line="259" w:lineRule="auto"/>
      </w:pPr>
    </w:p>
    <w:p w14:paraId="027F4FEC" w14:textId="77777777" w:rsidR="00481F5E" w:rsidRDefault="00481F5E">
      <w:pPr>
        <w:spacing w:after="100" w:line="259" w:lineRule="auto"/>
      </w:pPr>
    </w:p>
    <w:p w14:paraId="6929CA80" w14:textId="77777777" w:rsidR="00481F5E" w:rsidRDefault="00481F5E">
      <w:pPr>
        <w:spacing w:after="100" w:line="259" w:lineRule="auto"/>
      </w:pPr>
    </w:p>
    <w:p w14:paraId="034A926F" w14:textId="77777777" w:rsidR="00481F5E" w:rsidRDefault="00481F5E">
      <w:pPr>
        <w:spacing w:after="100" w:line="259" w:lineRule="auto"/>
      </w:pPr>
    </w:p>
    <w:p w14:paraId="5EE04F17" w14:textId="77777777" w:rsidR="00481F5E" w:rsidRDefault="00481F5E">
      <w:pPr>
        <w:spacing w:after="100" w:line="259" w:lineRule="auto"/>
      </w:pPr>
    </w:p>
    <w:p w14:paraId="5E4709FC" w14:textId="77777777" w:rsidR="00250282" w:rsidRDefault="00250282">
      <w:pPr>
        <w:spacing w:after="100" w:line="259" w:lineRule="auto"/>
      </w:pPr>
    </w:p>
    <w:p w14:paraId="6656F737" w14:textId="77777777" w:rsidR="00481F5E" w:rsidRDefault="00481F5E">
      <w:pPr>
        <w:spacing w:after="100" w:line="259" w:lineRule="auto"/>
      </w:pPr>
    </w:p>
    <w:p w14:paraId="3156DDAF" w14:textId="77777777" w:rsidR="00461B1E" w:rsidRDefault="00461B1E" w:rsidP="00461B1E">
      <w:pPr>
        <w:pStyle w:val="Titre1"/>
        <w:spacing w:before="240" w:after="140"/>
      </w:pPr>
      <w:bookmarkStart w:id="0" w:name="_Toc241154120"/>
      <w:r>
        <w:rPr>
          <w:rFonts w:ascii="Arial" w:hAnsi="Arial"/>
          <w:color w:val="003CFF"/>
          <w:sz w:val="32"/>
        </w:rPr>
        <w:t>Synthèse du projet</w:t>
      </w:r>
      <w:bookmarkEnd w:id="0"/>
    </w:p>
    <w:tbl>
      <w:tblPr>
        <w:tblW w:w="0" w:type="auto"/>
        <w:jc w:val="center"/>
        <w:tblLook w:val="04A0" w:firstRow="1" w:lastRow="0" w:firstColumn="1" w:lastColumn="0" w:noHBand="0" w:noVBand="1"/>
      </w:tblPr>
      <w:tblGrid>
        <w:gridCol w:w="9866"/>
      </w:tblGrid>
      <w:tr w:rsidR="00461B1E" w14:paraId="073517E8" w14:textId="77777777" w:rsidTr="00921F07">
        <w:trPr>
          <w:cantSplit/>
          <w:jc w:val="center"/>
        </w:trPr>
        <w:tc>
          <w:tcPr>
            <w:tcW w:w="9866" w:type="dxa"/>
            <w:tcBorders>
              <w:top w:val="single" w:sz="4" w:space="0" w:color="D8DCE3"/>
              <w:left w:val="single" w:sz="4" w:space="0" w:color="D8DCE3"/>
              <w:bottom w:val="single" w:sz="4" w:space="0" w:color="D8DCE3"/>
              <w:right w:val="single" w:sz="4" w:space="0" w:color="D8DCE3"/>
            </w:tcBorders>
            <w:shd w:val="clear" w:color="auto" w:fill="EEF3FF"/>
            <w:tcMar>
              <w:top w:w="130" w:type="dxa"/>
              <w:left w:w="170" w:type="dxa"/>
              <w:bottom w:w="130" w:type="dxa"/>
              <w:right w:w="170" w:type="dxa"/>
            </w:tcMar>
          </w:tcPr>
          <w:p w14:paraId="6C836135" w14:textId="77777777" w:rsidR="003F21EF" w:rsidRDefault="000A7EDA">
            <w:r>
              <w:t>Objectif du POC</w:t>
            </w:r>
            <w:r>
              <w:br/>
              <w:t>Démontrer la publication d’une mission, la découverte des offres, la candidature et l’affectation humaine. Les scores indicatifs aident au classement ; les critères obligatoires restent évalués séparément.</w:t>
            </w:r>
          </w:p>
        </w:tc>
      </w:tr>
    </w:tbl>
    <w:p w14:paraId="0B68A664" w14:textId="77777777" w:rsidR="00461B1E" w:rsidRDefault="00461B1E" w:rsidP="00461B1E">
      <w:pPr>
        <w:spacing w:after="100" w:line="259" w:lineRule="auto"/>
      </w:pPr>
      <w:r>
        <w:t xml:space="preserve">Infimatch se concentre sur l’intérim infirmier. </w:t>
      </w:r>
    </w:p>
    <w:p w14:paraId="48C412A2" w14:textId="77777777" w:rsidR="00461B1E" w:rsidRDefault="00461B1E" w:rsidP="00461B1E">
      <w:pPr>
        <w:spacing w:after="100" w:line="259" w:lineRule="auto"/>
      </w:pPr>
      <w:r>
        <w:t>Le POC distingue les qualifications IDE, IADE et IBODE et s’appuie sur l’expérience terrain d’Yves, IADE, exerçant aussi en libéral et en intérim, pour cadrer les critères métier du matching.</w:t>
      </w:r>
    </w:p>
    <w:p w14:paraId="4D40E738" w14:textId="77777777" w:rsidR="005D59AC" w:rsidRPr="005D59AC" w:rsidRDefault="005D59AC" w:rsidP="00461B1E">
      <w:pPr>
        <w:spacing w:after="100" w:line="259" w:lineRule="auto"/>
        <w:rPr>
          <w:b/>
          <w:bCs/>
        </w:rPr>
      </w:pPr>
      <w:r>
        <w:t>Code et guide d’installation : https://github.com/EpitechMscProPromo2027/D-WEB-901-PAR-9-1-InteriMatch-1/blob/main/README.md</w:t>
      </w:r>
    </w:p>
    <w:p w14:paraId="4DF338FE" w14:textId="77777777" w:rsidR="005D59AC" w:rsidRPr="005D59AC" w:rsidRDefault="005D59AC" w:rsidP="00461B1E">
      <w:pPr>
        <w:spacing w:after="100" w:line="259" w:lineRule="auto"/>
        <w:rPr>
          <w:b/>
          <w:bCs/>
        </w:rPr>
      </w:pPr>
      <w:r>
        <w:t>Application : https://infimactch-prod-backend-l5bc.vercel.app/</w:t>
      </w:r>
    </w:p>
    <w:p w14:paraId="1841DCB5" w14:textId="77777777" w:rsidR="0082306A" w:rsidRDefault="000A7EDA">
      <w:pPr>
        <w:pStyle w:val="Titre1"/>
        <w:spacing w:before="240" w:after="140"/>
      </w:pPr>
      <w:bookmarkStart w:id="1" w:name="_Toc241154121"/>
      <w:r>
        <w:t>1. Accès et périmètre</w:t>
      </w:r>
      <w:bookmarkEnd w:id="1"/>
    </w:p>
    <w:p w14:paraId="31BCDC4E" w14:textId="77777777" w:rsidR="0008066F" w:rsidRDefault="000A7EDA">
      <w:pPr>
        <w:spacing w:after="100" w:line="259" w:lineRule="auto"/>
      </w:pPr>
      <w:r>
        <w:t>Administration : https://infimatch-admin.vercel.app (compte autorisé et MFA). API : https://infimactch-prod-backend.vercel.app/api/v1/health. Automatisations : https://infimatch2.app.n8n.cloud/home/workflows (accès opérateur).</w:t>
      </w:r>
    </w:p>
    <w:p w14:paraId="355C59EE" w14:textId="77777777" w:rsidR="0082306A" w:rsidRDefault="000A7EDA">
      <w:pPr>
        <w:pStyle w:val="Titre1"/>
        <w:spacing w:before="240" w:after="140"/>
      </w:pPr>
      <w:bookmarkStart w:id="2" w:name="_Toc241154122"/>
      <w:r>
        <w:rPr>
          <w:rFonts w:ascii="Arial" w:hAnsi="Arial"/>
          <w:color w:val="003CFF"/>
          <w:sz w:val="32"/>
        </w:rPr>
        <w:t>2. Choix du secteur</w:t>
      </w:r>
      <w:bookmarkEnd w:id="2"/>
    </w:p>
    <w:p w14:paraId="32F2BEC7" w14:textId="77777777" w:rsidR="0082306A" w:rsidRDefault="000A7EDA" w:rsidP="0008066F">
      <w:pPr>
        <w:spacing w:after="100" w:line="259" w:lineRule="auto"/>
        <w:jc w:val="both"/>
      </w:pPr>
      <w:r>
        <w:t>Le projet est centré sur l’intérim infirmier. Ce choix répond à des besoins récurrents de remplacement et à des contraintes métier fortes : qualification, compétences par service, expérience, disponibilité, mobilité et vérification du droit à exercer.</w:t>
      </w:r>
    </w:p>
    <w:p w14:paraId="258D9E6E" w14:textId="77777777" w:rsidR="0082306A" w:rsidRDefault="0008066F" w:rsidP="0008066F">
      <w:pPr>
        <w:spacing w:after="100" w:line="259" w:lineRule="auto"/>
        <w:jc w:val="both"/>
      </w:pPr>
      <w:r>
        <w:t xml:space="preserve">Yves étant infirmier depuis 20 ans, son expérience est un atout de cadrage important. Il apporte une connaissance concrète des contraintes de qualification et d’affectation. Cette expertise a notamment conduit à distinguer clairement </w:t>
      </w:r>
      <w:r w:rsidRPr="0008066F">
        <w:t>IDE (Infirmier diplômé d’État), IADE (Infirmier anesthésiste diplômé d’État) et IBODE (Infirmier de bloc opératoire diplômé d’État)</w:t>
      </w:r>
      <w:r>
        <w:t>, et à séparer les critères bloquants des critères de classement.</w:t>
      </w:r>
    </w:p>
    <w:p w14:paraId="45039609" w14:textId="77777777" w:rsidR="0082306A" w:rsidRDefault="000A7EDA">
      <w:pPr>
        <w:pStyle w:val="Titre2"/>
        <w:spacing w:before="180" w:after="100"/>
      </w:pPr>
      <w:bookmarkStart w:id="3" w:name="_Toc241154123"/>
      <w:r>
        <w:rPr>
          <w:rFonts w:ascii="Arial" w:hAnsi="Arial"/>
          <w:color w:val="1D1D1F"/>
          <w:sz w:val="24"/>
        </w:rPr>
        <w:t>Contexte réglementaire</w:t>
      </w:r>
      <w:bookmarkEnd w:id="3"/>
    </w:p>
    <w:p w14:paraId="359FBA53" w14:textId="77777777" w:rsidR="0082306A" w:rsidRDefault="000A7EDA" w:rsidP="0008066F">
      <w:pPr>
        <w:spacing w:after="100" w:line="259" w:lineRule="auto"/>
        <w:jc w:val="both"/>
      </w:pPr>
      <w:r>
        <w:t>L’article R.6115-1 du Code de la santé publique, dans sa version en vigueur depuis le 1er décembre 2025, fixe une durée minimale de deux ans en équivalent temps plein pour le périmètre concerné. Les périodes doivent relever de la même profession et, le cas échéant, de la même spécialité, hors mise à disposition par une entreprise de travail temporaire. Source : https://www.legifrance.gouv.fr/codes/article_lc/LEGIARTI000052976810</w:t>
      </w:r>
    </w:p>
    <w:p w14:paraId="4BBBE0F0" w14:textId="77777777" w:rsidR="0082306A" w:rsidRDefault="000A7EDA" w:rsidP="0008066F">
      <w:pPr>
        <w:spacing w:after="100" w:line="259" w:lineRule="auto"/>
        <w:jc w:val="both"/>
      </w:pPr>
      <w:r>
        <w:t>Le POC doit donc distinguer cette condition réglementaire des critères de pertinence du matching. La note de cadrage précise que le backend contrôle aujourd’hui une expérience minimale déclarée mais ne calcule pas encore l’expérience en équivalent temps plein ni le cadre contractuel de chaque période : ce point resterait à approfondir avant un usage opérationnel.</w:t>
      </w:r>
    </w:p>
    <w:p w14:paraId="01B1286A" w14:textId="77777777" w:rsidR="0082306A" w:rsidRDefault="000A7EDA" w:rsidP="0008066F">
      <w:pPr>
        <w:spacing w:after="100" w:line="259" w:lineRule="auto"/>
        <w:jc w:val="both"/>
      </w:pPr>
      <w:r>
        <w:t>Les dépenses d’intérim des établissements publics sont également encadrées. Les plafonds publiés en septembre 2025 ont fait l’objet d’une annulation partielle du Conseil d’État en juillet 2026 : ils ne sont pas utilisés ici comme barème opérationnel ni comme salaire infirmier. Référence consolidée : https://www.legifrance.gouv.fr/loda/id/JORFTEXT000036086589/</w:t>
      </w:r>
    </w:p>
    <w:tbl>
      <w:tblPr>
        <w:tblW w:w="0" w:type="auto"/>
        <w:jc w:val="center"/>
        <w:tblLook w:val="04A0" w:firstRow="1" w:lastRow="0" w:firstColumn="1" w:lastColumn="0" w:noHBand="0" w:noVBand="1"/>
      </w:tblPr>
      <w:tblGrid>
        <w:gridCol w:w="9866"/>
      </w:tblGrid>
      <w:tr w:rsidR="0082306A" w14:paraId="28BDA4F3" w14:textId="77777777">
        <w:trPr>
          <w:cantSplit/>
          <w:jc w:val="center"/>
        </w:trPr>
        <w:tc>
          <w:tcPr>
            <w:tcW w:w="9866" w:type="dxa"/>
            <w:tcBorders>
              <w:top w:val="single" w:sz="4" w:space="0" w:color="D8DCE3"/>
              <w:left w:val="single" w:sz="4" w:space="0" w:color="D8DCE3"/>
              <w:bottom w:val="single" w:sz="4" w:space="0" w:color="D8DCE3"/>
              <w:right w:val="single" w:sz="4" w:space="0" w:color="D8DCE3"/>
            </w:tcBorders>
            <w:shd w:val="clear" w:color="auto" w:fill="FFF4D1"/>
            <w:tcMar>
              <w:top w:w="130" w:type="dxa"/>
              <w:left w:w="170" w:type="dxa"/>
              <w:bottom w:w="130" w:type="dxa"/>
              <w:right w:w="170" w:type="dxa"/>
            </w:tcMar>
          </w:tcPr>
          <w:p w14:paraId="04681A17" w14:textId="77777777" w:rsidR="003F21EF" w:rsidRDefault="000A7EDA">
            <w:r>
              <w:lastRenderedPageBreak/>
              <w:t>Conséquence produit</w:t>
            </w:r>
            <w:r>
              <w:br/>
              <w:t>Un bon score ne compense pas un prérequis métier manquant. Le mode de démonstration RPPS est une exception explicite ; le POC ne remplace pas le contrôle réglementaire et contractuel par l’agence.</w:t>
            </w:r>
          </w:p>
        </w:tc>
      </w:tr>
    </w:tbl>
    <w:p w14:paraId="2248834E" w14:textId="77777777" w:rsidR="0082306A" w:rsidRDefault="000A7EDA">
      <w:pPr>
        <w:pStyle w:val="Titre1"/>
        <w:spacing w:before="240" w:after="140"/>
      </w:pPr>
      <w:bookmarkStart w:id="4" w:name="_Toc241154124"/>
      <w:r>
        <w:rPr>
          <w:rFonts w:ascii="Arial" w:hAnsi="Arial"/>
          <w:color w:val="003CFF"/>
          <w:sz w:val="32"/>
        </w:rPr>
        <w:t>3. Étude du marché</w:t>
      </w:r>
      <w:bookmarkEnd w:id="4"/>
    </w:p>
    <w:p w14:paraId="52E1F96D" w14:textId="77777777" w:rsidR="0082306A" w:rsidRDefault="000A7EDA">
      <w:pPr>
        <w:pStyle w:val="Titre2"/>
        <w:spacing w:before="180" w:after="100"/>
      </w:pPr>
      <w:bookmarkStart w:id="5" w:name="_Toc241154125"/>
      <w:r>
        <w:rPr>
          <w:rFonts w:ascii="Arial" w:hAnsi="Arial"/>
          <w:color w:val="1D1D1F"/>
          <w:sz w:val="24"/>
        </w:rPr>
        <w:t>3.1 Taille et tension du marché</w:t>
      </w:r>
      <w:bookmarkEnd w:id="5"/>
    </w:p>
    <w:p w14:paraId="422AA1A1" w14:textId="77777777" w:rsidR="0082306A" w:rsidRDefault="000A7EDA" w:rsidP="0008066F">
      <w:pPr>
        <w:spacing w:after="100" w:line="259" w:lineRule="auto"/>
        <w:jc w:val="both"/>
      </w:pPr>
      <w:r>
        <w:t>L’enquête BMO 2026 de France Travail documente les difficultés de recrutement : environ 36 700 projets pour la famille « Infirmiers et sages-femmes », dont environ 60 % jugés difficiles. Ce périmètre dépasse le seul intérim infirmier. Source : https://www.francetravail.fr/actualites/a-laffiche/2026/se-reconvertir-professionnelleme.html</w:t>
      </w:r>
    </w:p>
    <w:tbl>
      <w:tblPr>
        <w:tblW w:w="0" w:type="auto"/>
        <w:jc w:val="center"/>
        <w:tblLook w:val="04A0" w:firstRow="1" w:lastRow="0" w:firstColumn="1" w:lastColumn="0" w:noHBand="0" w:noVBand="1"/>
      </w:tblPr>
      <w:tblGrid>
        <w:gridCol w:w="9866"/>
      </w:tblGrid>
      <w:tr w:rsidR="0082306A" w14:paraId="591AC9A4" w14:textId="77777777">
        <w:trPr>
          <w:cantSplit/>
          <w:jc w:val="center"/>
        </w:trPr>
        <w:tc>
          <w:tcPr>
            <w:tcW w:w="9866" w:type="dxa"/>
            <w:tcBorders>
              <w:top w:val="single" w:sz="4" w:space="0" w:color="D8DCE3"/>
              <w:left w:val="single" w:sz="4" w:space="0" w:color="D8DCE3"/>
              <w:bottom w:val="single" w:sz="4" w:space="0" w:color="D8DCE3"/>
              <w:right w:val="single" w:sz="4" w:space="0" w:color="D8DCE3"/>
            </w:tcBorders>
            <w:shd w:val="clear" w:color="auto" w:fill="FFF4D1"/>
            <w:tcMar>
              <w:top w:w="130" w:type="dxa"/>
              <w:left w:w="170" w:type="dxa"/>
              <w:bottom w:w="130" w:type="dxa"/>
              <w:right w:w="170" w:type="dxa"/>
            </w:tcMar>
          </w:tcPr>
          <w:p w14:paraId="7CF465F9" w14:textId="77777777" w:rsidR="001F103B" w:rsidRDefault="000A7EDA">
            <w:pPr>
              <w:spacing w:after="0"/>
              <w:rPr>
                <w:b/>
                <w:color w:val="003CFF"/>
                <w:sz w:val="20"/>
              </w:rPr>
            </w:pPr>
            <w:r>
              <w:rPr>
                <w:b/>
                <w:color w:val="003CFF"/>
                <w:sz w:val="20"/>
              </w:rPr>
              <w:t>Lecture prudente des chiffres</w:t>
            </w:r>
          </w:p>
          <w:p w14:paraId="46F8FD50" w14:textId="77777777" w:rsidR="0082306A" w:rsidRDefault="000A7EDA" w:rsidP="001F103B">
            <w:pPr>
              <w:spacing w:after="0"/>
              <w:jc w:val="both"/>
            </w:pPr>
            <w:r>
              <w:rPr>
                <w:b/>
                <w:color w:val="003CFF"/>
                <w:sz w:val="20"/>
              </w:rPr>
              <w:br/>
            </w:r>
            <w:r>
              <w:rPr>
                <w:color w:val="1D1D1F"/>
                <w:sz w:val="19"/>
              </w:rPr>
              <w:t>Ces données ne mesurent ni le seul métier IDE, ni le seul intérim, ni le chiffre d’affaires du marché. Elles servent de proxy de tension de recrutement. Les sources publiques utilisées ne permettent pas d’isoler de façon robuste le chiffre d’affaires de l’intérim IDE/IADE/IBODE en Île-de-France</w:t>
            </w:r>
            <w:r w:rsidR="001F103B">
              <w:rPr>
                <w:color w:val="1D1D1F"/>
                <w:sz w:val="19"/>
              </w:rPr>
              <w:t>,</w:t>
            </w:r>
            <w:r>
              <w:rPr>
                <w:color w:val="1D1D1F"/>
                <w:sz w:val="19"/>
              </w:rPr>
              <w:t xml:space="preserve"> il vaut mieux le dire clairement que produire une estimation artificiellement précise.</w:t>
            </w:r>
          </w:p>
        </w:tc>
      </w:tr>
    </w:tbl>
    <w:p w14:paraId="3B9D8A08" w14:textId="77777777" w:rsidR="0082306A" w:rsidRDefault="000A7EDA">
      <w:pPr>
        <w:pStyle w:val="Titre2"/>
        <w:spacing w:before="180" w:after="100"/>
      </w:pPr>
      <w:bookmarkStart w:id="6" w:name="_Toc241154126"/>
      <w:r>
        <w:rPr>
          <w:rFonts w:ascii="Arial" w:hAnsi="Arial"/>
          <w:color w:val="1D1D1F"/>
          <w:sz w:val="24"/>
        </w:rPr>
        <w:t>3.2 Segment ciblé et modèle économique</w:t>
      </w:r>
      <w:bookmarkEnd w:id="6"/>
    </w:p>
    <w:p w14:paraId="25C52D8C" w14:textId="77777777" w:rsidR="004C7BFA" w:rsidRPr="00461B1E" w:rsidRDefault="000A7EDA" w:rsidP="004C7BFA">
      <w:pPr>
        <w:jc w:val="both"/>
        <w:rPr>
          <w:lang w:val="fr-FR"/>
        </w:rPr>
      </w:pPr>
      <w:r>
        <w:t>Le client cible est l’établissement de santé ; les infirmiers accèdent gratuitement au service. Les agences participent à la gestion et à la contractualisation des missions. Ce positionnement commercial reste à valider avec des établissements pilotes.</w:t>
      </w:r>
    </w:p>
    <w:p w14:paraId="18712921" w14:textId="77777777" w:rsidR="004C7BFA" w:rsidRPr="00461B1E" w:rsidRDefault="004C7BFA" w:rsidP="004C7BFA">
      <w:pPr>
        <w:jc w:val="both"/>
        <w:rPr>
          <w:lang w:val="fr-FR"/>
        </w:rPr>
      </w:pPr>
      <w:r>
        <w:t>Trois modèles sont étudiés : 19 EUR par affectation confirmée ; 299 EUR par établissement et par mois, jusqu’à 30 validations ; ou 149 EUR par établissement et par mois + 9 EUR par validation. Ce sont des hypothèses HT du dossier financier, pas des tarifs commercialisés. Aucun paiement n’est intégré au POC.</w:t>
      </w:r>
    </w:p>
    <w:p w14:paraId="4843A596" w14:textId="77777777" w:rsidR="004C7BFA" w:rsidRPr="00461B1E" w:rsidRDefault="004C7BFA" w:rsidP="004C7BFA">
      <w:pPr>
        <w:jc w:val="both"/>
        <w:rPr>
          <w:lang w:val="fr-FR"/>
        </w:rPr>
      </w:pPr>
      <w:r>
        <w:t>Le modèle de coûts retenu estime l’exploitation à 5 265,30 EUR par mois, dont une personne à temps plein valorisée à 41 000 EUR brut/an, avec 42 % de charges employeur supposées. Abonnements, amortissement du matériel et provisions sont inclus selon le périmètre détaillé en annexe ; les frais commerciaux et administratifs non chiffrés restent exclus.</w:t>
      </w:r>
    </w:p>
    <w:p w14:paraId="66345A16" w14:textId="77777777" w:rsidR="004C7BFA" w:rsidRPr="00461B1E" w:rsidRDefault="004C7BFA" w:rsidP="004C7BFA">
      <w:pPr>
        <w:rPr>
          <w:lang w:val="fr-FR"/>
        </w:rPr>
      </w:pPr>
      <w:r>
        <w:rPr>
          <w:b/>
          <w:bCs/>
          <w:lang w:val="fr-FR"/>
        </w:rPr>
        <w:t>CA</w:t>
      </w:r>
      <w:r w:rsidRPr="00461B1E">
        <w:rPr>
          <w:b/>
          <w:bCs/>
          <w:lang w:val="fr-FR"/>
        </w:rPr>
        <w:t xml:space="preserve"> = abonnements des établissements + commissions sur les missions conclues</w:t>
      </w:r>
    </w:p>
    <w:p w14:paraId="0170DBBB" w14:textId="77777777" w:rsidR="004C7BFA" w:rsidRPr="00461B1E" w:rsidRDefault="004C7BFA" w:rsidP="004C7BFA">
      <w:pPr>
        <w:rPr>
          <w:lang w:val="fr-FR"/>
        </w:rPr>
      </w:pPr>
      <w:r w:rsidRPr="00461B1E">
        <w:rPr>
          <w:lang w:val="fr-FR"/>
        </w:rPr>
        <w:t>Puis :</w:t>
      </w:r>
      <w:r>
        <w:rPr>
          <w:lang w:val="fr-FR"/>
        </w:rPr>
        <w:t xml:space="preserve"> </w:t>
      </w:r>
      <w:r w:rsidRPr="00461B1E">
        <w:rPr>
          <w:b/>
          <w:bCs/>
          <w:lang w:val="fr-FR"/>
        </w:rPr>
        <w:t xml:space="preserve">Résultat = </w:t>
      </w:r>
      <w:r>
        <w:rPr>
          <w:b/>
          <w:bCs/>
          <w:lang w:val="fr-FR"/>
        </w:rPr>
        <w:t>CA</w:t>
      </w:r>
      <w:r w:rsidRPr="00461B1E">
        <w:rPr>
          <w:b/>
          <w:bCs/>
          <w:lang w:val="fr-FR"/>
        </w:rPr>
        <w:t xml:space="preserve"> – coûts fixes – coûts variables</w:t>
      </w:r>
    </w:p>
    <w:p w14:paraId="61AA5153" w14:textId="77777777" w:rsidR="004C7BFA" w:rsidRPr="00461B1E" w:rsidRDefault="004C7BFA" w:rsidP="004C7BFA">
      <w:pPr>
        <w:jc w:val="both"/>
        <w:rPr>
          <w:lang w:val="fr-FR"/>
        </w:rPr>
      </w:pPr>
      <w:r>
        <w:t>Le solde calculé est un résultat après budget modélisé, pas un bénéfice net d’entreprise. Les prix et la volonté de payer doivent être testés ; aucun tarif ni revenu futur n’est garanti.</w:t>
      </w:r>
    </w:p>
    <w:p w14:paraId="120F30C5" w14:textId="77777777" w:rsidR="0082306A" w:rsidRDefault="000A7EDA">
      <w:pPr>
        <w:pStyle w:val="Titre2"/>
        <w:spacing w:before="180" w:after="100"/>
      </w:pPr>
      <w:bookmarkStart w:id="7" w:name="_Toc241154127"/>
      <w:r>
        <w:rPr>
          <w:rFonts w:ascii="Arial" w:hAnsi="Arial"/>
          <w:color w:val="1D1D1F"/>
          <w:sz w:val="24"/>
        </w:rPr>
        <w:t>3.3 Concurrence et différenciation</w:t>
      </w:r>
      <w:bookmarkEnd w:id="7"/>
    </w:p>
    <w:tbl>
      <w:tblPr>
        <w:tblW w:w="0" w:type="auto"/>
        <w:jc w:val="center"/>
        <w:tblLayout w:type="fixed"/>
        <w:tblLook w:val="04A0" w:firstRow="1" w:lastRow="0" w:firstColumn="1" w:lastColumn="0" w:noHBand="0" w:noVBand="1"/>
      </w:tblPr>
      <w:tblGrid>
        <w:gridCol w:w="1417"/>
        <w:gridCol w:w="2438"/>
        <w:gridCol w:w="2438"/>
        <w:gridCol w:w="3061"/>
      </w:tblGrid>
      <w:tr w:rsidR="0082306A" w14:paraId="06712D52" w14:textId="77777777">
        <w:trPr>
          <w:cantSplit/>
          <w:tblHeader/>
          <w:jc w:val="center"/>
        </w:trPr>
        <w:tc>
          <w:tcPr>
            <w:tcW w:w="1417" w:type="dxa"/>
            <w:shd w:val="clear" w:color="auto" w:fill="003CFF"/>
            <w:tcMar>
              <w:top w:w="100" w:type="dxa"/>
              <w:left w:w="110" w:type="dxa"/>
              <w:bottom w:w="100" w:type="dxa"/>
              <w:right w:w="110" w:type="dxa"/>
            </w:tcMar>
            <w:vAlign w:val="center"/>
          </w:tcPr>
          <w:p w14:paraId="6BCEC1FE" w14:textId="77777777" w:rsidR="0082306A" w:rsidRDefault="000A7EDA">
            <w:pPr>
              <w:jc w:val="center"/>
            </w:pPr>
            <w:r>
              <w:rPr>
                <w:b/>
                <w:color w:val="FFFFFF"/>
                <w:sz w:val="16"/>
              </w:rPr>
              <w:t>Acteur</w:t>
            </w:r>
          </w:p>
        </w:tc>
        <w:tc>
          <w:tcPr>
            <w:tcW w:w="2438" w:type="dxa"/>
            <w:shd w:val="clear" w:color="auto" w:fill="003CFF"/>
            <w:tcMar>
              <w:top w:w="100" w:type="dxa"/>
              <w:left w:w="110" w:type="dxa"/>
              <w:bottom w:w="100" w:type="dxa"/>
              <w:right w:w="110" w:type="dxa"/>
            </w:tcMar>
            <w:vAlign w:val="center"/>
          </w:tcPr>
          <w:p w14:paraId="75F51199" w14:textId="77777777" w:rsidR="0082306A" w:rsidRDefault="000A7EDA">
            <w:pPr>
              <w:jc w:val="center"/>
            </w:pPr>
            <w:r>
              <w:rPr>
                <w:b/>
                <w:color w:val="FFFFFF"/>
                <w:sz w:val="16"/>
              </w:rPr>
              <w:t>Positionnement observable</w:t>
            </w:r>
          </w:p>
        </w:tc>
        <w:tc>
          <w:tcPr>
            <w:tcW w:w="2438" w:type="dxa"/>
            <w:shd w:val="clear" w:color="auto" w:fill="003CFF"/>
            <w:tcMar>
              <w:top w:w="100" w:type="dxa"/>
              <w:left w:w="110" w:type="dxa"/>
              <w:bottom w:w="100" w:type="dxa"/>
              <w:right w:w="110" w:type="dxa"/>
            </w:tcMar>
            <w:vAlign w:val="center"/>
          </w:tcPr>
          <w:p w14:paraId="55B1232D" w14:textId="77777777" w:rsidR="0082306A" w:rsidRDefault="000A7EDA">
            <w:pPr>
              <w:jc w:val="center"/>
            </w:pPr>
            <w:r>
              <w:rPr>
                <w:b/>
                <w:color w:val="FFFFFF"/>
                <w:sz w:val="16"/>
              </w:rPr>
              <w:t>Enseignement</w:t>
            </w:r>
          </w:p>
        </w:tc>
        <w:tc>
          <w:tcPr>
            <w:tcW w:w="3061" w:type="dxa"/>
            <w:shd w:val="clear" w:color="auto" w:fill="003CFF"/>
            <w:tcMar>
              <w:top w:w="100" w:type="dxa"/>
              <w:left w:w="110" w:type="dxa"/>
              <w:bottom w:w="100" w:type="dxa"/>
              <w:right w:w="110" w:type="dxa"/>
            </w:tcMar>
            <w:vAlign w:val="center"/>
          </w:tcPr>
          <w:p w14:paraId="079F5449" w14:textId="77777777" w:rsidR="0082306A" w:rsidRDefault="000A7EDA">
            <w:pPr>
              <w:jc w:val="center"/>
            </w:pPr>
            <w:r>
              <w:rPr>
                <w:b/>
                <w:color w:val="FFFFFF"/>
                <w:sz w:val="16"/>
              </w:rPr>
              <w:t>Angle de différenciation du POC</w:t>
            </w:r>
          </w:p>
        </w:tc>
      </w:tr>
      <w:tr w:rsidR="0082306A" w14:paraId="702BCE6F" w14:textId="77777777">
        <w:trPr>
          <w:cantSplit/>
          <w:jc w:val="center"/>
        </w:trPr>
        <w:tc>
          <w:tcPr>
            <w:tcW w:w="1417"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EE44A20" w14:textId="77777777" w:rsidR="0082306A" w:rsidRDefault="000A7EDA">
            <w:pPr>
              <w:spacing w:after="0" w:line="245" w:lineRule="auto"/>
            </w:pPr>
            <w:r>
              <w:rPr>
                <w:color w:val="1D1D1F"/>
                <w:sz w:val="16"/>
              </w:rPr>
              <w:t>Hublo</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6FC9553" w14:textId="77777777" w:rsidR="0082306A" w:rsidRDefault="000A7EDA">
            <w:pPr>
              <w:spacing w:after="0" w:line="245" w:lineRule="auto"/>
            </w:pPr>
            <w:r>
              <w:rPr>
                <w:color w:val="1D1D1F"/>
                <w:sz w:val="16"/>
              </w:rPr>
              <w:t>Plateforme RH santé : vivier, remplacements, recrutement et diffusion vers des agences d’intérim.</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2F979FA" w14:textId="77777777" w:rsidR="0082306A" w:rsidRDefault="000A7EDA">
            <w:pPr>
              <w:spacing w:after="0" w:line="245" w:lineRule="auto"/>
            </w:pPr>
            <w:r>
              <w:rPr>
                <w:color w:val="1D1D1F"/>
                <w:sz w:val="16"/>
              </w:rPr>
              <w:t>Acteur déjà très avancé sur le remplacement. Ne pas présenter Infimatch comme une innovation de principe.</w:t>
            </w:r>
          </w:p>
        </w:tc>
        <w:tc>
          <w:tcPr>
            <w:tcW w:w="306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7C94A15" w14:textId="77777777" w:rsidR="0082306A" w:rsidRDefault="000A7EDA">
            <w:pPr>
              <w:spacing w:after="0" w:line="245" w:lineRule="auto"/>
            </w:pPr>
            <w:r>
              <w:rPr>
                <w:color w:val="1D1D1F"/>
                <w:sz w:val="16"/>
              </w:rPr>
              <w:t>Mettre en avant la granularité du filtrage IDE / IADE / IBODE, les prérequis bloquants et l’explication du résultat.</w:t>
            </w:r>
          </w:p>
        </w:tc>
      </w:tr>
      <w:tr w:rsidR="0082306A" w14:paraId="51AF2EAE" w14:textId="77777777">
        <w:trPr>
          <w:cantSplit/>
          <w:jc w:val="center"/>
        </w:trPr>
        <w:tc>
          <w:tcPr>
            <w:tcW w:w="1417"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B9B6B1D" w14:textId="77777777" w:rsidR="0082306A" w:rsidRDefault="000A7EDA">
            <w:pPr>
              <w:spacing w:after="0" w:line="245" w:lineRule="auto"/>
            </w:pPr>
            <w:r>
              <w:rPr>
                <w:color w:val="1D1D1F"/>
                <w:sz w:val="16"/>
              </w:rPr>
              <w:t>Appel Médical</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4691BDC" w14:textId="77777777" w:rsidR="0082306A" w:rsidRDefault="000A7EDA">
            <w:pPr>
              <w:spacing w:after="0" w:line="245" w:lineRule="auto"/>
            </w:pPr>
            <w:r>
              <w:rPr>
                <w:color w:val="1D1D1F"/>
                <w:sz w:val="16"/>
              </w:rPr>
              <w:t>Acteur historique du recrutement santé proposant notamment de l’intérim.</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F5ECF70" w14:textId="77777777" w:rsidR="0082306A" w:rsidRDefault="000A7EDA">
            <w:pPr>
              <w:spacing w:after="0" w:line="245" w:lineRule="auto"/>
            </w:pPr>
            <w:r>
              <w:rPr>
                <w:color w:val="1D1D1F"/>
                <w:sz w:val="16"/>
              </w:rPr>
              <w:t>Montre que le besoin est déjà couvert par des agences spécialisées.</w:t>
            </w:r>
          </w:p>
        </w:tc>
        <w:tc>
          <w:tcPr>
            <w:tcW w:w="306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348FA17" w14:textId="77777777" w:rsidR="0082306A" w:rsidRDefault="000A7EDA">
            <w:pPr>
              <w:spacing w:after="0" w:line="245" w:lineRule="auto"/>
            </w:pPr>
            <w:r>
              <w:rPr>
                <w:color w:val="1D1D1F"/>
                <w:sz w:val="16"/>
              </w:rPr>
              <w:t>Positionner Infimatch comme outil de qualification et de matching explicable, pas comme simple agence numérique.</w:t>
            </w:r>
          </w:p>
        </w:tc>
      </w:tr>
      <w:tr w:rsidR="0082306A" w14:paraId="0D25F815" w14:textId="77777777">
        <w:trPr>
          <w:cantSplit/>
          <w:jc w:val="center"/>
        </w:trPr>
        <w:tc>
          <w:tcPr>
            <w:tcW w:w="1417"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489E9975" w14:textId="77777777" w:rsidR="0082306A" w:rsidRDefault="000A7EDA">
            <w:pPr>
              <w:spacing w:after="0" w:line="245" w:lineRule="auto"/>
            </w:pPr>
            <w:r>
              <w:rPr>
                <w:color w:val="1D1D1F"/>
                <w:sz w:val="16"/>
              </w:rPr>
              <w:lastRenderedPageBreak/>
              <w:t>Staffsanté</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07720BF4" w14:textId="77777777" w:rsidR="0082306A" w:rsidRDefault="000A7EDA">
            <w:pPr>
              <w:spacing w:after="0" w:line="245" w:lineRule="auto"/>
            </w:pPr>
            <w:r>
              <w:rPr>
                <w:color w:val="1D1D1F"/>
                <w:sz w:val="16"/>
              </w:rPr>
              <w:t>Jobboard santé avec recherche par métier, région et structure.</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D413914" w14:textId="77777777" w:rsidR="0082306A" w:rsidRDefault="000A7EDA">
            <w:pPr>
              <w:spacing w:after="0" w:line="245" w:lineRule="auto"/>
            </w:pPr>
            <w:r>
              <w:rPr>
                <w:color w:val="1D1D1F"/>
                <w:sz w:val="16"/>
              </w:rPr>
              <w:t>Bon point de comparaison pour la recherche d’offres.</w:t>
            </w:r>
          </w:p>
        </w:tc>
        <w:tc>
          <w:tcPr>
            <w:tcW w:w="306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0A3778E7" w14:textId="77777777" w:rsidR="0082306A" w:rsidRDefault="000A7EDA">
            <w:pPr>
              <w:spacing w:after="0" w:line="245" w:lineRule="auto"/>
            </w:pPr>
            <w:r>
              <w:rPr>
                <w:color w:val="1D1D1F"/>
                <w:sz w:val="16"/>
              </w:rPr>
              <w:t>Aller au-delà du filtrage d’annonces grâce à la compatibilité profil-mission.</w:t>
            </w:r>
          </w:p>
        </w:tc>
      </w:tr>
      <w:tr w:rsidR="0082306A" w14:paraId="16CC6D2C" w14:textId="77777777">
        <w:trPr>
          <w:cantSplit/>
          <w:jc w:val="center"/>
        </w:trPr>
        <w:tc>
          <w:tcPr>
            <w:tcW w:w="1417"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04AB0005" w14:textId="77777777" w:rsidR="0082306A" w:rsidRDefault="000A7EDA">
            <w:pPr>
              <w:spacing w:after="0" w:line="245" w:lineRule="auto"/>
            </w:pPr>
            <w:r>
              <w:rPr>
                <w:color w:val="1D1D1F"/>
                <w:sz w:val="16"/>
              </w:rPr>
              <w:t>Brigad</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F2C70BF" w14:textId="77777777" w:rsidR="0082306A" w:rsidRDefault="000A7EDA">
            <w:pPr>
              <w:spacing w:after="0" w:line="245" w:lineRule="auto"/>
            </w:pPr>
            <w:r>
              <w:rPr>
                <w:color w:val="1D1D1F"/>
                <w:sz w:val="16"/>
              </w:rPr>
              <w:t>Plateforme de mise en relation pour missions ponctuelles ; modèle indépendant / prestation distinct de l’intérim salarié.</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6EE1A50" w14:textId="77777777" w:rsidR="0082306A" w:rsidRDefault="000A7EDA">
            <w:pPr>
              <w:spacing w:after="0" w:line="245" w:lineRule="auto"/>
            </w:pPr>
            <w:r>
              <w:rPr>
                <w:color w:val="1D1D1F"/>
                <w:sz w:val="16"/>
              </w:rPr>
              <w:t>Parcours numérique très fluide mais cadre contractuel différent.</w:t>
            </w:r>
          </w:p>
        </w:tc>
        <w:tc>
          <w:tcPr>
            <w:tcW w:w="306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0774617B" w14:textId="77777777" w:rsidR="0082306A" w:rsidRDefault="000A7EDA">
            <w:pPr>
              <w:spacing w:after="0" w:line="245" w:lineRule="auto"/>
            </w:pPr>
            <w:r>
              <w:rPr>
                <w:color w:val="1D1D1F"/>
                <w:sz w:val="16"/>
              </w:rPr>
              <w:t>Conserver clairement le cadre ETT et l’intérim salarié du POC.</w:t>
            </w:r>
          </w:p>
        </w:tc>
      </w:tr>
      <w:tr w:rsidR="0082306A" w14:paraId="0805E957" w14:textId="77777777">
        <w:trPr>
          <w:cantSplit/>
          <w:jc w:val="center"/>
        </w:trPr>
        <w:tc>
          <w:tcPr>
            <w:tcW w:w="1417"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B850162" w14:textId="77777777" w:rsidR="0082306A" w:rsidRDefault="000A7EDA">
            <w:pPr>
              <w:spacing w:after="0" w:line="245" w:lineRule="auto"/>
            </w:pPr>
            <w:r>
              <w:rPr>
                <w:color w:val="1D1D1F"/>
                <w:sz w:val="16"/>
              </w:rPr>
              <w:t>Mediflash</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892E29E" w14:textId="77777777" w:rsidR="0082306A" w:rsidRDefault="000A7EDA">
            <w:pPr>
              <w:spacing w:after="0" w:line="245" w:lineRule="auto"/>
            </w:pPr>
            <w:r>
              <w:rPr>
                <w:color w:val="1D1D1F"/>
                <w:sz w:val="16"/>
              </w:rPr>
              <w:t>Plateforme de missions de renfort pour professionnels paramédicaux, avec modèle distinct de l’intérim salarié classique.</w:t>
            </w:r>
          </w:p>
        </w:tc>
        <w:tc>
          <w:tcPr>
            <w:tcW w:w="243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60CB552" w14:textId="77777777" w:rsidR="0082306A" w:rsidRDefault="000A7EDA">
            <w:pPr>
              <w:spacing w:after="0" w:line="245" w:lineRule="auto"/>
            </w:pPr>
            <w:r>
              <w:rPr>
                <w:color w:val="1D1D1F"/>
                <w:sz w:val="16"/>
              </w:rPr>
              <w:t>La mise en relation santé est déjà largement digitalisée.</w:t>
            </w:r>
          </w:p>
        </w:tc>
        <w:tc>
          <w:tcPr>
            <w:tcW w:w="306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094D040" w14:textId="77777777" w:rsidR="0082306A" w:rsidRDefault="000A7EDA">
            <w:pPr>
              <w:spacing w:after="0" w:line="245" w:lineRule="auto"/>
            </w:pPr>
            <w:r>
              <w:rPr>
                <w:color w:val="1D1D1F"/>
                <w:sz w:val="16"/>
              </w:rPr>
              <w:t>Différenciation à chercher dans l’admissibilité métier explicable, pas dans la simple mise en relation.</w:t>
            </w:r>
          </w:p>
        </w:tc>
      </w:tr>
    </w:tbl>
    <w:p w14:paraId="47514398" w14:textId="77777777" w:rsidR="006C73F9" w:rsidRPr="006C73F9" w:rsidRDefault="006C73F9" w:rsidP="006C73F9">
      <w:pPr>
        <w:spacing w:after="100" w:line="259" w:lineRule="auto"/>
        <w:jc w:val="both"/>
        <w:rPr>
          <w:lang w:val="fr-FR"/>
        </w:rPr>
      </w:pPr>
      <w:r>
        <w:t>La proposition de valeur repose sur la distinction IDE/IADE/IBODE, des critères d’éligibilité explicites et un classement compréhensible. « Vos matchs » peut présenter des offres partiellement compatibles : un score indicatif n’efface jamais un critère bloquant pour candidater ou être affecté.</w:t>
      </w:r>
    </w:p>
    <w:p w14:paraId="38E0C381" w14:textId="77777777" w:rsidR="0082306A" w:rsidRDefault="000A7EDA">
      <w:pPr>
        <w:pStyle w:val="Titre1"/>
        <w:spacing w:before="240" w:after="140"/>
        <w:rPr>
          <w:rFonts w:ascii="Arial" w:hAnsi="Arial"/>
          <w:color w:val="003CFF"/>
          <w:sz w:val="32"/>
        </w:rPr>
      </w:pPr>
      <w:bookmarkStart w:id="8" w:name="_Toc241154128"/>
      <w:r>
        <w:rPr>
          <w:rFonts w:ascii="Arial" w:hAnsi="Arial"/>
          <w:color w:val="003CFF"/>
          <w:sz w:val="32"/>
        </w:rPr>
        <w:t>4. Source de données publique</w:t>
      </w:r>
      <w:bookmarkEnd w:id="8"/>
    </w:p>
    <w:p w14:paraId="21B901F5" w14:textId="77777777" w:rsidR="00260E82" w:rsidRPr="00260E82" w:rsidRDefault="00260E82" w:rsidP="00260E82">
      <w:pPr>
        <w:jc w:val="both"/>
        <w:rPr>
          <w:lang w:val="fr-FR"/>
        </w:rPr>
      </w:pPr>
      <w:r>
        <w:t>Les données publiques servent à plusieurs fonctions : Annuaire Santé/RPPS pour rechercher une identité professionnelle ; FINESS pour le référentiel des établissements ; France Travail et JobsPipe pour les offres externes. Leur visibilité est pilotable par l’administration. Les intégrations externes sont conservées même lorsque les annonces ne sont pas affichées.</w:t>
      </w:r>
    </w:p>
    <w:p w14:paraId="518CE287" w14:textId="77777777" w:rsidR="00260E82" w:rsidRPr="00260E82" w:rsidRDefault="00260E82" w:rsidP="00260E82">
      <w:pPr>
        <w:jc w:val="both"/>
        <w:rPr>
          <w:lang w:val="fr-FR"/>
        </w:rPr>
      </w:pPr>
      <w:r>
        <w:t>Code : backend/src/profiles/rpps.ts ; scripts/import-finess-local.mjs et backend/src/reference-data/finess.ts ; backend/src/public-data/. Le script FINESS assure l’import/reformatage du référentiel et est accessible par npm run finess:import. Sources et limites : https://github.com/EpitechMscProPromo2027/D-WEB-901-PAR-9-1-InteriMatch-1/blob/main/docs/quality/CONFIGURATION.md</w:t>
      </w:r>
    </w:p>
    <w:p w14:paraId="24DB3CAC" w14:textId="77777777" w:rsidR="00260E82" w:rsidRPr="00260E82" w:rsidRDefault="00260E82" w:rsidP="00260E82">
      <w:pPr>
        <w:jc w:val="both"/>
        <w:rPr>
          <w:lang w:val="fr-FR"/>
        </w:rPr>
      </w:pPr>
      <w:r>
        <w:t>Le rapprochement RPPS vérifie une présence dans l’annuaire, pas à lui seul l’identité de la personne ni son droit complet à exercer. DEMO_OPTIONAL_RPPS=true permet les candidatures et affectations du scénario scolaire sans RPPS vérifié ; il ne modifie pas le statut de vérification du profil. Le contrôle strict revient lorsque l’option est désactivée.</w:t>
      </w:r>
    </w:p>
    <w:p w14:paraId="09B34DFB" w14:textId="77777777" w:rsidR="0082306A" w:rsidRDefault="000A7EDA">
      <w:pPr>
        <w:pStyle w:val="Titre1"/>
        <w:spacing w:before="240" w:after="140"/>
      </w:pPr>
      <w:bookmarkStart w:id="9" w:name="_Toc241154129"/>
      <w:r>
        <w:rPr>
          <w:rFonts w:ascii="Arial" w:hAnsi="Arial"/>
          <w:color w:val="003CFF"/>
          <w:sz w:val="32"/>
        </w:rPr>
        <w:t>5. Proposition de valeur</w:t>
      </w:r>
      <w:bookmarkEnd w:id="9"/>
    </w:p>
    <w:tbl>
      <w:tblPr>
        <w:tblW w:w="0" w:type="auto"/>
        <w:jc w:val="center"/>
        <w:tblLook w:val="04A0" w:firstRow="1" w:lastRow="0" w:firstColumn="1" w:lastColumn="0" w:noHBand="0" w:noVBand="1"/>
      </w:tblPr>
      <w:tblGrid>
        <w:gridCol w:w="9866"/>
      </w:tblGrid>
      <w:tr w:rsidR="0082306A" w14:paraId="27FD4F1A" w14:textId="77777777">
        <w:trPr>
          <w:cantSplit/>
          <w:jc w:val="center"/>
        </w:trPr>
        <w:tc>
          <w:tcPr>
            <w:tcW w:w="9866" w:type="dxa"/>
            <w:tcBorders>
              <w:top w:val="single" w:sz="4" w:space="0" w:color="D8DCE3"/>
              <w:left w:val="single" w:sz="4" w:space="0" w:color="D8DCE3"/>
              <w:bottom w:val="single" w:sz="4" w:space="0" w:color="D8DCE3"/>
              <w:right w:val="single" w:sz="4" w:space="0" w:color="D8DCE3"/>
            </w:tcBorders>
            <w:shd w:val="clear" w:color="auto" w:fill="EEF3FF"/>
            <w:tcMar>
              <w:top w:w="130" w:type="dxa"/>
              <w:left w:w="170" w:type="dxa"/>
              <w:bottom w:w="130" w:type="dxa"/>
              <w:right w:w="170" w:type="dxa"/>
            </w:tcMar>
          </w:tcPr>
          <w:p w14:paraId="3EC35234" w14:textId="77777777" w:rsidR="00E3424A" w:rsidRDefault="000A7EDA">
            <w:pPr>
              <w:spacing w:after="0"/>
              <w:rPr>
                <w:b/>
                <w:color w:val="003CFF"/>
                <w:sz w:val="20"/>
              </w:rPr>
            </w:pPr>
            <w:r>
              <w:rPr>
                <w:b/>
                <w:color w:val="003CFF"/>
                <w:sz w:val="20"/>
              </w:rPr>
              <w:t>Proposition de valeur</w:t>
            </w:r>
          </w:p>
          <w:p w14:paraId="66355B52" w14:textId="77777777" w:rsidR="0082306A" w:rsidRDefault="000A7EDA" w:rsidP="00E3424A">
            <w:pPr>
              <w:spacing w:after="0"/>
              <w:jc w:val="both"/>
            </w:pPr>
            <w:r>
              <w:rPr>
                <w:b/>
                <w:color w:val="003CFF"/>
                <w:sz w:val="20"/>
              </w:rPr>
              <w:br/>
            </w:r>
            <w:r>
              <w:rPr>
                <w:color w:val="1D1D1F"/>
                <w:sz w:val="19"/>
              </w:rPr>
              <w:t>Infimatch aide les acteurs de l’intérim infirmier à repérer des profils réellement compatibles avec une mission grâce à un matching explicable fondé d’abord sur les qualifications et prérequis obligatoires, puis sur les compétences, l’expérience, les disponibilités et la mobilité.</w:t>
            </w:r>
          </w:p>
        </w:tc>
      </w:tr>
    </w:tbl>
    <w:p w14:paraId="45A658BC" w14:textId="77777777" w:rsidR="0082306A" w:rsidRDefault="000A7EDA">
      <w:pPr>
        <w:pStyle w:val="Titre2"/>
        <w:spacing w:before="180" w:after="100"/>
        <w:rPr>
          <w:rFonts w:ascii="Arial" w:hAnsi="Arial"/>
          <w:color w:val="1D1D1F"/>
          <w:sz w:val="24"/>
        </w:rPr>
      </w:pPr>
      <w:bookmarkStart w:id="10" w:name="_Toc241154130"/>
      <w:r>
        <w:rPr>
          <w:rFonts w:ascii="Arial" w:hAnsi="Arial"/>
          <w:color w:val="1D1D1F"/>
          <w:sz w:val="24"/>
        </w:rPr>
        <w:t>Logique de matching</w:t>
      </w:r>
      <w:bookmarkEnd w:id="10"/>
    </w:p>
    <w:p w14:paraId="19A70DCC" w14:textId="77777777" w:rsidR="00EE0F7E" w:rsidRPr="00EE0F7E" w:rsidRDefault="00EE0F7E" w:rsidP="00EE0F7E">
      <w:pPr>
        <w:jc w:val="both"/>
        <w:rPr>
          <w:lang w:val="fr-FR"/>
        </w:rPr>
      </w:pPr>
      <w:r w:rsidRPr="00EE0F7E">
        <w:rPr>
          <w:lang w:val="fr-FR"/>
        </w:rPr>
        <w:t>Le matching d’Infimatch est réalisé dans le backend. Son objectif est d’identifier quelles missions peuvent correspondre à quels professionnels, et inversement, à partir des informations renseignées dans les profils et dans les missions.</w:t>
      </w:r>
    </w:p>
    <w:p w14:paraId="38C91B5C" w14:textId="77777777" w:rsidR="00EE0F7E" w:rsidRPr="00EE0F7E" w:rsidRDefault="00EE0F7E" w:rsidP="00EE0F7E">
      <w:pPr>
        <w:jc w:val="both"/>
        <w:rPr>
          <w:lang w:val="fr-FR"/>
        </w:rPr>
      </w:pPr>
      <w:r w:rsidRPr="00EE0F7E">
        <w:rPr>
          <w:lang w:val="fr-FR"/>
        </w:rPr>
        <w:t>Lorsqu’une mission est publiée, le backend compare ses critères avec les profils professionnels actifs et visibles. Il vérifie notamment la qualification demandée, les compétences, l’expérience minimale, les disponibilités, les éventuels conflits de planning, la zone de mobilité et la distance par rapport au lieu de la mission. Un profil ne respectant pas un critère bloquant n’est pas considéré comme compatible. Par exemple, un IDE ne peut pas être proposé sur une mission nécessitant une qualification IADE, et un professionnel déjà engagé sur le même créneau peut être écarté.</w:t>
      </w:r>
    </w:p>
    <w:p w14:paraId="162B6081" w14:textId="77777777" w:rsidR="00EE0F7E" w:rsidRPr="00EE0F7E" w:rsidRDefault="00EE0F7E" w:rsidP="00EE0F7E">
      <w:pPr>
        <w:jc w:val="both"/>
        <w:rPr>
          <w:lang w:val="fr-FR"/>
        </w:rPr>
      </w:pPr>
      <w:r>
        <w:lastRenderedPageBreak/>
        <w:t>Le score utilise par défaut les pondérations 45 % compétences souhaitées, 25 % proximité, 20 % préférence horaire et 10 % expérience pertinente. « Vos matchs » affiche jusqu’à trois missions partenaires ouvertes, futures et du métier renseigné, classées par score indicatif, même si tous les critères ne sont pas remplis. Les réserves restent visibles et les contrôles de candidature/affectation s’appliquent séparément. Ce score n’est ni une note professionnelle ni une probabilité de recrutement.</w:t>
      </w:r>
    </w:p>
    <w:p w14:paraId="192204AA" w14:textId="77777777" w:rsidR="00EE0F7E" w:rsidRPr="00EE0F7E" w:rsidRDefault="00EE0F7E" w:rsidP="00EE0F7E">
      <w:pPr>
        <w:jc w:val="both"/>
        <w:rPr>
          <w:lang w:val="fr-FR"/>
        </w:rPr>
      </w:pPr>
      <w:r w:rsidRPr="00EE0F7E">
        <w:rPr>
          <w:lang w:val="fr-FR"/>
        </w:rPr>
        <w:t>Lorsqu’une correspondance est identifiée, une notification peut être créée pour le professionnel concerné. n8n ne calcule pas le matching : il intervient uniquement comme orchestrateur. Après la publication d’une mission, n8n reçoit l’événement de matching puis appelle le backend, qui réalise les contrôles, calcule les correspondances et génère les notifications associées.</w:t>
      </w:r>
    </w:p>
    <w:p w14:paraId="79DD8EDA" w14:textId="77777777" w:rsidR="0082306A" w:rsidRDefault="000A7EDA">
      <w:pPr>
        <w:pStyle w:val="Titre1"/>
        <w:spacing w:before="240" w:after="140"/>
      </w:pPr>
      <w:bookmarkStart w:id="11" w:name="_Toc241154131"/>
      <w:r>
        <w:rPr>
          <w:rFonts w:ascii="Arial" w:hAnsi="Arial"/>
          <w:color w:val="003CFF"/>
          <w:sz w:val="32"/>
        </w:rPr>
        <w:t>6. Matrice MoSCoW des fonctionnalités</w:t>
      </w:r>
      <w:bookmarkEnd w:id="11"/>
    </w:p>
    <w:p w14:paraId="43BE29F2" w14:textId="77777777" w:rsidR="0082306A" w:rsidRDefault="000A7EDA">
      <w:pPr>
        <w:spacing w:after="100" w:line="259" w:lineRule="auto"/>
      </w:pPr>
      <w:r>
        <w:t>La matrice ci-dessous conserve le cadrage initial V1–V4 (Must/Should/Could/Won’t). Elle décrit la priorité prévue, pas un état exhaustif de livraison : certaines fonctions initialement futures, notamment l’aide, ont été réalisées. L’état réel doit être lu dans le code et les preuves datées.</w:t>
      </w:r>
    </w:p>
    <w:tbl>
      <w:tblPr>
        <w:tblW w:w="0" w:type="auto"/>
        <w:jc w:val="center"/>
        <w:tblLayout w:type="fixed"/>
        <w:tblLook w:val="04A0" w:firstRow="1" w:lastRow="0" w:firstColumn="1" w:lastColumn="0" w:noHBand="0" w:noVBand="1"/>
      </w:tblPr>
      <w:tblGrid>
        <w:gridCol w:w="1531"/>
        <w:gridCol w:w="6123"/>
        <w:gridCol w:w="2268"/>
      </w:tblGrid>
      <w:tr w:rsidR="0082306A" w14:paraId="56AECAB2" w14:textId="77777777">
        <w:trPr>
          <w:cantSplit/>
          <w:tblHeader/>
          <w:jc w:val="center"/>
        </w:trPr>
        <w:tc>
          <w:tcPr>
            <w:tcW w:w="1531" w:type="dxa"/>
            <w:shd w:val="clear" w:color="auto" w:fill="003CFF"/>
            <w:tcMar>
              <w:top w:w="100" w:type="dxa"/>
              <w:left w:w="110" w:type="dxa"/>
              <w:bottom w:w="100" w:type="dxa"/>
              <w:right w:w="110" w:type="dxa"/>
            </w:tcMar>
            <w:vAlign w:val="center"/>
          </w:tcPr>
          <w:p w14:paraId="715C005A" w14:textId="77777777" w:rsidR="0082306A" w:rsidRDefault="000A7EDA">
            <w:pPr>
              <w:jc w:val="center"/>
            </w:pPr>
            <w:r>
              <w:rPr>
                <w:b/>
                <w:color w:val="FFFFFF"/>
                <w:sz w:val="16"/>
              </w:rPr>
              <w:t>Priorité</w:t>
            </w:r>
          </w:p>
        </w:tc>
        <w:tc>
          <w:tcPr>
            <w:tcW w:w="6123" w:type="dxa"/>
            <w:shd w:val="clear" w:color="auto" w:fill="003CFF"/>
            <w:tcMar>
              <w:top w:w="100" w:type="dxa"/>
              <w:left w:w="110" w:type="dxa"/>
              <w:bottom w:w="100" w:type="dxa"/>
              <w:right w:w="110" w:type="dxa"/>
            </w:tcMar>
            <w:vAlign w:val="center"/>
          </w:tcPr>
          <w:p w14:paraId="71867BEC" w14:textId="77777777" w:rsidR="0082306A" w:rsidRDefault="000A7EDA">
            <w:pPr>
              <w:jc w:val="center"/>
            </w:pPr>
            <w:r>
              <w:rPr>
                <w:b/>
                <w:color w:val="FFFFFF"/>
                <w:sz w:val="16"/>
              </w:rPr>
              <w:t>Fonctionnalités</w:t>
            </w:r>
          </w:p>
        </w:tc>
        <w:tc>
          <w:tcPr>
            <w:tcW w:w="2268" w:type="dxa"/>
            <w:shd w:val="clear" w:color="auto" w:fill="003CFF"/>
            <w:tcMar>
              <w:top w:w="100" w:type="dxa"/>
              <w:left w:w="110" w:type="dxa"/>
              <w:bottom w:w="100" w:type="dxa"/>
              <w:right w:w="110" w:type="dxa"/>
            </w:tcMar>
            <w:vAlign w:val="center"/>
          </w:tcPr>
          <w:p w14:paraId="4F4CF70F" w14:textId="77777777" w:rsidR="0082306A" w:rsidRDefault="000A7EDA">
            <w:pPr>
              <w:jc w:val="center"/>
            </w:pPr>
            <w:r>
              <w:rPr>
                <w:b/>
                <w:color w:val="FFFFFF"/>
                <w:sz w:val="16"/>
              </w:rPr>
              <w:t>Justification</w:t>
            </w:r>
          </w:p>
        </w:tc>
      </w:tr>
      <w:tr w:rsidR="0082306A" w14:paraId="0A4DB5E2" w14:textId="77777777">
        <w:trPr>
          <w:cantSplit/>
          <w:jc w:val="center"/>
        </w:trPr>
        <w:tc>
          <w:tcPr>
            <w:tcW w:w="153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0AA2FD1D" w14:textId="77777777" w:rsidR="0082306A" w:rsidRDefault="000A7EDA">
            <w:pPr>
              <w:spacing w:after="0" w:line="245" w:lineRule="auto"/>
            </w:pPr>
            <w:r>
              <w:rPr>
                <w:color w:val="1D1D1F"/>
                <w:sz w:val="16"/>
              </w:rPr>
              <w:t>Must have</w:t>
            </w:r>
          </w:p>
        </w:tc>
        <w:tc>
          <w:tcPr>
            <w:tcW w:w="6123"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9D4EAF9" w14:textId="77777777" w:rsidR="0082306A" w:rsidRDefault="000A7EDA">
            <w:pPr>
              <w:spacing w:after="0" w:line="245" w:lineRule="auto"/>
            </w:pPr>
            <w:r>
              <w:rPr>
                <w:color w:val="1D1D1F"/>
                <w:sz w:val="16"/>
              </w:rPr>
              <w:t>F01 auth classique sécurisée ; F02 profil infirmier ; F02 bis profil établissement ; F03 dashboard ; F04 filtrage hiérarchique ; F05 recherche ; F06 favoris ; F07 candidatures ; F08 disponibilités/mobilité ; F09 historique ; F12 au moins deux automatisations ; F15 collecte/nettoyage des données ; F16 matching déterministe ; F17 création/gestion mission ; F18 contrôle RPPS ; F19 suivi agence ; F20 exploitation visible des données publiques ; F22 justificatif fictif chiffré.</w:t>
            </w:r>
          </w:p>
        </w:tc>
        <w:tc>
          <w:tcPr>
            <w:tcW w:w="226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8471717" w14:textId="77777777" w:rsidR="0082306A" w:rsidRDefault="000A7EDA">
            <w:pPr>
              <w:spacing w:after="0" w:line="245" w:lineRule="auto"/>
            </w:pPr>
            <w:r>
              <w:rPr>
                <w:color w:val="1D1D1F"/>
                <w:sz w:val="16"/>
              </w:rPr>
              <w:t>Cœur du POC et/ou exigences directes du sujet. OAuth n’est requis que si une connexion via fournisseur tiers est proposée.</w:t>
            </w:r>
          </w:p>
        </w:tc>
      </w:tr>
      <w:tr w:rsidR="0082306A" w14:paraId="0A63D0D8" w14:textId="77777777">
        <w:trPr>
          <w:cantSplit/>
          <w:jc w:val="center"/>
        </w:trPr>
        <w:tc>
          <w:tcPr>
            <w:tcW w:w="153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247617C" w14:textId="77777777" w:rsidR="0082306A" w:rsidRDefault="000A7EDA">
            <w:pPr>
              <w:spacing w:after="0" w:line="245" w:lineRule="auto"/>
            </w:pPr>
            <w:r>
              <w:rPr>
                <w:color w:val="1D1D1F"/>
                <w:sz w:val="16"/>
              </w:rPr>
              <w:t>Should have</w:t>
            </w:r>
          </w:p>
        </w:tc>
        <w:tc>
          <w:tcPr>
            <w:tcW w:w="6123"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773CFB3" w14:textId="77777777" w:rsidR="0082306A" w:rsidRDefault="000A7EDA">
            <w:pPr>
              <w:spacing w:after="0" w:line="245" w:lineRule="auto"/>
            </w:pPr>
            <w:r>
              <w:rPr>
                <w:color w:val="1D1D1F"/>
                <w:sz w:val="16"/>
              </w:rPr>
              <w:t>Éléments V2 : attestation / CV multiples, conflits et duplication de disponibilités, préparation de mission, import CSV, suggestions de matching, références, gestion documentaire enrichie, signature électronique, relevés d’heures.</w:t>
            </w:r>
          </w:p>
        </w:tc>
        <w:tc>
          <w:tcPr>
            <w:tcW w:w="226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0F3F751" w14:textId="77777777" w:rsidR="0082306A" w:rsidRDefault="000A7EDA">
            <w:pPr>
              <w:spacing w:after="0" w:line="245" w:lineRule="auto"/>
            </w:pPr>
            <w:r>
              <w:rPr>
                <w:color w:val="1D1D1F"/>
                <w:sz w:val="16"/>
              </w:rPr>
              <w:t>Fonctions utiles mais secondaires pour la démonstration des 11 jours.</w:t>
            </w:r>
          </w:p>
        </w:tc>
      </w:tr>
      <w:tr w:rsidR="0082306A" w14:paraId="43750B3E" w14:textId="77777777">
        <w:trPr>
          <w:cantSplit/>
          <w:jc w:val="center"/>
        </w:trPr>
        <w:tc>
          <w:tcPr>
            <w:tcW w:w="153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24FAFF5" w14:textId="77777777" w:rsidR="0082306A" w:rsidRDefault="000A7EDA">
            <w:pPr>
              <w:spacing w:after="0" w:line="245" w:lineRule="auto"/>
            </w:pPr>
            <w:r>
              <w:rPr>
                <w:color w:val="1D1D1F"/>
                <w:sz w:val="16"/>
              </w:rPr>
              <w:t>Could have</w:t>
            </w:r>
          </w:p>
        </w:tc>
        <w:tc>
          <w:tcPr>
            <w:tcW w:w="6123"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61E1A67" w14:textId="77777777" w:rsidR="0082306A" w:rsidRDefault="000A7EDA">
            <w:pPr>
              <w:spacing w:after="0" w:line="245" w:lineRule="auto"/>
            </w:pPr>
            <w:r>
              <w:rPr>
                <w:color w:val="1D1D1F"/>
                <w:sz w:val="16"/>
              </w:rPr>
              <w:t>Éléments V3 : signalement retard/absence, aide et contenus, gestion multi-organisations, contrats, bulletins de paie.</w:t>
            </w:r>
          </w:p>
        </w:tc>
        <w:tc>
          <w:tcPr>
            <w:tcW w:w="226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BE7B770" w14:textId="77777777" w:rsidR="0082306A" w:rsidRDefault="000A7EDA">
            <w:pPr>
              <w:spacing w:after="0" w:line="245" w:lineRule="auto"/>
            </w:pPr>
            <w:r>
              <w:rPr>
                <w:color w:val="1D1D1F"/>
                <w:sz w:val="16"/>
              </w:rPr>
              <w:t>Évolutions produit après validation du socle.</w:t>
            </w:r>
          </w:p>
        </w:tc>
      </w:tr>
      <w:tr w:rsidR="0082306A" w14:paraId="1CE854C0" w14:textId="77777777">
        <w:trPr>
          <w:cantSplit/>
          <w:jc w:val="center"/>
        </w:trPr>
        <w:tc>
          <w:tcPr>
            <w:tcW w:w="153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C3D3544" w14:textId="77777777" w:rsidR="0082306A" w:rsidRDefault="000A7EDA">
            <w:pPr>
              <w:spacing w:after="0" w:line="245" w:lineRule="auto"/>
            </w:pPr>
            <w:r>
              <w:rPr>
                <w:color w:val="1D1D1F"/>
                <w:sz w:val="16"/>
              </w:rPr>
              <w:t>Won’t have — POC</w:t>
            </w:r>
          </w:p>
        </w:tc>
        <w:tc>
          <w:tcPr>
            <w:tcW w:w="6123"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331798C" w14:textId="77777777" w:rsidR="0082306A" w:rsidRDefault="000A7EDA">
            <w:pPr>
              <w:spacing w:after="0" w:line="245" w:lineRule="auto"/>
            </w:pPr>
            <w:r>
              <w:rPr>
                <w:color w:val="1D1D1F"/>
                <w:sz w:val="16"/>
              </w:rPr>
              <w:t>Éléments V4 : chatbot d’aide, fonctions RH complètes et toute extension non cadrée dans les 11 jours.</w:t>
            </w:r>
          </w:p>
        </w:tc>
        <w:tc>
          <w:tcPr>
            <w:tcW w:w="226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C10D5D7" w14:textId="77777777" w:rsidR="0082306A" w:rsidRDefault="000A7EDA">
            <w:pPr>
              <w:spacing w:after="0" w:line="245" w:lineRule="auto"/>
            </w:pPr>
            <w:r>
              <w:rPr>
                <w:color w:val="1D1D1F"/>
                <w:sz w:val="16"/>
              </w:rPr>
              <w:t>Hors périmètre du POC actuel.</w:t>
            </w:r>
          </w:p>
        </w:tc>
      </w:tr>
    </w:tbl>
    <w:p w14:paraId="180813B5" w14:textId="77777777" w:rsidR="00B23E3D" w:rsidRDefault="00B23E3D" w:rsidP="00B23E3D">
      <w:pPr>
        <w:pStyle w:val="Titre1"/>
        <w:spacing w:after="160"/>
      </w:pPr>
      <w:bookmarkStart w:id="12" w:name="_Toc241154132"/>
      <w:r>
        <w:t>7. Chiffrage estimé et comparaison au réel</w:t>
      </w:r>
      <w:bookmarkEnd w:id="12"/>
    </w:p>
    <w:p w14:paraId="08E8C4F3" w14:textId="77777777" w:rsidR="003F1A79" w:rsidRDefault="00B23E3D" w:rsidP="00B23E3D">
      <w:pPr>
        <w:spacing w:after="160" w:line="259" w:lineRule="auto"/>
        <w:jc w:val="both"/>
      </w:pPr>
      <w:r>
        <w:t>Volume déclaré par l’équipe : 4 personnes × 11 jours × (7 h de journée + environ 2 h le soir), soit environ 396 heures-personnes : 308 h en journée et 88 h le soir. Ce total a été reconstitué a posteriori ; il ne constitue pas un relevé de temps mesuré par fonctionnalité.</w:t>
      </w:r>
    </w:p>
    <w:p w14:paraId="64D8489C" w14:textId="77777777" w:rsidR="00B23E3D" w:rsidRDefault="00B23E3D" w:rsidP="00B23E3D">
      <w:pPr>
        <w:spacing w:after="160" w:line="259" w:lineRule="auto"/>
        <w:jc w:val="both"/>
      </w:pPr>
      <w:r>
        <w:t>La capacité prévue pour cinq personnes à 7 h/jour était de 385 h. Les 88 h du soir compensent les 77 h du cinquième membre absent, soit 11 h au-delà de cette capacité (+2,86 %). Le tableau fonctionnel ci-dessous conserve son estimation initiale de 42,5 jours-personnes ; sa ventilation réelle et ses écarts ne sont pas attestés et ne sont donc pas inventés.</w:t>
      </w:r>
    </w:p>
    <w:p w14:paraId="58667A90" w14:textId="77777777" w:rsidR="00B23E3D" w:rsidRDefault="00B23E3D" w:rsidP="00B23E3D">
      <w:pPr>
        <w:pStyle w:val="Titre2"/>
        <w:spacing w:before="80" w:after="100"/>
      </w:pPr>
      <w:bookmarkStart w:id="13" w:name="_Toc241154133"/>
      <w:r>
        <w:t>Analyse du travail déclaré</w:t>
      </w:r>
      <w:bookmarkEnd w:id="13"/>
    </w:p>
    <w:p w14:paraId="6E78C3BF" w14:textId="77777777" w:rsidR="00B23E3D" w:rsidRDefault="00B23E3D" w:rsidP="00B23E3D">
      <w:pPr>
        <w:spacing w:after="100" w:line="254" w:lineRule="auto"/>
        <w:jc w:val="both"/>
      </w:pPr>
      <w:r>
        <w:t>L’authentification, les règles de matching, les automatisations et les intégrations ont concentré les difficultés décrites par l’équipe. Faute de relevé détaillé validé, aucun surcoût précis par fonctionnalité n’est présenté comme constaté.</w:t>
      </w:r>
    </w:p>
    <w:p w14:paraId="29FA63A2" w14:textId="77777777" w:rsidR="00B23E3D" w:rsidRDefault="00B23E3D" w:rsidP="00B23E3D">
      <w:pPr>
        <w:spacing w:after="100" w:line="254" w:lineRule="auto"/>
        <w:jc w:val="both"/>
      </w:pPr>
      <w:r>
        <w:t>France Travail et JobsPipe restent implémentés ; leur visibilité dans le frontend peut être désactivée. FINESS et RPPS apportent des référentiels distincts. Une option masquée à l’utilisateur n’est pas une intégration supprimée.</w:t>
      </w:r>
    </w:p>
    <w:p w14:paraId="27213DD6" w14:textId="77777777" w:rsidR="00B23E3D" w:rsidRDefault="00B23E3D" w:rsidP="00B23E3D">
      <w:pPr>
        <w:keepNext/>
        <w:spacing w:after="100" w:line="254" w:lineRule="auto"/>
        <w:jc w:val="both"/>
      </w:pPr>
      <w:r>
        <w:t>Estimation initiale par fonctionnalité — réel non ventilé</w:t>
      </w:r>
    </w:p>
    <w:tbl>
      <w:tblPr>
        <w:tblStyle w:val="Grilledutableau"/>
        <w:tblW w:w="0" w:type="auto"/>
        <w:jc w:val="center"/>
        <w:tblLayout w:type="fixed"/>
        <w:tblLook w:val="04A0" w:firstRow="1" w:lastRow="0" w:firstColumn="1" w:lastColumn="0" w:noHBand="0" w:noVBand="1"/>
      </w:tblPr>
      <w:tblGrid>
        <w:gridCol w:w="5896"/>
        <w:gridCol w:w="1304"/>
        <w:gridCol w:w="1531"/>
        <w:gridCol w:w="1474"/>
      </w:tblGrid>
      <w:tr w:rsidR="00B23E3D" w14:paraId="5842FB6D" w14:textId="77777777" w:rsidTr="00921F07">
        <w:trPr>
          <w:cantSplit/>
          <w:tblHeader/>
          <w:jc w:val="center"/>
        </w:trPr>
        <w:tc>
          <w:tcPr>
            <w:tcW w:w="5896" w:type="dxa"/>
            <w:shd w:val="clear" w:color="auto" w:fill="5C6778"/>
            <w:tcMar>
              <w:top w:w="95" w:type="dxa"/>
              <w:left w:w="110" w:type="dxa"/>
              <w:bottom w:w="95" w:type="dxa"/>
              <w:right w:w="110" w:type="dxa"/>
            </w:tcMar>
            <w:vAlign w:val="center"/>
          </w:tcPr>
          <w:p w14:paraId="414E1508" w14:textId="77777777" w:rsidR="00B23E3D" w:rsidRDefault="00B23E3D" w:rsidP="00921F07">
            <w:pPr>
              <w:jc w:val="center"/>
            </w:pPr>
            <w:r>
              <w:rPr>
                <w:rFonts w:ascii="Aptos" w:hAnsi="Aptos"/>
                <w:b/>
                <w:color w:val="FFFFFF"/>
                <w:sz w:val="18"/>
              </w:rPr>
              <w:t>Module</w:t>
            </w:r>
          </w:p>
        </w:tc>
        <w:tc>
          <w:tcPr>
            <w:tcW w:w="1304" w:type="dxa"/>
            <w:shd w:val="clear" w:color="auto" w:fill="5C6778"/>
            <w:tcMar>
              <w:top w:w="95" w:type="dxa"/>
              <w:left w:w="110" w:type="dxa"/>
              <w:bottom w:w="95" w:type="dxa"/>
              <w:right w:w="110" w:type="dxa"/>
            </w:tcMar>
            <w:vAlign w:val="center"/>
          </w:tcPr>
          <w:p w14:paraId="6B89A906" w14:textId="77777777" w:rsidR="00B23E3D" w:rsidRDefault="00B23E3D" w:rsidP="00921F07">
            <w:pPr>
              <w:jc w:val="center"/>
            </w:pPr>
            <w:r>
              <w:rPr>
                <w:rFonts w:ascii="Aptos" w:hAnsi="Aptos"/>
                <w:b/>
                <w:color w:val="FFFFFF"/>
                <w:sz w:val="18"/>
              </w:rPr>
              <w:t>Estimé révisé</w:t>
            </w:r>
            <w:r>
              <w:rPr>
                <w:rFonts w:ascii="Aptos" w:hAnsi="Aptos"/>
                <w:b/>
                <w:color w:val="FFFFFF"/>
                <w:sz w:val="18"/>
              </w:rPr>
              <w:br/>
              <w:t>(j-pers.)</w:t>
            </w:r>
          </w:p>
        </w:tc>
        <w:tc>
          <w:tcPr>
            <w:tcW w:w="1531" w:type="dxa"/>
            <w:shd w:val="clear" w:color="auto" w:fill="5C6778"/>
            <w:tcMar>
              <w:top w:w="95" w:type="dxa"/>
              <w:left w:w="110" w:type="dxa"/>
              <w:bottom w:w="95" w:type="dxa"/>
              <w:right w:w="110" w:type="dxa"/>
            </w:tcMar>
            <w:vAlign w:val="center"/>
          </w:tcPr>
          <w:p w14:paraId="1B263235" w14:textId="77777777" w:rsidR="003F21EF" w:rsidRDefault="000A7EDA">
            <w:r>
              <w:t>Réel par lot</w:t>
            </w:r>
            <w:r>
              <w:br/>
              <w:t>(non mesuré)</w:t>
            </w:r>
          </w:p>
        </w:tc>
        <w:tc>
          <w:tcPr>
            <w:tcW w:w="1474" w:type="dxa"/>
            <w:shd w:val="clear" w:color="auto" w:fill="5C6778"/>
            <w:tcMar>
              <w:top w:w="95" w:type="dxa"/>
              <w:left w:w="110" w:type="dxa"/>
              <w:bottom w:w="95" w:type="dxa"/>
              <w:right w:w="110" w:type="dxa"/>
            </w:tcMar>
            <w:vAlign w:val="center"/>
          </w:tcPr>
          <w:p w14:paraId="2360EBCE" w14:textId="77777777" w:rsidR="003F21EF" w:rsidRDefault="000A7EDA">
            <w:r>
              <w:t>Écart</w:t>
            </w:r>
            <w:r>
              <w:br/>
              <w:t>(non établi)</w:t>
            </w:r>
          </w:p>
        </w:tc>
      </w:tr>
      <w:tr w:rsidR="00B23E3D" w14:paraId="3ED96470" w14:textId="77777777" w:rsidTr="00921F07">
        <w:trPr>
          <w:cantSplit/>
          <w:jc w:val="center"/>
        </w:trPr>
        <w:tc>
          <w:tcPr>
            <w:tcW w:w="5896" w:type="dxa"/>
            <w:tcMar>
              <w:top w:w="90" w:type="dxa"/>
              <w:left w:w="110" w:type="dxa"/>
              <w:bottom w:w="90" w:type="dxa"/>
              <w:right w:w="110" w:type="dxa"/>
            </w:tcMar>
            <w:vAlign w:val="center"/>
          </w:tcPr>
          <w:p w14:paraId="1CB46A47" w14:textId="77777777" w:rsidR="00B23E3D" w:rsidRDefault="00B23E3D" w:rsidP="00921F07">
            <w:r>
              <w:rPr>
                <w:rFonts w:ascii="Aptos" w:hAnsi="Aptos"/>
                <w:sz w:val="17"/>
              </w:rPr>
              <w:lastRenderedPageBreak/>
              <w:t>Cadrage (secteur, source de données, proposition de valeur)</w:t>
            </w:r>
          </w:p>
        </w:tc>
        <w:tc>
          <w:tcPr>
            <w:tcW w:w="1304" w:type="dxa"/>
            <w:tcMar>
              <w:top w:w="90" w:type="dxa"/>
              <w:left w:w="110" w:type="dxa"/>
              <w:bottom w:w="90" w:type="dxa"/>
              <w:right w:w="110" w:type="dxa"/>
            </w:tcMar>
            <w:vAlign w:val="center"/>
          </w:tcPr>
          <w:p w14:paraId="505DEBED"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3E30BD89" w14:textId="77777777" w:rsidR="003F21EF" w:rsidRDefault="000A7EDA">
            <w:r>
              <w:t>Non ventilé</w:t>
            </w:r>
          </w:p>
        </w:tc>
        <w:tc>
          <w:tcPr>
            <w:tcW w:w="1474" w:type="dxa"/>
            <w:tcMar>
              <w:top w:w="90" w:type="dxa"/>
              <w:left w:w="110" w:type="dxa"/>
              <w:bottom w:w="90" w:type="dxa"/>
              <w:right w:w="110" w:type="dxa"/>
            </w:tcMar>
            <w:vAlign w:val="center"/>
          </w:tcPr>
          <w:p w14:paraId="6EE413D2" w14:textId="77777777" w:rsidR="003F21EF" w:rsidRDefault="000A7EDA">
            <w:r>
              <w:t>Non calculable</w:t>
            </w:r>
          </w:p>
        </w:tc>
      </w:tr>
      <w:tr w:rsidR="00B23E3D" w14:paraId="455BFBD9" w14:textId="77777777" w:rsidTr="00921F07">
        <w:trPr>
          <w:cantSplit/>
          <w:jc w:val="center"/>
        </w:trPr>
        <w:tc>
          <w:tcPr>
            <w:tcW w:w="5896" w:type="dxa"/>
            <w:tcMar>
              <w:top w:w="90" w:type="dxa"/>
              <w:left w:w="110" w:type="dxa"/>
              <w:bottom w:w="90" w:type="dxa"/>
              <w:right w:w="110" w:type="dxa"/>
            </w:tcMar>
            <w:vAlign w:val="center"/>
          </w:tcPr>
          <w:p w14:paraId="34EEEDFC" w14:textId="77777777" w:rsidR="00B23E3D" w:rsidRDefault="00B23E3D" w:rsidP="00921F07">
            <w:r>
              <w:rPr>
                <w:rFonts w:ascii="Aptos" w:hAnsi="Aptos"/>
                <w:sz w:val="17"/>
              </w:rPr>
              <w:t>Setup technique (repo, CI, skeleton front/back, BDD relationnelle + non relationnelle, CLI)</w:t>
            </w:r>
          </w:p>
        </w:tc>
        <w:tc>
          <w:tcPr>
            <w:tcW w:w="1304" w:type="dxa"/>
            <w:tcMar>
              <w:top w:w="90" w:type="dxa"/>
              <w:left w:w="110" w:type="dxa"/>
              <w:bottom w:w="90" w:type="dxa"/>
              <w:right w:w="110" w:type="dxa"/>
            </w:tcMar>
            <w:vAlign w:val="center"/>
          </w:tcPr>
          <w:p w14:paraId="4D2CB975"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47D3A056" w14:textId="77777777" w:rsidR="003F21EF" w:rsidRDefault="000A7EDA">
            <w:r>
              <w:t>Non ventilé</w:t>
            </w:r>
          </w:p>
        </w:tc>
        <w:tc>
          <w:tcPr>
            <w:tcW w:w="1474" w:type="dxa"/>
            <w:tcMar>
              <w:top w:w="90" w:type="dxa"/>
              <w:left w:w="110" w:type="dxa"/>
              <w:bottom w:w="90" w:type="dxa"/>
              <w:right w:w="110" w:type="dxa"/>
            </w:tcMar>
            <w:vAlign w:val="center"/>
          </w:tcPr>
          <w:p w14:paraId="1CBACD20" w14:textId="77777777" w:rsidR="003F21EF" w:rsidRDefault="000A7EDA">
            <w:r>
              <w:t>Non calculable</w:t>
            </w:r>
          </w:p>
        </w:tc>
      </w:tr>
      <w:tr w:rsidR="00B23E3D" w14:paraId="6B9F3849" w14:textId="77777777" w:rsidTr="00921F07">
        <w:trPr>
          <w:cantSplit/>
          <w:jc w:val="center"/>
        </w:trPr>
        <w:tc>
          <w:tcPr>
            <w:tcW w:w="5896" w:type="dxa"/>
            <w:tcMar>
              <w:top w:w="90" w:type="dxa"/>
              <w:left w:w="110" w:type="dxa"/>
              <w:bottom w:w="90" w:type="dxa"/>
              <w:right w:w="110" w:type="dxa"/>
            </w:tcMar>
            <w:vAlign w:val="center"/>
          </w:tcPr>
          <w:p w14:paraId="74D988A6" w14:textId="77777777" w:rsidR="00B23E3D" w:rsidRDefault="00B23E3D" w:rsidP="00921F07">
            <w:r>
              <w:rPr>
                <w:rFonts w:ascii="Aptos" w:hAnsi="Aptos"/>
                <w:sz w:val="17"/>
              </w:rPr>
              <w:t>Connexion (hash, sessions, OAuth, chiffrement)</w:t>
            </w:r>
          </w:p>
        </w:tc>
        <w:tc>
          <w:tcPr>
            <w:tcW w:w="1304" w:type="dxa"/>
            <w:tcMar>
              <w:top w:w="90" w:type="dxa"/>
              <w:left w:w="110" w:type="dxa"/>
              <w:bottom w:w="90" w:type="dxa"/>
              <w:right w:w="110" w:type="dxa"/>
            </w:tcMar>
            <w:vAlign w:val="center"/>
          </w:tcPr>
          <w:p w14:paraId="585C39D2" w14:textId="77777777" w:rsidR="00B23E3D" w:rsidRDefault="00B23E3D" w:rsidP="00921F07">
            <w:pPr>
              <w:jc w:val="center"/>
            </w:pPr>
            <w:r>
              <w:rPr>
                <w:rFonts w:ascii="Aptos" w:hAnsi="Aptos"/>
                <w:sz w:val="17"/>
              </w:rPr>
              <w:t>3</w:t>
            </w:r>
          </w:p>
        </w:tc>
        <w:tc>
          <w:tcPr>
            <w:tcW w:w="1531" w:type="dxa"/>
            <w:tcMar>
              <w:top w:w="90" w:type="dxa"/>
              <w:left w:w="110" w:type="dxa"/>
              <w:bottom w:w="90" w:type="dxa"/>
              <w:right w:w="110" w:type="dxa"/>
            </w:tcMar>
            <w:vAlign w:val="center"/>
          </w:tcPr>
          <w:p w14:paraId="65230E52" w14:textId="77777777" w:rsidR="003F21EF" w:rsidRDefault="000A7EDA">
            <w:r>
              <w:t>Non ventilé</w:t>
            </w:r>
          </w:p>
        </w:tc>
        <w:tc>
          <w:tcPr>
            <w:tcW w:w="1474" w:type="dxa"/>
            <w:tcMar>
              <w:top w:w="90" w:type="dxa"/>
              <w:left w:w="110" w:type="dxa"/>
              <w:bottom w:w="90" w:type="dxa"/>
              <w:right w:w="110" w:type="dxa"/>
            </w:tcMar>
            <w:vAlign w:val="center"/>
          </w:tcPr>
          <w:p w14:paraId="0CE94240" w14:textId="77777777" w:rsidR="003F21EF" w:rsidRDefault="000A7EDA">
            <w:r>
              <w:t>Non calculable</w:t>
            </w:r>
          </w:p>
        </w:tc>
      </w:tr>
      <w:tr w:rsidR="00B23E3D" w14:paraId="7463CABA" w14:textId="77777777" w:rsidTr="00921F07">
        <w:trPr>
          <w:cantSplit/>
          <w:jc w:val="center"/>
        </w:trPr>
        <w:tc>
          <w:tcPr>
            <w:tcW w:w="5896" w:type="dxa"/>
            <w:tcMar>
              <w:top w:w="90" w:type="dxa"/>
              <w:left w:w="110" w:type="dxa"/>
              <w:bottom w:w="90" w:type="dxa"/>
              <w:right w:w="110" w:type="dxa"/>
            </w:tcMar>
            <w:vAlign w:val="center"/>
          </w:tcPr>
          <w:p w14:paraId="563F3AB6" w14:textId="77777777" w:rsidR="00B23E3D" w:rsidRDefault="00B23E3D" w:rsidP="00921F07">
            <w:r>
              <w:rPr>
                <w:rFonts w:ascii="Aptos" w:hAnsi="Aptos"/>
                <w:sz w:val="17"/>
              </w:rPr>
              <w:t>Inscriptions (2 profils, RGPD, CGU, données sensibles)</w:t>
            </w:r>
          </w:p>
        </w:tc>
        <w:tc>
          <w:tcPr>
            <w:tcW w:w="1304" w:type="dxa"/>
            <w:tcMar>
              <w:top w:w="90" w:type="dxa"/>
              <w:left w:w="110" w:type="dxa"/>
              <w:bottom w:w="90" w:type="dxa"/>
              <w:right w:w="110" w:type="dxa"/>
            </w:tcMar>
            <w:vAlign w:val="center"/>
          </w:tcPr>
          <w:p w14:paraId="52BC2B10" w14:textId="77777777" w:rsidR="00B23E3D" w:rsidRDefault="00B23E3D" w:rsidP="00921F07">
            <w:pPr>
              <w:jc w:val="center"/>
            </w:pPr>
            <w:r>
              <w:rPr>
                <w:rFonts w:ascii="Aptos" w:hAnsi="Aptos"/>
                <w:sz w:val="17"/>
              </w:rPr>
              <w:t>3</w:t>
            </w:r>
          </w:p>
        </w:tc>
        <w:tc>
          <w:tcPr>
            <w:tcW w:w="1531" w:type="dxa"/>
            <w:tcMar>
              <w:top w:w="90" w:type="dxa"/>
              <w:left w:w="110" w:type="dxa"/>
              <w:bottom w:w="90" w:type="dxa"/>
              <w:right w:w="110" w:type="dxa"/>
            </w:tcMar>
            <w:vAlign w:val="center"/>
          </w:tcPr>
          <w:p w14:paraId="17CCE194" w14:textId="77777777" w:rsidR="003F21EF" w:rsidRDefault="000A7EDA">
            <w:r>
              <w:t>Non ventilé</w:t>
            </w:r>
          </w:p>
        </w:tc>
        <w:tc>
          <w:tcPr>
            <w:tcW w:w="1474" w:type="dxa"/>
            <w:tcMar>
              <w:top w:w="90" w:type="dxa"/>
              <w:left w:w="110" w:type="dxa"/>
              <w:bottom w:w="90" w:type="dxa"/>
              <w:right w:w="110" w:type="dxa"/>
            </w:tcMar>
            <w:vAlign w:val="center"/>
          </w:tcPr>
          <w:p w14:paraId="29F6994C" w14:textId="77777777" w:rsidR="003F21EF" w:rsidRDefault="000A7EDA">
            <w:r>
              <w:t>Non calculable</w:t>
            </w:r>
          </w:p>
        </w:tc>
      </w:tr>
      <w:tr w:rsidR="00B23E3D" w14:paraId="0BA3A250" w14:textId="77777777" w:rsidTr="00921F07">
        <w:trPr>
          <w:cantSplit/>
          <w:jc w:val="center"/>
        </w:trPr>
        <w:tc>
          <w:tcPr>
            <w:tcW w:w="5896" w:type="dxa"/>
            <w:tcMar>
              <w:top w:w="90" w:type="dxa"/>
              <w:left w:w="110" w:type="dxa"/>
              <w:bottom w:w="90" w:type="dxa"/>
              <w:right w:w="110" w:type="dxa"/>
            </w:tcMar>
            <w:vAlign w:val="center"/>
          </w:tcPr>
          <w:p w14:paraId="336544C5" w14:textId="77777777" w:rsidR="00B23E3D" w:rsidRDefault="00B23E3D" w:rsidP="00921F07">
            <w:r>
              <w:rPr>
                <w:rFonts w:ascii="Aptos" w:hAnsi="Aptos"/>
                <w:sz w:val="17"/>
              </w:rPr>
              <w:t>Dashboard</w:t>
            </w:r>
          </w:p>
        </w:tc>
        <w:tc>
          <w:tcPr>
            <w:tcW w:w="1304" w:type="dxa"/>
            <w:tcMar>
              <w:top w:w="90" w:type="dxa"/>
              <w:left w:w="110" w:type="dxa"/>
              <w:bottom w:w="90" w:type="dxa"/>
              <w:right w:w="110" w:type="dxa"/>
            </w:tcMar>
            <w:vAlign w:val="center"/>
          </w:tcPr>
          <w:p w14:paraId="4F0C1581" w14:textId="77777777" w:rsidR="00B23E3D" w:rsidRDefault="00B23E3D" w:rsidP="00921F07">
            <w:pPr>
              <w:jc w:val="center"/>
            </w:pPr>
            <w:r>
              <w:rPr>
                <w:rFonts w:ascii="Aptos" w:hAnsi="Aptos"/>
                <w:sz w:val="17"/>
              </w:rPr>
              <w:t>1,5</w:t>
            </w:r>
          </w:p>
        </w:tc>
        <w:tc>
          <w:tcPr>
            <w:tcW w:w="1531" w:type="dxa"/>
            <w:tcMar>
              <w:top w:w="90" w:type="dxa"/>
              <w:left w:w="110" w:type="dxa"/>
              <w:bottom w:w="90" w:type="dxa"/>
              <w:right w:w="110" w:type="dxa"/>
            </w:tcMar>
            <w:vAlign w:val="center"/>
          </w:tcPr>
          <w:p w14:paraId="1DA1CAD6" w14:textId="77777777" w:rsidR="003F21EF" w:rsidRDefault="000A7EDA">
            <w:r>
              <w:t>Non ventilé</w:t>
            </w:r>
          </w:p>
        </w:tc>
        <w:tc>
          <w:tcPr>
            <w:tcW w:w="1474" w:type="dxa"/>
            <w:tcMar>
              <w:top w:w="90" w:type="dxa"/>
              <w:left w:w="110" w:type="dxa"/>
              <w:bottom w:w="90" w:type="dxa"/>
              <w:right w:w="110" w:type="dxa"/>
            </w:tcMar>
            <w:vAlign w:val="center"/>
          </w:tcPr>
          <w:p w14:paraId="62EF2678" w14:textId="77777777" w:rsidR="003F21EF" w:rsidRDefault="000A7EDA">
            <w:r>
              <w:t>Non calculable</w:t>
            </w:r>
          </w:p>
        </w:tc>
      </w:tr>
      <w:tr w:rsidR="00B23E3D" w14:paraId="5656BB0A" w14:textId="77777777" w:rsidTr="00921F07">
        <w:trPr>
          <w:cantSplit/>
          <w:jc w:val="center"/>
        </w:trPr>
        <w:tc>
          <w:tcPr>
            <w:tcW w:w="5896" w:type="dxa"/>
            <w:tcMar>
              <w:top w:w="90" w:type="dxa"/>
              <w:left w:w="110" w:type="dxa"/>
              <w:bottom w:w="90" w:type="dxa"/>
              <w:right w:w="110" w:type="dxa"/>
            </w:tcMar>
            <w:vAlign w:val="center"/>
          </w:tcPr>
          <w:p w14:paraId="1F968CF0" w14:textId="77777777" w:rsidR="00B23E3D" w:rsidRDefault="00B23E3D" w:rsidP="00921F07">
            <w:r>
              <w:rPr>
                <w:rFonts w:ascii="Aptos" w:hAnsi="Aptos"/>
                <w:sz w:val="17"/>
              </w:rPr>
              <w:t>Recherche</w:t>
            </w:r>
          </w:p>
        </w:tc>
        <w:tc>
          <w:tcPr>
            <w:tcW w:w="1304" w:type="dxa"/>
            <w:tcMar>
              <w:top w:w="90" w:type="dxa"/>
              <w:left w:w="110" w:type="dxa"/>
              <w:bottom w:w="90" w:type="dxa"/>
              <w:right w:w="110" w:type="dxa"/>
            </w:tcMar>
            <w:vAlign w:val="center"/>
          </w:tcPr>
          <w:p w14:paraId="6DA99DAA"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1F1271BB" w14:textId="77777777" w:rsidR="003F21EF" w:rsidRDefault="000A7EDA">
            <w:r>
              <w:t>Non ventilé</w:t>
            </w:r>
          </w:p>
        </w:tc>
        <w:tc>
          <w:tcPr>
            <w:tcW w:w="1474" w:type="dxa"/>
            <w:tcMar>
              <w:top w:w="90" w:type="dxa"/>
              <w:left w:w="110" w:type="dxa"/>
              <w:bottom w:w="90" w:type="dxa"/>
              <w:right w:w="110" w:type="dxa"/>
            </w:tcMar>
            <w:vAlign w:val="center"/>
          </w:tcPr>
          <w:p w14:paraId="21A1C6DC" w14:textId="77777777" w:rsidR="003F21EF" w:rsidRDefault="000A7EDA">
            <w:r>
              <w:t>Non calculable</w:t>
            </w:r>
          </w:p>
        </w:tc>
      </w:tr>
      <w:tr w:rsidR="00B23E3D" w14:paraId="08DE396E" w14:textId="77777777" w:rsidTr="00921F07">
        <w:trPr>
          <w:cantSplit/>
          <w:jc w:val="center"/>
        </w:trPr>
        <w:tc>
          <w:tcPr>
            <w:tcW w:w="5896" w:type="dxa"/>
            <w:tcMar>
              <w:top w:w="90" w:type="dxa"/>
              <w:left w:w="110" w:type="dxa"/>
              <w:bottom w:w="90" w:type="dxa"/>
              <w:right w:w="110" w:type="dxa"/>
            </w:tcMar>
            <w:vAlign w:val="center"/>
          </w:tcPr>
          <w:p w14:paraId="585255A8" w14:textId="77777777" w:rsidR="00B23E3D" w:rsidRDefault="00B23E3D" w:rsidP="00921F07">
            <w:r>
              <w:rPr>
                <w:rFonts w:ascii="Aptos" w:hAnsi="Aptos"/>
                <w:sz w:val="17"/>
              </w:rPr>
              <w:t>Favoris</w:t>
            </w:r>
          </w:p>
        </w:tc>
        <w:tc>
          <w:tcPr>
            <w:tcW w:w="1304" w:type="dxa"/>
            <w:tcMar>
              <w:top w:w="90" w:type="dxa"/>
              <w:left w:w="110" w:type="dxa"/>
              <w:bottom w:w="90" w:type="dxa"/>
              <w:right w:w="110" w:type="dxa"/>
            </w:tcMar>
            <w:vAlign w:val="center"/>
          </w:tcPr>
          <w:p w14:paraId="69AD04DE" w14:textId="77777777" w:rsidR="00B23E3D" w:rsidRDefault="00B23E3D" w:rsidP="00921F07">
            <w:pPr>
              <w:jc w:val="center"/>
            </w:pPr>
            <w:r>
              <w:rPr>
                <w:rFonts w:ascii="Aptos" w:hAnsi="Aptos"/>
                <w:sz w:val="17"/>
              </w:rPr>
              <w:t>1</w:t>
            </w:r>
          </w:p>
        </w:tc>
        <w:tc>
          <w:tcPr>
            <w:tcW w:w="1531" w:type="dxa"/>
            <w:tcMar>
              <w:top w:w="90" w:type="dxa"/>
              <w:left w:w="110" w:type="dxa"/>
              <w:bottom w:w="90" w:type="dxa"/>
              <w:right w:w="110" w:type="dxa"/>
            </w:tcMar>
            <w:vAlign w:val="center"/>
          </w:tcPr>
          <w:p w14:paraId="2DA095A3" w14:textId="77777777" w:rsidR="003F21EF" w:rsidRDefault="000A7EDA">
            <w:r>
              <w:t>Non ventilé</w:t>
            </w:r>
          </w:p>
        </w:tc>
        <w:tc>
          <w:tcPr>
            <w:tcW w:w="1474" w:type="dxa"/>
            <w:tcMar>
              <w:top w:w="90" w:type="dxa"/>
              <w:left w:w="110" w:type="dxa"/>
              <w:bottom w:w="90" w:type="dxa"/>
              <w:right w:w="110" w:type="dxa"/>
            </w:tcMar>
            <w:vAlign w:val="center"/>
          </w:tcPr>
          <w:p w14:paraId="049951A7" w14:textId="77777777" w:rsidR="003F21EF" w:rsidRDefault="000A7EDA">
            <w:r>
              <w:t>Non calculable</w:t>
            </w:r>
          </w:p>
        </w:tc>
      </w:tr>
      <w:tr w:rsidR="00B23E3D" w14:paraId="3963236E" w14:textId="77777777" w:rsidTr="00921F07">
        <w:trPr>
          <w:cantSplit/>
          <w:jc w:val="center"/>
        </w:trPr>
        <w:tc>
          <w:tcPr>
            <w:tcW w:w="5896" w:type="dxa"/>
            <w:tcMar>
              <w:top w:w="90" w:type="dxa"/>
              <w:left w:w="110" w:type="dxa"/>
              <w:bottom w:w="90" w:type="dxa"/>
              <w:right w:w="110" w:type="dxa"/>
            </w:tcMar>
            <w:vAlign w:val="center"/>
          </w:tcPr>
          <w:p w14:paraId="504DE88F" w14:textId="77777777" w:rsidR="00B23E3D" w:rsidRDefault="00B23E3D" w:rsidP="00921F07">
            <w:r>
              <w:rPr>
                <w:rFonts w:ascii="Aptos" w:hAnsi="Aptos"/>
                <w:sz w:val="17"/>
              </w:rPr>
              <w:t>Candidatures</w:t>
            </w:r>
          </w:p>
        </w:tc>
        <w:tc>
          <w:tcPr>
            <w:tcW w:w="1304" w:type="dxa"/>
            <w:tcMar>
              <w:top w:w="90" w:type="dxa"/>
              <w:left w:w="110" w:type="dxa"/>
              <w:bottom w:w="90" w:type="dxa"/>
              <w:right w:w="110" w:type="dxa"/>
            </w:tcMar>
            <w:vAlign w:val="center"/>
          </w:tcPr>
          <w:p w14:paraId="57DF873F" w14:textId="77777777" w:rsidR="00B23E3D" w:rsidRDefault="00B23E3D" w:rsidP="00921F07">
            <w:pPr>
              <w:jc w:val="center"/>
            </w:pPr>
            <w:r>
              <w:rPr>
                <w:rFonts w:ascii="Aptos" w:hAnsi="Aptos"/>
                <w:sz w:val="17"/>
              </w:rPr>
              <w:t>1,5</w:t>
            </w:r>
          </w:p>
        </w:tc>
        <w:tc>
          <w:tcPr>
            <w:tcW w:w="1531" w:type="dxa"/>
            <w:tcMar>
              <w:top w:w="90" w:type="dxa"/>
              <w:left w:w="110" w:type="dxa"/>
              <w:bottom w:w="90" w:type="dxa"/>
              <w:right w:w="110" w:type="dxa"/>
            </w:tcMar>
            <w:vAlign w:val="center"/>
          </w:tcPr>
          <w:p w14:paraId="355458CC" w14:textId="77777777" w:rsidR="003F21EF" w:rsidRDefault="000A7EDA">
            <w:r>
              <w:t>Non ventilé</w:t>
            </w:r>
          </w:p>
        </w:tc>
        <w:tc>
          <w:tcPr>
            <w:tcW w:w="1474" w:type="dxa"/>
            <w:tcMar>
              <w:top w:w="90" w:type="dxa"/>
              <w:left w:w="110" w:type="dxa"/>
              <w:bottom w:w="90" w:type="dxa"/>
              <w:right w:w="110" w:type="dxa"/>
            </w:tcMar>
            <w:vAlign w:val="center"/>
          </w:tcPr>
          <w:p w14:paraId="7FDF6CF0" w14:textId="77777777" w:rsidR="003F21EF" w:rsidRDefault="000A7EDA">
            <w:r>
              <w:t>Non calculable</w:t>
            </w:r>
          </w:p>
        </w:tc>
      </w:tr>
      <w:tr w:rsidR="00B23E3D" w14:paraId="7A13FC3F" w14:textId="77777777" w:rsidTr="00921F07">
        <w:trPr>
          <w:cantSplit/>
          <w:jc w:val="center"/>
        </w:trPr>
        <w:tc>
          <w:tcPr>
            <w:tcW w:w="5896" w:type="dxa"/>
            <w:tcMar>
              <w:top w:w="90" w:type="dxa"/>
              <w:left w:w="110" w:type="dxa"/>
              <w:bottom w:w="90" w:type="dxa"/>
              <w:right w:w="110" w:type="dxa"/>
            </w:tcMar>
            <w:vAlign w:val="center"/>
          </w:tcPr>
          <w:p w14:paraId="2B5310B3" w14:textId="77777777" w:rsidR="00B23E3D" w:rsidRDefault="00B23E3D" w:rsidP="00921F07">
            <w:r>
              <w:rPr>
                <w:rFonts w:ascii="Aptos" w:hAnsi="Aptos"/>
                <w:sz w:val="17"/>
              </w:rPr>
              <w:t>Disponibilités</w:t>
            </w:r>
          </w:p>
        </w:tc>
        <w:tc>
          <w:tcPr>
            <w:tcW w:w="1304" w:type="dxa"/>
            <w:tcMar>
              <w:top w:w="90" w:type="dxa"/>
              <w:left w:w="110" w:type="dxa"/>
              <w:bottom w:w="90" w:type="dxa"/>
              <w:right w:w="110" w:type="dxa"/>
            </w:tcMar>
            <w:vAlign w:val="center"/>
          </w:tcPr>
          <w:p w14:paraId="2CB45F6C" w14:textId="77777777" w:rsidR="00B23E3D" w:rsidRDefault="00B23E3D" w:rsidP="00921F07">
            <w:pPr>
              <w:jc w:val="center"/>
            </w:pPr>
            <w:r>
              <w:rPr>
                <w:rFonts w:ascii="Aptos" w:hAnsi="Aptos"/>
                <w:sz w:val="17"/>
              </w:rPr>
              <w:t>1,5</w:t>
            </w:r>
          </w:p>
        </w:tc>
        <w:tc>
          <w:tcPr>
            <w:tcW w:w="1531" w:type="dxa"/>
            <w:tcMar>
              <w:top w:w="90" w:type="dxa"/>
              <w:left w:w="110" w:type="dxa"/>
              <w:bottom w:w="90" w:type="dxa"/>
              <w:right w:w="110" w:type="dxa"/>
            </w:tcMar>
            <w:vAlign w:val="center"/>
          </w:tcPr>
          <w:p w14:paraId="1EBD7526" w14:textId="77777777" w:rsidR="003F21EF" w:rsidRDefault="000A7EDA">
            <w:r>
              <w:t>Non ventilé</w:t>
            </w:r>
          </w:p>
        </w:tc>
        <w:tc>
          <w:tcPr>
            <w:tcW w:w="1474" w:type="dxa"/>
            <w:tcMar>
              <w:top w:w="90" w:type="dxa"/>
              <w:left w:w="110" w:type="dxa"/>
              <w:bottom w:w="90" w:type="dxa"/>
              <w:right w:w="110" w:type="dxa"/>
            </w:tcMar>
            <w:vAlign w:val="center"/>
          </w:tcPr>
          <w:p w14:paraId="6543EE25" w14:textId="77777777" w:rsidR="003F21EF" w:rsidRDefault="000A7EDA">
            <w:r>
              <w:t>Non calculable</w:t>
            </w:r>
          </w:p>
        </w:tc>
      </w:tr>
      <w:tr w:rsidR="00B23E3D" w14:paraId="2E58DFCB" w14:textId="77777777" w:rsidTr="00921F07">
        <w:trPr>
          <w:cantSplit/>
          <w:jc w:val="center"/>
        </w:trPr>
        <w:tc>
          <w:tcPr>
            <w:tcW w:w="5896" w:type="dxa"/>
            <w:tcMar>
              <w:top w:w="90" w:type="dxa"/>
              <w:left w:w="110" w:type="dxa"/>
              <w:bottom w:w="90" w:type="dxa"/>
              <w:right w:w="110" w:type="dxa"/>
            </w:tcMar>
            <w:vAlign w:val="center"/>
          </w:tcPr>
          <w:p w14:paraId="6BC0F1EC" w14:textId="77777777" w:rsidR="00B23E3D" w:rsidRDefault="00B23E3D" w:rsidP="00921F07">
            <w:r>
              <w:rPr>
                <w:rFonts w:ascii="Aptos" w:hAnsi="Aptos"/>
                <w:sz w:val="17"/>
              </w:rPr>
              <w:t>Historique missions</w:t>
            </w:r>
          </w:p>
        </w:tc>
        <w:tc>
          <w:tcPr>
            <w:tcW w:w="1304" w:type="dxa"/>
            <w:tcMar>
              <w:top w:w="90" w:type="dxa"/>
              <w:left w:w="110" w:type="dxa"/>
              <w:bottom w:w="90" w:type="dxa"/>
              <w:right w:w="110" w:type="dxa"/>
            </w:tcMar>
            <w:vAlign w:val="center"/>
          </w:tcPr>
          <w:p w14:paraId="640DE072" w14:textId="77777777" w:rsidR="00B23E3D" w:rsidRDefault="00B23E3D" w:rsidP="00921F07">
            <w:pPr>
              <w:jc w:val="center"/>
            </w:pPr>
            <w:r>
              <w:rPr>
                <w:rFonts w:ascii="Aptos" w:hAnsi="Aptos"/>
                <w:sz w:val="17"/>
              </w:rPr>
              <w:t>1</w:t>
            </w:r>
          </w:p>
        </w:tc>
        <w:tc>
          <w:tcPr>
            <w:tcW w:w="1531" w:type="dxa"/>
            <w:tcMar>
              <w:top w:w="90" w:type="dxa"/>
              <w:left w:w="110" w:type="dxa"/>
              <w:bottom w:w="90" w:type="dxa"/>
              <w:right w:w="110" w:type="dxa"/>
            </w:tcMar>
            <w:vAlign w:val="center"/>
          </w:tcPr>
          <w:p w14:paraId="03685D0B" w14:textId="77777777" w:rsidR="003F21EF" w:rsidRDefault="000A7EDA">
            <w:r>
              <w:t>Non ventilé</w:t>
            </w:r>
          </w:p>
        </w:tc>
        <w:tc>
          <w:tcPr>
            <w:tcW w:w="1474" w:type="dxa"/>
            <w:tcMar>
              <w:top w:w="90" w:type="dxa"/>
              <w:left w:w="110" w:type="dxa"/>
              <w:bottom w:w="90" w:type="dxa"/>
              <w:right w:w="110" w:type="dxa"/>
            </w:tcMar>
            <w:vAlign w:val="center"/>
          </w:tcPr>
          <w:p w14:paraId="55C62A7D" w14:textId="77777777" w:rsidR="003F21EF" w:rsidRDefault="000A7EDA">
            <w:r>
              <w:t>Non calculable</w:t>
            </w:r>
          </w:p>
        </w:tc>
      </w:tr>
      <w:tr w:rsidR="00B23E3D" w14:paraId="4EB80697" w14:textId="77777777" w:rsidTr="00921F07">
        <w:trPr>
          <w:cantSplit/>
          <w:jc w:val="center"/>
        </w:trPr>
        <w:tc>
          <w:tcPr>
            <w:tcW w:w="5896" w:type="dxa"/>
            <w:tcMar>
              <w:top w:w="90" w:type="dxa"/>
              <w:left w:w="110" w:type="dxa"/>
              <w:bottom w:w="90" w:type="dxa"/>
              <w:right w:w="110" w:type="dxa"/>
            </w:tcMar>
            <w:vAlign w:val="center"/>
          </w:tcPr>
          <w:p w14:paraId="228E352E" w14:textId="77777777" w:rsidR="003F21EF" w:rsidRDefault="000A7EDA">
            <w:r>
              <w:t>Collecte d’offres France Travail / JobsPipe — intégrations conservées</w:t>
            </w:r>
          </w:p>
        </w:tc>
        <w:tc>
          <w:tcPr>
            <w:tcW w:w="1304" w:type="dxa"/>
            <w:tcMar>
              <w:top w:w="90" w:type="dxa"/>
              <w:left w:w="110" w:type="dxa"/>
              <w:bottom w:w="90" w:type="dxa"/>
              <w:right w:w="110" w:type="dxa"/>
            </w:tcMar>
            <w:vAlign w:val="center"/>
          </w:tcPr>
          <w:p w14:paraId="449AF5A9" w14:textId="77777777" w:rsidR="00B23E3D" w:rsidRDefault="00B23E3D" w:rsidP="00921F07">
            <w:pPr>
              <w:jc w:val="center"/>
            </w:pPr>
            <w:r>
              <w:rPr>
                <w:rFonts w:ascii="Aptos" w:hAnsi="Aptos"/>
                <w:sz w:val="17"/>
              </w:rPr>
              <w:t>3</w:t>
            </w:r>
          </w:p>
        </w:tc>
        <w:tc>
          <w:tcPr>
            <w:tcW w:w="1531" w:type="dxa"/>
            <w:tcMar>
              <w:top w:w="90" w:type="dxa"/>
              <w:left w:w="110" w:type="dxa"/>
              <w:bottom w:w="90" w:type="dxa"/>
              <w:right w:w="110" w:type="dxa"/>
            </w:tcMar>
            <w:vAlign w:val="center"/>
          </w:tcPr>
          <w:p w14:paraId="07CF26F8" w14:textId="77777777" w:rsidR="003F21EF" w:rsidRDefault="000A7EDA">
            <w:r>
              <w:t>Non ventilé</w:t>
            </w:r>
          </w:p>
        </w:tc>
        <w:tc>
          <w:tcPr>
            <w:tcW w:w="1474" w:type="dxa"/>
            <w:tcMar>
              <w:top w:w="90" w:type="dxa"/>
              <w:left w:w="110" w:type="dxa"/>
              <w:bottom w:w="90" w:type="dxa"/>
              <w:right w:w="110" w:type="dxa"/>
            </w:tcMar>
            <w:vAlign w:val="center"/>
          </w:tcPr>
          <w:p w14:paraId="3116B204" w14:textId="77777777" w:rsidR="003F21EF" w:rsidRDefault="000A7EDA">
            <w:r>
              <w:t>Non calculable</w:t>
            </w:r>
          </w:p>
        </w:tc>
      </w:tr>
      <w:tr w:rsidR="00B23E3D" w14:paraId="3642F6CA" w14:textId="77777777" w:rsidTr="00921F07">
        <w:trPr>
          <w:cantSplit/>
          <w:jc w:val="center"/>
        </w:trPr>
        <w:tc>
          <w:tcPr>
            <w:tcW w:w="5896" w:type="dxa"/>
            <w:tcMar>
              <w:top w:w="90" w:type="dxa"/>
              <w:left w:w="110" w:type="dxa"/>
              <w:bottom w:w="90" w:type="dxa"/>
              <w:right w:w="110" w:type="dxa"/>
            </w:tcMar>
            <w:vAlign w:val="center"/>
          </w:tcPr>
          <w:p w14:paraId="04E19F1C" w14:textId="77777777" w:rsidR="00B23E3D" w:rsidRDefault="00B23E3D" w:rsidP="00921F07">
            <w:r>
              <w:rPr>
                <w:rFonts w:ascii="Aptos" w:hAnsi="Aptos"/>
                <w:sz w:val="17"/>
              </w:rPr>
              <w:t>Matching déterministe</w:t>
            </w:r>
          </w:p>
        </w:tc>
        <w:tc>
          <w:tcPr>
            <w:tcW w:w="1304" w:type="dxa"/>
            <w:tcMar>
              <w:top w:w="90" w:type="dxa"/>
              <w:left w:w="110" w:type="dxa"/>
              <w:bottom w:w="90" w:type="dxa"/>
              <w:right w:w="110" w:type="dxa"/>
            </w:tcMar>
            <w:vAlign w:val="center"/>
          </w:tcPr>
          <w:p w14:paraId="5EA196E3" w14:textId="77777777" w:rsidR="00B23E3D" w:rsidRDefault="00B23E3D" w:rsidP="00921F07">
            <w:pPr>
              <w:jc w:val="center"/>
            </w:pPr>
            <w:r>
              <w:rPr>
                <w:rFonts w:ascii="Aptos" w:hAnsi="Aptos"/>
                <w:sz w:val="17"/>
              </w:rPr>
              <w:t>2,5</w:t>
            </w:r>
          </w:p>
        </w:tc>
        <w:tc>
          <w:tcPr>
            <w:tcW w:w="1531" w:type="dxa"/>
            <w:tcMar>
              <w:top w:w="90" w:type="dxa"/>
              <w:left w:w="110" w:type="dxa"/>
              <w:bottom w:w="90" w:type="dxa"/>
              <w:right w:w="110" w:type="dxa"/>
            </w:tcMar>
            <w:vAlign w:val="center"/>
          </w:tcPr>
          <w:p w14:paraId="782678A0" w14:textId="77777777" w:rsidR="003F21EF" w:rsidRDefault="000A7EDA">
            <w:r>
              <w:t>Non ventilé</w:t>
            </w:r>
          </w:p>
        </w:tc>
        <w:tc>
          <w:tcPr>
            <w:tcW w:w="1474" w:type="dxa"/>
            <w:tcMar>
              <w:top w:w="90" w:type="dxa"/>
              <w:left w:w="110" w:type="dxa"/>
              <w:bottom w:w="90" w:type="dxa"/>
              <w:right w:w="110" w:type="dxa"/>
            </w:tcMar>
            <w:vAlign w:val="center"/>
          </w:tcPr>
          <w:p w14:paraId="76EE7D1F" w14:textId="77777777" w:rsidR="003F21EF" w:rsidRDefault="000A7EDA">
            <w:r>
              <w:t>Non calculable</w:t>
            </w:r>
          </w:p>
        </w:tc>
      </w:tr>
      <w:tr w:rsidR="00B23E3D" w14:paraId="0C5ADDFB" w14:textId="77777777" w:rsidTr="00921F07">
        <w:trPr>
          <w:cantSplit/>
          <w:jc w:val="center"/>
        </w:trPr>
        <w:tc>
          <w:tcPr>
            <w:tcW w:w="5896" w:type="dxa"/>
            <w:tcMar>
              <w:top w:w="90" w:type="dxa"/>
              <w:left w:w="110" w:type="dxa"/>
              <w:bottom w:w="90" w:type="dxa"/>
              <w:right w:w="110" w:type="dxa"/>
            </w:tcMar>
            <w:vAlign w:val="center"/>
          </w:tcPr>
          <w:p w14:paraId="420265D8" w14:textId="77777777" w:rsidR="00B23E3D" w:rsidRDefault="00B23E3D" w:rsidP="00921F07">
            <w:r>
              <w:rPr>
                <w:rFonts w:ascii="Aptos" w:hAnsi="Aptos"/>
                <w:sz w:val="17"/>
              </w:rPr>
              <w:t>Création / gestion de mission côté établissement</w:t>
            </w:r>
          </w:p>
        </w:tc>
        <w:tc>
          <w:tcPr>
            <w:tcW w:w="1304" w:type="dxa"/>
            <w:tcMar>
              <w:top w:w="90" w:type="dxa"/>
              <w:left w:w="110" w:type="dxa"/>
              <w:bottom w:w="90" w:type="dxa"/>
              <w:right w:w="110" w:type="dxa"/>
            </w:tcMar>
            <w:vAlign w:val="center"/>
          </w:tcPr>
          <w:p w14:paraId="7109EDBA"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24F1E5BE" w14:textId="77777777" w:rsidR="003F21EF" w:rsidRDefault="000A7EDA">
            <w:r>
              <w:t>Non ventilé</w:t>
            </w:r>
          </w:p>
        </w:tc>
        <w:tc>
          <w:tcPr>
            <w:tcW w:w="1474" w:type="dxa"/>
            <w:tcMar>
              <w:top w:w="90" w:type="dxa"/>
              <w:left w:w="110" w:type="dxa"/>
              <w:bottom w:w="90" w:type="dxa"/>
              <w:right w:w="110" w:type="dxa"/>
            </w:tcMar>
            <w:vAlign w:val="center"/>
          </w:tcPr>
          <w:p w14:paraId="6F077686" w14:textId="77777777" w:rsidR="003F21EF" w:rsidRDefault="000A7EDA">
            <w:r>
              <w:t>Non calculable</w:t>
            </w:r>
          </w:p>
        </w:tc>
      </w:tr>
      <w:tr w:rsidR="00B23E3D" w14:paraId="2815DD56" w14:textId="77777777" w:rsidTr="00921F07">
        <w:trPr>
          <w:cantSplit/>
          <w:jc w:val="center"/>
        </w:trPr>
        <w:tc>
          <w:tcPr>
            <w:tcW w:w="5896" w:type="dxa"/>
            <w:tcMar>
              <w:top w:w="90" w:type="dxa"/>
              <w:left w:w="110" w:type="dxa"/>
              <w:bottom w:w="90" w:type="dxa"/>
              <w:right w:w="110" w:type="dxa"/>
            </w:tcMar>
            <w:vAlign w:val="center"/>
          </w:tcPr>
          <w:p w14:paraId="15029DDC" w14:textId="77777777" w:rsidR="00B23E3D" w:rsidRDefault="00B23E3D" w:rsidP="00921F07">
            <w:r>
              <w:rPr>
                <w:rFonts w:ascii="Aptos" w:hAnsi="Aptos"/>
                <w:sz w:val="17"/>
              </w:rPr>
              <w:t>Suivi des missions / intervention ETT</w:t>
            </w:r>
          </w:p>
        </w:tc>
        <w:tc>
          <w:tcPr>
            <w:tcW w:w="1304" w:type="dxa"/>
            <w:tcMar>
              <w:top w:w="90" w:type="dxa"/>
              <w:left w:w="110" w:type="dxa"/>
              <w:bottom w:w="90" w:type="dxa"/>
              <w:right w:w="110" w:type="dxa"/>
            </w:tcMar>
            <w:vAlign w:val="center"/>
          </w:tcPr>
          <w:p w14:paraId="206EB2D4" w14:textId="77777777" w:rsidR="00B23E3D" w:rsidRDefault="00B23E3D" w:rsidP="00921F07">
            <w:pPr>
              <w:jc w:val="center"/>
            </w:pPr>
            <w:r>
              <w:rPr>
                <w:rFonts w:ascii="Aptos" w:hAnsi="Aptos"/>
                <w:sz w:val="17"/>
              </w:rPr>
              <w:t>1,5</w:t>
            </w:r>
          </w:p>
        </w:tc>
        <w:tc>
          <w:tcPr>
            <w:tcW w:w="1531" w:type="dxa"/>
            <w:tcMar>
              <w:top w:w="90" w:type="dxa"/>
              <w:left w:w="110" w:type="dxa"/>
              <w:bottom w:w="90" w:type="dxa"/>
              <w:right w:w="110" w:type="dxa"/>
            </w:tcMar>
            <w:vAlign w:val="center"/>
          </w:tcPr>
          <w:p w14:paraId="51CF2171" w14:textId="77777777" w:rsidR="003F21EF" w:rsidRDefault="000A7EDA">
            <w:r>
              <w:t>Non ventilé</w:t>
            </w:r>
          </w:p>
        </w:tc>
        <w:tc>
          <w:tcPr>
            <w:tcW w:w="1474" w:type="dxa"/>
            <w:tcMar>
              <w:top w:w="90" w:type="dxa"/>
              <w:left w:w="110" w:type="dxa"/>
              <w:bottom w:w="90" w:type="dxa"/>
              <w:right w:w="110" w:type="dxa"/>
            </w:tcMar>
            <w:vAlign w:val="center"/>
          </w:tcPr>
          <w:p w14:paraId="1242CF42" w14:textId="77777777" w:rsidR="003F21EF" w:rsidRDefault="000A7EDA">
            <w:r>
              <w:t>Non calculable</w:t>
            </w:r>
          </w:p>
        </w:tc>
      </w:tr>
      <w:tr w:rsidR="00B23E3D" w14:paraId="4DB76ED1" w14:textId="77777777" w:rsidTr="00921F07">
        <w:trPr>
          <w:cantSplit/>
          <w:jc w:val="center"/>
        </w:trPr>
        <w:tc>
          <w:tcPr>
            <w:tcW w:w="5896" w:type="dxa"/>
            <w:tcMar>
              <w:top w:w="90" w:type="dxa"/>
              <w:left w:w="110" w:type="dxa"/>
              <w:bottom w:w="90" w:type="dxa"/>
              <w:right w:w="110" w:type="dxa"/>
            </w:tcMar>
            <w:vAlign w:val="center"/>
          </w:tcPr>
          <w:p w14:paraId="69D8F538" w14:textId="77777777" w:rsidR="00B23E3D" w:rsidRDefault="00B23E3D" w:rsidP="00921F07">
            <w:r>
              <w:rPr>
                <w:rFonts w:ascii="Aptos" w:hAnsi="Aptos"/>
                <w:sz w:val="17"/>
              </w:rPr>
              <w:t>Exploitation des données publiques / vérification RPPS</w:t>
            </w:r>
          </w:p>
        </w:tc>
        <w:tc>
          <w:tcPr>
            <w:tcW w:w="1304" w:type="dxa"/>
            <w:tcMar>
              <w:top w:w="90" w:type="dxa"/>
              <w:left w:w="110" w:type="dxa"/>
              <w:bottom w:w="90" w:type="dxa"/>
              <w:right w:w="110" w:type="dxa"/>
            </w:tcMar>
            <w:vAlign w:val="center"/>
          </w:tcPr>
          <w:p w14:paraId="43446266" w14:textId="77777777" w:rsidR="00B23E3D" w:rsidRDefault="00B23E3D" w:rsidP="00921F07">
            <w:pPr>
              <w:jc w:val="center"/>
            </w:pPr>
            <w:r>
              <w:rPr>
                <w:rFonts w:ascii="Aptos" w:hAnsi="Aptos"/>
                <w:sz w:val="17"/>
              </w:rPr>
              <w:t>1</w:t>
            </w:r>
          </w:p>
        </w:tc>
        <w:tc>
          <w:tcPr>
            <w:tcW w:w="1531" w:type="dxa"/>
            <w:tcMar>
              <w:top w:w="90" w:type="dxa"/>
              <w:left w:w="110" w:type="dxa"/>
              <w:bottom w:w="90" w:type="dxa"/>
              <w:right w:w="110" w:type="dxa"/>
            </w:tcMar>
            <w:vAlign w:val="center"/>
          </w:tcPr>
          <w:p w14:paraId="317FC2F7" w14:textId="77777777" w:rsidR="003F21EF" w:rsidRDefault="000A7EDA">
            <w:r>
              <w:t>Non ventilé</w:t>
            </w:r>
          </w:p>
        </w:tc>
        <w:tc>
          <w:tcPr>
            <w:tcW w:w="1474" w:type="dxa"/>
            <w:tcMar>
              <w:top w:w="90" w:type="dxa"/>
              <w:left w:w="110" w:type="dxa"/>
              <w:bottom w:w="90" w:type="dxa"/>
              <w:right w:w="110" w:type="dxa"/>
            </w:tcMar>
            <w:vAlign w:val="center"/>
          </w:tcPr>
          <w:p w14:paraId="0D674464" w14:textId="77777777" w:rsidR="003F21EF" w:rsidRDefault="000A7EDA">
            <w:r>
              <w:t>Non calculable</w:t>
            </w:r>
          </w:p>
        </w:tc>
      </w:tr>
      <w:tr w:rsidR="00B23E3D" w14:paraId="342B0E1D" w14:textId="77777777" w:rsidTr="00921F07">
        <w:trPr>
          <w:cantSplit/>
          <w:jc w:val="center"/>
        </w:trPr>
        <w:tc>
          <w:tcPr>
            <w:tcW w:w="5896" w:type="dxa"/>
            <w:tcMar>
              <w:top w:w="90" w:type="dxa"/>
              <w:left w:w="110" w:type="dxa"/>
              <w:bottom w:w="90" w:type="dxa"/>
              <w:right w:w="110" w:type="dxa"/>
            </w:tcMar>
            <w:vAlign w:val="center"/>
          </w:tcPr>
          <w:p w14:paraId="11233480" w14:textId="77777777" w:rsidR="00B23E3D" w:rsidRDefault="00B23E3D" w:rsidP="00921F07">
            <w:r>
              <w:rPr>
                <w:rFonts w:ascii="Aptos" w:hAnsi="Aptos"/>
                <w:sz w:val="17"/>
              </w:rPr>
              <w:t>Vérification dossier (stub)</w:t>
            </w:r>
          </w:p>
        </w:tc>
        <w:tc>
          <w:tcPr>
            <w:tcW w:w="1304" w:type="dxa"/>
            <w:tcMar>
              <w:top w:w="90" w:type="dxa"/>
              <w:left w:w="110" w:type="dxa"/>
              <w:bottom w:w="90" w:type="dxa"/>
              <w:right w:w="110" w:type="dxa"/>
            </w:tcMar>
            <w:vAlign w:val="center"/>
          </w:tcPr>
          <w:p w14:paraId="0EA1CD8C" w14:textId="77777777" w:rsidR="00B23E3D" w:rsidRDefault="00B23E3D" w:rsidP="00921F07">
            <w:pPr>
              <w:jc w:val="center"/>
            </w:pPr>
            <w:r>
              <w:rPr>
                <w:rFonts w:ascii="Aptos" w:hAnsi="Aptos"/>
                <w:sz w:val="17"/>
              </w:rPr>
              <w:t>0,5</w:t>
            </w:r>
          </w:p>
        </w:tc>
        <w:tc>
          <w:tcPr>
            <w:tcW w:w="1531" w:type="dxa"/>
            <w:tcMar>
              <w:top w:w="90" w:type="dxa"/>
              <w:left w:w="110" w:type="dxa"/>
              <w:bottom w:w="90" w:type="dxa"/>
              <w:right w:w="110" w:type="dxa"/>
            </w:tcMar>
            <w:vAlign w:val="center"/>
          </w:tcPr>
          <w:p w14:paraId="70572C6D" w14:textId="77777777" w:rsidR="003F21EF" w:rsidRDefault="000A7EDA">
            <w:r>
              <w:t>Non ventilé</w:t>
            </w:r>
          </w:p>
        </w:tc>
        <w:tc>
          <w:tcPr>
            <w:tcW w:w="1474" w:type="dxa"/>
            <w:tcMar>
              <w:top w:w="90" w:type="dxa"/>
              <w:left w:w="110" w:type="dxa"/>
              <w:bottom w:w="90" w:type="dxa"/>
              <w:right w:w="110" w:type="dxa"/>
            </w:tcMar>
            <w:vAlign w:val="center"/>
          </w:tcPr>
          <w:p w14:paraId="5B50571E" w14:textId="77777777" w:rsidR="003F21EF" w:rsidRDefault="000A7EDA">
            <w:r>
              <w:t>Non calculable</w:t>
            </w:r>
          </w:p>
        </w:tc>
      </w:tr>
      <w:tr w:rsidR="00B23E3D" w14:paraId="5676CFEF" w14:textId="77777777" w:rsidTr="00921F07">
        <w:trPr>
          <w:cantSplit/>
          <w:jc w:val="center"/>
        </w:trPr>
        <w:tc>
          <w:tcPr>
            <w:tcW w:w="5896" w:type="dxa"/>
            <w:tcMar>
              <w:top w:w="90" w:type="dxa"/>
              <w:left w:w="110" w:type="dxa"/>
              <w:bottom w:w="90" w:type="dxa"/>
              <w:right w:w="110" w:type="dxa"/>
            </w:tcMar>
            <w:vAlign w:val="center"/>
          </w:tcPr>
          <w:p w14:paraId="72C93DCE" w14:textId="77777777" w:rsidR="00B23E3D" w:rsidRDefault="00B23E3D" w:rsidP="00921F07">
            <w:r>
              <w:rPr>
                <w:rFonts w:ascii="Aptos" w:hAnsi="Aptos"/>
                <w:sz w:val="17"/>
              </w:rPr>
              <w:t>Dossier documentaire</w:t>
            </w:r>
          </w:p>
        </w:tc>
        <w:tc>
          <w:tcPr>
            <w:tcW w:w="1304" w:type="dxa"/>
            <w:tcMar>
              <w:top w:w="90" w:type="dxa"/>
              <w:left w:w="110" w:type="dxa"/>
              <w:bottom w:w="90" w:type="dxa"/>
              <w:right w:w="110" w:type="dxa"/>
            </w:tcMar>
            <w:vAlign w:val="center"/>
          </w:tcPr>
          <w:p w14:paraId="2D550EC9" w14:textId="77777777" w:rsidR="00B23E3D" w:rsidRDefault="00B23E3D" w:rsidP="00921F07">
            <w:pPr>
              <w:jc w:val="center"/>
            </w:pPr>
            <w:r>
              <w:rPr>
                <w:rFonts w:ascii="Aptos" w:hAnsi="Aptos"/>
                <w:sz w:val="17"/>
              </w:rPr>
              <w:t>1,5</w:t>
            </w:r>
          </w:p>
        </w:tc>
        <w:tc>
          <w:tcPr>
            <w:tcW w:w="1531" w:type="dxa"/>
            <w:tcMar>
              <w:top w:w="90" w:type="dxa"/>
              <w:left w:w="110" w:type="dxa"/>
              <w:bottom w:w="90" w:type="dxa"/>
              <w:right w:w="110" w:type="dxa"/>
            </w:tcMar>
            <w:vAlign w:val="center"/>
          </w:tcPr>
          <w:p w14:paraId="3324EDBE" w14:textId="77777777" w:rsidR="003F21EF" w:rsidRDefault="000A7EDA">
            <w:r>
              <w:t>Non ventilé</w:t>
            </w:r>
          </w:p>
        </w:tc>
        <w:tc>
          <w:tcPr>
            <w:tcW w:w="1474" w:type="dxa"/>
            <w:tcMar>
              <w:top w:w="90" w:type="dxa"/>
              <w:left w:w="110" w:type="dxa"/>
              <w:bottom w:w="90" w:type="dxa"/>
              <w:right w:w="110" w:type="dxa"/>
            </w:tcMar>
            <w:vAlign w:val="center"/>
          </w:tcPr>
          <w:p w14:paraId="2AC158C2" w14:textId="77777777" w:rsidR="003F21EF" w:rsidRDefault="000A7EDA">
            <w:r>
              <w:t>Non calculable</w:t>
            </w:r>
          </w:p>
        </w:tc>
      </w:tr>
      <w:tr w:rsidR="00B23E3D" w14:paraId="0C7FB972" w14:textId="77777777" w:rsidTr="00921F07">
        <w:trPr>
          <w:cantSplit/>
          <w:jc w:val="center"/>
        </w:trPr>
        <w:tc>
          <w:tcPr>
            <w:tcW w:w="5896" w:type="dxa"/>
            <w:tcMar>
              <w:top w:w="90" w:type="dxa"/>
              <w:left w:w="110" w:type="dxa"/>
              <w:bottom w:w="90" w:type="dxa"/>
              <w:right w:w="110" w:type="dxa"/>
            </w:tcMar>
            <w:vAlign w:val="center"/>
          </w:tcPr>
          <w:p w14:paraId="2713EC47" w14:textId="77777777" w:rsidR="00B23E3D" w:rsidRDefault="00B23E3D" w:rsidP="00921F07">
            <w:r>
              <w:rPr>
                <w:rFonts w:ascii="Aptos" w:hAnsi="Aptos"/>
                <w:sz w:val="17"/>
              </w:rPr>
              <w:t>Notifications + automatisations n8n</w:t>
            </w:r>
          </w:p>
        </w:tc>
        <w:tc>
          <w:tcPr>
            <w:tcW w:w="1304" w:type="dxa"/>
            <w:tcMar>
              <w:top w:w="90" w:type="dxa"/>
              <w:left w:w="110" w:type="dxa"/>
              <w:bottom w:w="90" w:type="dxa"/>
              <w:right w:w="110" w:type="dxa"/>
            </w:tcMar>
            <w:vAlign w:val="center"/>
          </w:tcPr>
          <w:p w14:paraId="425C1B36"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628CC207" w14:textId="77777777" w:rsidR="003F21EF" w:rsidRDefault="000A7EDA">
            <w:r>
              <w:t>Non ventilé</w:t>
            </w:r>
          </w:p>
        </w:tc>
        <w:tc>
          <w:tcPr>
            <w:tcW w:w="1474" w:type="dxa"/>
            <w:tcMar>
              <w:top w:w="90" w:type="dxa"/>
              <w:left w:w="110" w:type="dxa"/>
              <w:bottom w:w="90" w:type="dxa"/>
              <w:right w:w="110" w:type="dxa"/>
            </w:tcMar>
            <w:vAlign w:val="center"/>
          </w:tcPr>
          <w:p w14:paraId="4CFC7776" w14:textId="77777777" w:rsidR="003F21EF" w:rsidRDefault="000A7EDA">
            <w:r>
              <w:t>Non calculable</w:t>
            </w:r>
          </w:p>
        </w:tc>
      </w:tr>
      <w:tr w:rsidR="00B23E3D" w14:paraId="7EA95877" w14:textId="77777777" w:rsidTr="00921F07">
        <w:trPr>
          <w:cantSplit/>
          <w:jc w:val="center"/>
        </w:trPr>
        <w:tc>
          <w:tcPr>
            <w:tcW w:w="5896" w:type="dxa"/>
            <w:tcMar>
              <w:top w:w="90" w:type="dxa"/>
              <w:left w:w="110" w:type="dxa"/>
              <w:bottom w:w="90" w:type="dxa"/>
              <w:right w:w="110" w:type="dxa"/>
            </w:tcMar>
            <w:vAlign w:val="center"/>
          </w:tcPr>
          <w:p w14:paraId="1AF9FA25" w14:textId="77777777" w:rsidR="00B23E3D" w:rsidRDefault="00B23E3D" w:rsidP="00921F07">
            <w:r>
              <w:rPr>
                <w:rFonts w:ascii="Aptos" w:hAnsi="Aptos"/>
                <w:sz w:val="17"/>
              </w:rPr>
              <w:t>Tests unitaires + fonctionnels + coverage</w:t>
            </w:r>
          </w:p>
        </w:tc>
        <w:tc>
          <w:tcPr>
            <w:tcW w:w="1304" w:type="dxa"/>
            <w:tcMar>
              <w:top w:w="90" w:type="dxa"/>
              <w:left w:w="110" w:type="dxa"/>
              <w:bottom w:w="90" w:type="dxa"/>
              <w:right w:w="110" w:type="dxa"/>
            </w:tcMar>
            <w:vAlign w:val="center"/>
          </w:tcPr>
          <w:p w14:paraId="02FE2BF8" w14:textId="77777777" w:rsidR="00B23E3D" w:rsidRDefault="00B23E3D" w:rsidP="00921F07">
            <w:pPr>
              <w:jc w:val="center"/>
            </w:pPr>
            <w:r>
              <w:rPr>
                <w:rFonts w:ascii="Aptos" w:hAnsi="Aptos"/>
                <w:sz w:val="17"/>
              </w:rPr>
              <w:t>2,5</w:t>
            </w:r>
          </w:p>
        </w:tc>
        <w:tc>
          <w:tcPr>
            <w:tcW w:w="1531" w:type="dxa"/>
            <w:tcMar>
              <w:top w:w="90" w:type="dxa"/>
              <w:left w:w="110" w:type="dxa"/>
              <w:bottom w:w="90" w:type="dxa"/>
              <w:right w:w="110" w:type="dxa"/>
            </w:tcMar>
            <w:vAlign w:val="center"/>
          </w:tcPr>
          <w:p w14:paraId="6BE98A5B" w14:textId="77777777" w:rsidR="003F21EF" w:rsidRDefault="000A7EDA">
            <w:r>
              <w:t>Non ventilé</w:t>
            </w:r>
          </w:p>
        </w:tc>
        <w:tc>
          <w:tcPr>
            <w:tcW w:w="1474" w:type="dxa"/>
            <w:tcMar>
              <w:top w:w="90" w:type="dxa"/>
              <w:left w:w="110" w:type="dxa"/>
              <w:bottom w:w="90" w:type="dxa"/>
              <w:right w:w="110" w:type="dxa"/>
            </w:tcMar>
            <w:vAlign w:val="center"/>
          </w:tcPr>
          <w:p w14:paraId="796DA6EA" w14:textId="77777777" w:rsidR="003F21EF" w:rsidRDefault="000A7EDA">
            <w:r>
              <w:t>Non calculable</w:t>
            </w:r>
          </w:p>
        </w:tc>
      </w:tr>
      <w:tr w:rsidR="00B23E3D" w14:paraId="04C263FE" w14:textId="77777777" w:rsidTr="00921F07">
        <w:trPr>
          <w:cantSplit/>
          <w:jc w:val="center"/>
        </w:trPr>
        <w:tc>
          <w:tcPr>
            <w:tcW w:w="5896" w:type="dxa"/>
            <w:tcMar>
              <w:top w:w="90" w:type="dxa"/>
              <w:left w:w="110" w:type="dxa"/>
              <w:bottom w:w="90" w:type="dxa"/>
              <w:right w:w="110" w:type="dxa"/>
            </w:tcMar>
            <w:vAlign w:val="center"/>
          </w:tcPr>
          <w:p w14:paraId="41B3B801" w14:textId="77777777" w:rsidR="00B23E3D" w:rsidRDefault="00B23E3D" w:rsidP="00921F07">
            <w:r>
              <w:rPr>
                <w:rFonts w:ascii="Aptos" w:hAnsi="Aptos"/>
                <w:sz w:val="17"/>
              </w:rPr>
              <w:t>RGAA + RGESN + SEO</w:t>
            </w:r>
          </w:p>
        </w:tc>
        <w:tc>
          <w:tcPr>
            <w:tcW w:w="1304" w:type="dxa"/>
            <w:tcMar>
              <w:top w:w="90" w:type="dxa"/>
              <w:left w:w="110" w:type="dxa"/>
              <w:bottom w:w="90" w:type="dxa"/>
              <w:right w:w="110" w:type="dxa"/>
            </w:tcMar>
            <w:vAlign w:val="center"/>
          </w:tcPr>
          <w:p w14:paraId="26A6D20F"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68D55F2A" w14:textId="77777777" w:rsidR="003F21EF" w:rsidRDefault="000A7EDA">
            <w:r>
              <w:t>Non ventilé</w:t>
            </w:r>
          </w:p>
        </w:tc>
        <w:tc>
          <w:tcPr>
            <w:tcW w:w="1474" w:type="dxa"/>
            <w:tcMar>
              <w:top w:w="90" w:type="dxa"/>
              <w:left w:w="110" w:type="dxa"/>
              <w:bottom w:w="90" w:type="dxa"/>
              <w:right w:w="110" w:type="dxa"/>
            </w:tcMar>
            <w:vAlign w:val="center"/>
          </w:tcPr>
          <w:p w14:paraId="5CB0C6AB" w14:textId="77777777" w:rsidR="003F21EF" w:rsidRDefault="000A7EDA">
            <w:r>
              <w:t>Non calculable</w:t>
            </w:r>
          </w:p>
        </w:tc>
      </w:tr>
      <w:tr w:rsidR="00B23E3D" w14:paraId="2BB701B5" w14:textId="77777777" w:rsidTr="00921F07">
        <w:trPr>
          <w:cantSplit/>
          <w:jc w:val="center"/>
        </w:trPr>
        <w:tc>
          <w:tcPr>
            <w:tcW w:w="5896" w:type="dxa"/>
            <w:tcMar>
              <w:top w:w="90" w:type="dxa"/>
              <w:left w:w="110" w:type="dxa"/>
              <w:bottom w:w="90" w:type="dxa"/>
              <w:right w:w="110" w:type="dxa"/>
            </w:tcMar>
            <w:vAlign w:val="center"/>
          </w:tcPr>
          <w:p w14:paraId="3082C0E5" w14:textId="77777777" w:rsidR="00B23E3D" w:rsidRDefault="00B23E3D" w:rsidP="00921F07">
            <w:r>
              <w:rPr>
                <w:rFonts w:ascii="Aptos" w:hAnsi="Aptos"/>
                <w:sz w:val="17"/>
              </w:rPr>
              <w:lastRenderedPageBreak/>
              <w:t>Sécurité transverse</w:t>
            </w:r>
          </w:p>
        </w:tc>
        <w:tc>
          <w:tcPr>
            <w:tcW w:w="1304" w:type="dxa"/>
            <w:tcMar>
              <w:top w:w="90" w:type="dxa"/>
              <w:left w:w="110" w:type="dxa"/>
              <w:bottom w:w="90" w:type="dxa"/>
              <w:right w:w="110" w:type="dxa"/>
            </w:tcMar>
            <w:vAlign w:val="center"/>
          </w:tcPr>
          <w:p w14:paraId="232EDED2"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5826D8A8" w14:textId="77777777" w:rsidR="003F21EF" w:rsidRDefault="000A7EDA">
            <w:r>
              <w:t>Non ventilé</w:t>
            </w:r>
          </w:p>
        </w:tc>
        <w:tc>
          <w:tcPr>
            <w:tcW w:w="1474" w:type="dxa"/>
            <w:tcMar>
              <w:top w:w="90" w:type="dxa"/>
              <w:left w:w="110" w:type="dxa"/>
              <w:bottom w:w="90" w:type="dxa"/>
              <w:right w:w="110" w:type="dxa"/>
            </w:tcMar>
            <w:vAlign w:val="center"/>
          </w:tcPr>
          <w:p w14:paraId="655291FA" w14:textId="77777777" w:rsidR="003F21EF" w:rsidRDefault="000A7EDA">
            <w:r>
              <w:t>Non calculable</w:t>
            </w:r>
          </w:p>
        </w:tc>
      </w:tr>
      <w:tr w:rsidR="00B23E3D" w14:paraId="4F7D0369" w14:textId="77777777" w:rsidTr="00921F07">
        <w:trPr>
          <w:cantSplit/>
          <w:jc w:val="center"/>
        </w:trPr>
        <w:tc>
          <w:tcPr>
            <w:tcW w:w="5896" w:type="dxa"/>
            <w:tcMar>
              <w:top w:w="90" w:type="dxa"/>
              <w:left w:w="110" w:type="dxa"/>
              <w:bottom w:w="90" w:type="dxa"/>
              <w:right w:w="110" w:type="dxa"/>
            </w:tcMar>
            <w:vAlign w:val="center"/>
          </w:tcPr>
          <w:p w14:paraId="26C94716" w14:textId="77777777" w:rsidR="00B23E3D" w:rsidRDefault="00B23E3D" w:rsidP="00921F07">
            <w:r>
              <w:rPr>
                <w:rFonts w:ascii="Aptos" w:hAnsi="Aptos"/>
                <w:sz w:val="17"/>
              </w:rPr>
              <w:t>Pitch + répétition soutenance</w:t>
            </w:r>
          </w:p>
        </w:tc>
        <w:tc>
          <w:tcPr>
            <w:tcW w:w="1304" w:type="dxa"/>
            <w:tcMar>
              <w:top w:w="90" w:type="dxa"/>
              <w:left w:w="110" w:type="dxa"/>
              <w:bottom w:w="90" w:type="dxa"/>
              <w:right w:w="110" w:type="dxa"/>
            </w:tcMar>
            <w:vAlign w:val="center"/>
          </w:tcPr>
          <w:p w14:paraId="12B8D1AA" w14:textId="77777777" w:rsidR="00B23E3D" w:rsidRDefault="00B23E3D" w:rsidP="00921F07">
            <w:pPr>
              <w:jc w:val="center"/>
            </w:pPr>
            <w:r>
              <w:rPr>
                <w:rFonts w:ascii="Aptos" w:hAnsi="Aptos"/>
                <w:sz w:val="17"/>
              </w:rPr>
              <w:t>1,5</w:t>
            </w:r>
          </w:p>
        </w:tc>
        <w:tc>
          <w:tcPr>
            <w:tcW w:w="1531" w:type="dxa"/>
            <w:tcMar>
              <w:top w:w="90" w:type="dxa"/>
              <w:left w:w="110" w:type="dxa"/>
              <w:bottom w:w="90" w:type="dxa"/>
              <w:right w:w="110" w:type="dxa"/>
            </w:tcMar>
            <w:vAlign w:val="center"/>
          </w:tcPr>
          <w:p w14:paraId="575022D9" w14:textId="77777777" w:rsidR="003F21EF" w:rsidRDefault="000A7EDA">
            <w:r>
              <w:t>Non ventilé</w:t>
            </w:r>
          </w:p>
        </w:tc>
        <w:tc>
          <w:tcPr>
            <w:tcW w:w="1474" w:type="dxa"/>
            <w:tcMar>
              <w:top w:w="90" w:type="dxa"/>
              <w:left w:w="110" w:type="dxa"/>
              <w:bottom w:w="90" w:type="dxa"/>
              <w:right w:w="110" w:type="dxa"/>
            </w:tcMar>
            <w:vAlign w:val="center"/>
          </w:tcPr>
          <w:p w14:paraId="3855D299" w14:textId="77777777" w:rsidR="003F21EF" w:rsidRDefault="000A7EDA">
            <w:r>
              <w:t>Non calculable</w:t>
            </w:r>
          </w:p>
        </w:tc>
      </w:tr>
      <w:tr w:rsidR="00B23E3D" w14:paraId="2DA5867C" w14:textId="77777777" w:rsidTr="00921F07">
        <w:trPr>
          <w:cantSplit/>
          <w:jc w:val="center"/>
        </w:trPr>
        <w:tc>
          <w:tcPr>
            <w:tcW w:w="5896" w:type="dxa"/>
            <w:tcMar>
              <w:top w:w="90" w:type="dxa"/>
              <w:left w:w="110" w:type="dxa"/>
              <w:bottom w:w="90" w:type="dxa"/>
              <w:right w:w="110" w:type="dxa"/>
            </w:tcMar>
            <w:vAlign w:val="center"/>
          </w:tcPr>
          <w:p w14:paraId="09F8A618" w14:textId="77777777" w:rsidR="00B23E3D" w:rsidRDefault="00B23E3D" w:rsidP="00921F07">
            <w:r>
              <w:rPr>
                <w:rFonts w:ascii="Aptos" w:hAnsi="Aptos"/>
                <w:sz w:val="17"/>
              </w:rPr>
              <w:t>Imprévus</w:t>
            </w:r>
          </w:p>
        </w:tc>
        <w:tc>
          <w:tcPr>
            <w:tcW w:w="1304" w:type="dxa"/>
            <w:tcMar>
              <w:top w:w="90" w:type="dxa"/>
              <w:left w:w="110" w:type="dxa"/>
              <w:bottom w:w="90" w:type="dxa"/>
              <w:right w:w="110" w:type="dxa"/>
            </w:tcMar>
            <w:vAlign w:val="center"/>
          </w:tcPr>
          <w:p w14:paraId="23089D1E" w14:textId="77777777" w:rsidR="00B23E3D" w:rsidRDefault="00B23E3D" w:rsidP="00921F07">
            <w:pPr>
              <w:jc w:val="center"/>
            </w:pPr>
            <w:r>
              <w:rPr>
                <w:rFonts w:ascii="Aptos" w:hAnsi="Aptos"/>
                <w:sz w:val="17"/>
              </w:rPr>
              <w:t>2</w:t>
            </w:r>
          </w:p>
        </w:tc>
        <w:tc>
          <w:tcPr>
            <w:tcW w:w="1531" w:type="dxa"/>
            <w:tcMar>
              <w:top w:w="90" w:type="dxa"/>
              <w:left w:w="110" w:type="dxa"/>
              <w:bottom w:w="90" w:type="dxa"/>
              <w:right w:w="110" w:type="dxa"/>
            </w:tcMar>
            <w:vAlign w:val="center"/>
          </w:tcPr>
          <w:p w14:paraId="1C805CCB" w14:textId="77777777" w:rsidR="003F21EF" w:rsidRDefault="000A7EDA">
            <w:r>
              <w:t>Non ventilé</w:t>
            </w:r>
          </w:p>
        </w:tc>
        <w:tc>
          <w:tcPr>
            <w:tcW w:w="1474" w:type="dxa"/>
            <w:tcMar>
              <w:top w:w="90" w:type="dxa"/>
              <w:left w:w="110" w:type="dxa"/>
              <w:bottom w:w="90" w:type="dxa"/>
              <w:right w:w="110" w:type="dxa"/>
            </w:tcMar>
            <w:vAlign w:val="center"/>
          </w:tcPr>
          <w:p w14:paraId="0374A9DF" w14:textId="77777777" w:rsidR="003F21EF" w:rsidRDefault="000A7EDA">
            <w:r>
              <w:t>Non calculable</w:t>
            </w:r>
          </w:p>
        </w:tc>
      </w:tr>
      <w:tr w:rsidR="00B23E3D" w14:paraId="1816EFFD" w14:textId="77777777" w:rsidTr="00921F07">
        <w:trPr>
          <w:cantSplit/>
          <w:jc w:val="center"/>
        </w:trPr>
        <w:tc>
          <w:tcPr>
            <w:tcW w:w="5896" w:type="dxa"/>
            <w:shd w:val="clear" w:color="auto" w:fill="E9EEF8"/>
            <w:tcMar>
              <w:top w:w="105" w:type="dxa"/>
              <w:left w:w="110" w:type="dxa"/>
              <w:bottom w:w="105" w:type="dxa"/>
              <w:right w:w="110" w:type="dxa"/>
            </w:tcMar>
            <w:vAlign w:val="center"/>
          </w:tcPr>
          <w:p w14:paraId="42251EE9" w14:textId="77777777" w:rsidR="00B23E3D" w:rsidRDefault="00B23E3D" w:rsidP="00921F07">
            <w:r>
              <w:rPr>
                <w:rFonts w:ascii="Aptos" w:hAnsi="Aptos"/>
                <w:b/>
                <w:sz w:val="18"/>
              </w:rPr>
              <w:t>TOTAL</w:t>
            </w:r>
          </w:p>
        </w:tc>
        <w:tc>
          <w:tcPr>
            <w:tcW w:w="1304" w:type="dxa"/>
            <w:shd w:val="clear" w:color="auto" w:fill="E9EEF8"/>
            <w:tcMar>
              <w:top w:w="105" w:type="dxa"/>
              <w:left w:w="110" w:type="dxa"/>
              <w:bottom w:w="105" w:type="dxa"/>
              <w:right w:w="110" w:type="dxa"/>
            </w:tcMar>
            <w:vAlign w:val="center"/>
          </w:tcPr>
          <w:p w14:paraId="251F9EA6" w14:textId="77777777" w:rsidR="00B23E3D" w:rsidRDefault="00B23E3D" w:rsidP="00921F07">
            <w:pPr>
              <w:jc w:val="center"/>
            </w:pPr>
            <w:r>
              <w:rPr>
                <w:rFonts w:ascii="Aptos" w:hAnsi="Aptos"/>
                <w:b/>
                <w:sz w:val="18"/>
              </w:rPr>
              <w:t>42,5</w:t>
            </w:r>
          </w:p>
        </w:tc>
        <w:tc>
          <w:tcPr>
            <w:tcW w:w="1531" w:type="dxa"/>
            <w:shd w:val="clear" w:color="auto" w:fill="E9EEF8"/>
            <w:tcMar>
              <w:top w:w="105" w:type="dxa"/>
              <w:left w:w="110" w:type="dxa"/>
              <w:bottom w:w="105" w:type="dxa"/>
              <w:right w:w="110" w:type="dxa"/>
            </w:tcMar>
            <w:vAlign w:val="center"/>
          </w:tcPr>
          <w:p w14:paraId="4915FD27" w14:textId="77777777" w:rsidR="003F21EF" w:rsidRDefault="000A7EDA">
            <w:r>
              <w:t>Non ventilé</w:t>
            </w:r>
          </w:p>
        </w:tc>
        <w:tc>
          <w:tcPr>
            <w:tcW w:w="1474" w:type="dxa"/>
            <w:shd w:val="clear" w:color="auto" w:fill="E9EEF8"/>
            <w:tcMar>
              <w:top w:w="105" w:type="dxa"/>
              <w:left w:w="110" w:type="dxa"/>
              <w:bottom w:w="105" w:type="dxa"/>
              <w:right w:w="110" w:type="dxa"/>
            </w:tcMar>
            <w:vAlign w:val="center"/>
          </w:tcPr>
          <w:p w14:paraId="6B9D9982" w14:textId="77777777" w:rsidR="003F21EF" w:rsidRDefault="000A7EDA">
            <w:r>
              <w:t>Non calculable</w:t>
            </w:r>
          </w:p>
        </w:tc>
      </w:tr>
    </w:tbl>
    <w:p w14:paraId="21F07472" w14:textId="77777777" w:rsidR="0082306A" w:rsidRDefault="0000168A" w:rsidP="00F81F55">
      <w:pPr>
        <w:pStyle w:val="Titre1"/>
        <w:spacing w:before="240" w:after="140"/>
        <w:rPr>
          <w:rFonts w:ascii="Arial" w:hAnsi="Arial"/>
          <w:color w:val="003CFF"/>
          <w:sz w:val="32"/>
        </w:rPr>
      </w:pPr>
      <w:bookmarkStart w:id="14" w:name="_Toc241154134"/>
      <w:r>
        <w:rPr>
          <w:noProof/>
        </w:rPr>
        <w:drawing>
          <wp:anchor distT="0" distB="0" distL="114300" distR="114300" simplePos="0" relativeHeight="251659264" behindDoc="0" locked="0" layoutInCell="1" allowOverlap="1" wp14:anchorId="469472B0" wp14:editId="6DAFAF13">
            <wp:simplePos x="0" y="0"/>
            <wp:positionH relativeFrom="column">
              <wp:posOffset>135467</wp:posOffset>
            </wp:positionH>
            <wp:positionV relativeFrom="paragraph">
              <wp:posOffset>342688</wp:posOffset>
            </wp:positionV>
            <wp:extent cx="5892869" cy="8920941"/>
            <wp:effectExtent l="0" t="0" r="0" b="0"/>
            <wp:wrapNone/>
            <wp:docPr id="84499214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92869" cy="8920941"/>
                    </a:xfrm>
                    <a:prstGeom prst="rect">
                      <a:avLst/>
                    </a:prstGeom>
                    <a:noFill/>
                    <a:ln>
                      <a:noFill/>
                      <a:prstDash/>
                    </a:ln>
                  </pic:spPr>
                </pic:pic>
              </a:graphicData>
            </a:graphic>
          </wp:anchor>
        </w:drawing>
      </w:r>
      <w:r>
        <w:rPr>
          <w:rFonts w:ascii="Arial" w:hAnsi="Arial"/>
          <w:color w:val="003CFF"/>
          <w:sz w:val="32"/>
        </w:rPr>
        <w:t>8. Roadmap</w:t>
      </w:r>
      <w:r w:rsidR="00F81F55">
        <w:rPr>
          <w:rFonts w:ascii="Arial" w:hAnsi="Arial"/>
          <w:color w:val="003CFF"/>
          <w:sz w:val="32"/>
        </w:rPr>
        <w:t xml:space="preserve"> initiale</w:t>
      </w:r>
      <w:bookmarkEnd w:id="14"/>
    </w:p>
    <w:p w14:paraId="57C6290C" w14:textId="77777777" w:rsidR="0082306A" w:rsidRDefault="000A7EDA">
      <w:pPr>
        <w:pStyle w:val="Titre1"/>
        <w:spacing w:before="240" w:after="140"/>
      </w:pPr>
      <w:bookmarkStart w:id="15" w:name="_Toc241154135"/>
      <w:r>
        <w:rPr>
          <w:rFonts w:ascii="Arial" w:hAnsi="Arial"/>
          <w:color w:val="003CFF"/>
          <w:sz w:val="32"/>
        </w:rPr>
        <w:t>9. Justification du backend et des bases de données</w:t>
      </w:r>
      <w:bookmarkEnd w:id="15"/>
    </w:p>
    <w:p w14:paraId="6821868D" w14:textId="77777777" w:rsidR="0082306A" w:rsidRDefault="000A7EDA">
      <w:pPr>
        <w:pStyle w:val="Titre2"/>
        <w:spacing w:before="180" w:after="100"/>
      </w:pPr>
      <w:bookmarkStart w:id="16" w:name="_Toc241154136"/>
      <w:r>
        <w:rPr>
          <w:rFonts w:ascii="Arial" w:hAnsi="Arial"/>
          <w:color w:val="1D1D1F"/>
          <w:sz w:val="24"/>
        </w:rPr>
        <w:t>9.1 Backend</w:t>
      </w:r>
      <w:bookmarkEnd w:id="16"/>
    </w:p>
    <w:p w14:paraId="6933BD37" w14:textId="77777777" w:rsidR="0082306A" w:rsidRDefault="000A7EDA">
      <w:pPr>
        <w:spacing w:after="100" w:line="259" w:lineRule="auto"/>
      </w:pPr>
      <w:r>
        <w:t>Le backend NestJS/TypeScript porte les règles métier et le calcul déterministe. Il distingue l’éligibilité, qui conditionne les opérations, et le score indicatif utilisé pour découvrir et ordonner les missions. L’affectation conserve une décision humaine.</w:t>
      </w:r>
    </w:p>
    <w:p w14:paraId="00EED9B3" w14:textId="77777777" w:rsidR="0082306A" w:rsidRDefault="000A7EDA">
      <w:pPr>
        <w:pStyle w:val="Listepuces"/>
        <w:spacing w:after="50" w:line="252" w:lineRule="auto"/>
      </w:pPr>
      <w:r>
        <w:rPr>
          <w:sz w:val="20"/>
        </w:rPr>
        <w:t>Backend en TypeScript, conformément à la contrainte du sujet.</w:t>
      </w:r>
    </w:p>
    <w:p w14:paraId="66225F06" w14:textId="77777777" w:rsidR="0082306A" w:rsidRDefault="000A7EDA">
      <w:pPr>
        <w:pStyle w:val="Listepuces"/>
        <w:spacing w:after="50" w:line="252" w:lineRule="auto"/>
      </w:pPr>
      <w:r>
        <w:rPr>
          <w:sz w:val="20"/>
        </w:rPr>
        <w:t>Séparation nette entre prérequis bloquants et critères pondérés.</w:t>
      </w:r>
    </w:p>
    <w:p w14:paraId="4FA44F75" w14:textId="77777777" w:rsidR="0082306A" w:rsidRDefault="000A7EDA">
      <w:pPr>
        <w:pStyle w:val="Listepuces"/>
        <w:spacing w:after="50" w:line="252" w:lineRule="auto"/>
      </w:pPr>
      <w:r>
        <w:rPr>
          <w:sz w:val="20"/>
        </w:rPr>
        <w:t>Pondérations configurables pour faire évoluer les tests du POC sans changer la logique d’admissibilité.</w:t>
      </w:r>
    </w:p>
    <w:p w14:paraId="6D891E7B" w14:textId="77777777" w:rsidR="0082306A" w:rsidRDefault="000A7EDA">
      <w:pPr>
        <w:pStyle w:val="Listepuces"/>
        <w:spacing w:after="50" w:line="252" w:lineRule="auto"/>
      </w:pPr>
      <w:r>
        <w:rPr>
          <w:sz w:val="20"/>
        </w:rPr>
        <w:t>Traitement distinct des missions internes complètes et des annonces externes potentiellement incomplètes.</w:t>
      </w:r>
    </w:p>
    <w:p w14:paraId="406352DD" w14:textId="77777777" w:rsidR="0082306A" w:rsidRDefault="000A7EDA">
      <w:pPr>
        <w:pStyle w:val="Listepuces"/>
        <w:spacing w:after="50" w:line="252" w:lineRule="auto"/>
      </w:pPr>
      <w:r>
        <w:rPr>
          <w:sz w:val="20"/>
        </w:rPr>
        <w:t>Validation humaine finale conservée dans le parcours d’affectation.</w:t>
      </w:r>
    </w:p>
    <w:p w14:paraId="3D6EBDA1" w14:textId="77777777" w:rsidR="0082306A" w:rsidRDefault="000A7EDA">
      <w:pPr>
        <w:pStyle w:val="Titre2"/>
        <w:spacing w:before="180" w:after="100"/>
      </w:pPr>
      <w:bookmarkStart w:id="17" w:name="_Toc241154137"/>
      <w:r>
        <w:rPr>
          <w:rFonts w:ascii="Arial" w:hAnsi="Arial"/>
          <w:color w:val="1D1D1F"/>
          <w:sz w:val="24"/>
        </w:rPr>
        <w:t>9.2 Bases de données</w:t>
      </w:r>
      <w:bookmarkEnd w:id="17"/>
    </w:p>
    <w:p w14:paraId="5C6D9F0E" w14:textId="77777777" w:rsidR="0082306A" w:rsidRDefault="000A7EDA">
      <w:pPr>
        <w:spacing w:after="100" w:line="259" w:lineRule="auto"/>
      </w:pPr>
      <w:r>
        <w:t>Supabase est retenu comme service de base de données relationnelle. Supabase fournit une base PostgreSQL complète : il ne remplace pas PostgreSQL, il l’héberge et fournit des services de gestion autour de cette base. Ce choix est adapté aux données métier d’Infimatch, qui sont fortement liées : comptes, profils infirmiers, établissements, missions, candidatures, disponibilités, affectations et statuts.</w:t>
      </w:r>
    </w:p>
    <w:tbl>
      <w:tblPr>
        <w:tblW w:w="0" w:type="auto"/>
        <w:jc w:val="center"/>
        <w:tblLayout w:type="fixed"/>
        <w:tblLook w:val="04A0" w:firstRow="1" w:lastRow="0" w:firstColumn="1" w:lastColumn="0" w:noHBand="0" w:noVBand="1"/>
      </w:tblPr>
      <w:tblGrid>
        <w:gridCol w:w="2381"/>
        <w:gridCol w:w="2948"/>
        <w:gridCol w:w="4706"/>
      </w:tblGrid>
      <w:tr w:rsidR="0082306A" w14:paraId="2D3D7E3F" w14:textId="77777777">
        <w:trPr>
          <w:cantSplit/>
          <w:tblHeader/>
          <w:jc w:val="center"/>
        </w:trPr>
        <w:tc>
          <w:tcPr>
            <w:tcW w:w="2381" w:type="dxa"/>
            <w:shd w:val="clear" w:color="auto" w:fill="003CFF"/>
            <w:tcMar>
              <w:top w:w="100" w:type="dxa"/>
              <w:left w:w="110" w:type="dxa"/>
              <w:bottom w:w="100" w:type="dxa"/>
              <w:right w:w="110" w:type="dxa"/>
            </w:tcMar>
            <w:vAlign w:val="center"/>
          </w:tcPr>
          <w:p w14:paraId="747BC68E" w14:textId="77777777" w:rsidR="0082306A" w:rsidRDefault="000A7EDA">
            <w:pPr>
              <w:jc w:val="center"/>
            </w:pPr>
            <w:r>
              <w:rPr>
                <w:b/>
                <w:color w:val="FFFFFF"/>
                <w:sz w:val="16"/>
              </w:rPr>
              <w:t>Technologie</w:t>
            </w:r>
          </w:p>
        </w:tc>
        <w:tc>
          <w:tcPr>
            <w:tcW w:w="2948" w:type="dxa"/>
            <w:shd w:val="clear" w:color="auto" w:fill="003CFF"/>
            <w:tcMar>
              <w:top w:w="100" w:type="dxa"/>
              <w:left w:w="110" w:type="dxa"/>
              <w:bottom w:w="100" w:type="dxa"/>
              <w:right w:w="110" w:type="dxa"/>
            </w:tcMar>
            <w:vAlign w:val="center"/>
          </w:tcPr>
          <w:p w14:paraId="4B7D3A0F" w14:textId="77777777" w:rsidR="0082306A" w:rsidRDefault="000A7EDA">
            <w:pPr>
              <w:jc w:val="center"/>
            </w:pPr>
            <w:r>
              <w:rPr>
                <w:b/>
                <w:color w:val="FFFFFF"/>
                <w:sz w:val="16"/>
              </w:rPr>
              <w:t>Rôle</w:t>
            </w:r>
          </w:p>
        </w:tc>
        <w:tc>
          <w:tcPr>
            <w:tcW w:w="4706" w:type="dxa"/>
            <w:shd w:val="clear" w:color="auto" w:fill="003CFF"/>
            <w:tcMar>
              <w:top w:w="100" w:type="dxa"/>
              <w:left w:w="110" w:type="dxa"/>
              <w:bottom w:w="100" w:type="dxa"/>
              <w:right w:w="110" w:type="dxa"/>
            </w:tcMar>
            <w:vAlign w:val="center"/>
          </w:tcPr>
          <w:p w14:paraId="1E2930AF" w14:textId="77777777" w:rsidR="0082306A" w:rsidRDefault="000A7EDA">
            <w:pPr>
              <w:jc w:val="center"/>
            </w:pPr>
            <w:r>
              <w:rPr>
                <w:b/>
                <w:color w:val="FFFFFF"/>
                <w:sz w:val="16"/>
              </w:rPr>
              <w:t>Justification</w:t>
            </w:r>
          </w:p>
        </w:tc>
      </w:tr>
      <w:tr w:rsidR="0082306A" w14:paraId="185231C7" w14:textId="77777777">
        <w:trPr>
          <w:cantSplit/>
          <w:jc w:val="center"/>
        </w:trPr>
        <w:tc>
          <w:tcPr>
            <w:tcW w:w="238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B20F41B" w14:textId="77777777" w:rsidR="0082306A" w:rsidRDefault="000A7EDA">
            <w:pPr>
              <w:spacing w:after="0" w:line="245" w:lineRule="auto"/>
            </w:pPr>
            <w:r>
              <w:rPr>
                <w:color w:val="1D1D1F"/>
                <w:sz w:val="16"/>
              </w:rPr>
              <w:t>Supabase / PostgreSQL</w:t>
            </w:r>
          </w:p>
        </w:tc>
        <w:tc>
          <w:tcPr>
            <w:tcW w:w="294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A4172A5" w14:textId="77777777" w:rsidR="0082306A" w:rsidRDefault="000A7EDA">
            <w:pPr>
              <w:spacing w:after="0" w:line="245" w:lineRule="auto"/>
            </w:pPr>
            <w:r>
              <w:rPr>
                <w:color w:val="1D1D1F"/>
                <w:sz w:val="16"/>
              </w:rPr>
              <w:t>Base relationnelle principale et source de vérité métier.</w:t>
            </w:r>
          </w:p>
        </w:tc>
        <w:tc>
          <w:tcPr>
            <w:tcW w:w="4706"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BD7FEAE" w14:textId="77777777" w:rsidR="0082306A" w:rsidRDefault="000A7EDA">
            <w:pPr>
              <w:spacing w:after="0" w:line="245" w:lineRule="auto"/>
            </w:pPr>
            <w:r>
              <w:rPr>
                <w:color w:val="1D1D1F"/>
                <w:sz w:val="16"/>
              </w:rPr>
              <w:t>Les relations entre profils, missions, candidatures et statuts nécessitent des contraintes d’intégrité, des clés étrangères et des transactions. PostgreSQL convient naturellement à ce modèle structuré ; Supabase simplifie son exploitation dans un POC en fournissant une instance Postgres managée et des outils d’accès.</w:t>
            </w:r>
          </w:p>
        </w:tc>
      </w:tr>
      <w:tr w:rsidR="0082306A" w14:paraId="3D6BEA0A" w14:textId="77777777">
        <w:trPr>
          <w:cantSplit/>
          <w:jc w:val="center"/>
        </w:trPr>
        <w:tc>
          <w:tcPr>
            <w:tcW w:w="2381"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44C6D98" w14:textId="77777777" w:rsidR="0082306A" w:rsidRPr="00E17387" w:rsidRDefault="00E17387">
            <w:pPr>
              <w:spacing w:after="0" w:line="245" w:lineRule="auto"/>
              <w:rPr>
                <w:color w:val="1D1D1F"/>
                <w:sz w:val="16"/>
              </w:rPr>
            </w:pPr>
            <w:r w:rsidRPr="00E17387">
              <w:rPr>
                <w:color w:val="1D1D1F"/>
                <w:sz w:val="16"/>
              </w:rPr>
              <w:t>MongoDB Atlas</w:t>
            </w:r>
          </w:p>
        </w:tc>
        <w:tc>
          <w:tcPr>
            <w:tcW w:w="294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31532F1" w14:textId="77777777" w:rsidR="003F21EF" w:rsidRDefault="000A7EDA">
            <w:r>
              <w:t>Historique et explications du matching sous forme de documents. Les comptes, affectations et journaux métier relationnels restent dans PostgreSQL.</w:t>
            </w:r>
          </w:p>
        </w:tc>
        <w:tc>
          <w:tcPr>
            <w:tcW w:w="4706"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F500F67" w14:textId="77777777" w:rsidR="003F21EF" w:rsidRDefault="000A7EDA">
            <w:r>
              <w:t>MongoDB Atlas permet de conserver des explications à structure évolutive et complète la base relationnelle. Il ne remplace pas la source de vérité métier PostgreSQL.</w:t>
            </w:r>
          </w:p>
        </w:tc>
      </w:tr>
    </w:tbl>
    <w:p w14:paraId="0ABA91A2" w14:textId="77777777" w:rsidR="0082306A" w:rsidRDefault="000A7EDA">
      <w:pPr>
        <w:pStyle w:val="Titre1"/>
        <w:spacing w:before="240" w:after="140"/>
      </w:pPr>
      <w:bookmarkStart w:id="18" w:name="_Toc241154138"/>
      <w:r>
        <w:rPr>
          <w:rFonts w:ascii="Arial" w:hAnsi="Arial"/>
          <w:color w:val="003CFF"/>
          <w:sz w:val="32"/>
        </w:rPr>
        <w:lastRenderedPageBreak/>
        <w:t>10. Écoconception RGESN</w:t>
      </w:r>
      <w:bookmarkEnd w:id="18"/>
    </w:p>
    <w:p w14:paraId="3271B8B6" w14:textId="77777777" w:rsidR="000F5DD1" w:rsidRDefault="000F5DD1" w:rsidP="000F5DD1">
      <w:pPr>
        <w:spacing w:after="100" w:line="259" w:lineRule="auto"/>
        <w:jc w:val="both"/>
      </w:pPr>
      <w:r w:rsidRPr="000F5DD1">
        <w:t xml:space="preserve">Le RGESN 2024 vise à réduire l’impact environnemental des services numériques en limitant les ressources informatiques et énergétiques mobilisées. </w:t>
      </w:r>
    </w:p>
    <w:p w14:paraId="4FC7F52F" w14:textId="77777777" w:rsidR="000F5DD1" w:rsidRDefault="000F5DD1" w:rsidP="000F5DD1">
      <w:pPr>
        <w:spacing w:after="100" w:line="259" w:lineRule="auto"/>
        <w:jc w:val="both"/>
      </w:pPr>
      <w:r w:rsidRPr="000F5DD1">
        <w:t>Pour Infimatch, trois pratiques d’écoconception ont été retenues comme particulièrement adaptées au POC, en cohérence avec les fonctionnalités développées et l’architecture de la plateforme</w:t>
      </w:r>
    </w:p>
    <w:tbl>
      <w:tblPr>
        <w:tblW w:w="0" w:type="auto"/>
        <w:jc w:val="center"/>
        <w:tblLayout w:type="fixed"/>
        <w:tblLook w:val="04A0" w:firstRow="1" w:lastRow="0" w:firstColumn="1" w:lastColumn="0" w:noHBand="0" w:noVBand="1"/>
      </w:tblPr>
      <w:tblGrid>
        <w:gridCol w:w="2154"/>
        <w:gridCol w:w="4252"/>
        <w:gridCol w:w="3628"/>
      </w:tblGrid>
      <w:tr w:rsidR="0082306A" w14:paraId="333A3024" w14:textId="77777777">
        <w:trPr>
          <w:cantSplit/>
          <w:tblHeader/>
          <w:jc w:val="center"/>
        </w:trPr>
        <w:tc>
          <w:tcPr>
            <w:tcW w:w="2154" w:type="dxa"/>
            <w:shd w:val="clear" w:color="auto" w:fill="003CFF"/>
            <w:tcMar>
              <w:top w:w="100" w:type="dxa"/>
              <w:left w:w="110" w:type="dxa"/>
              <w:bottom w:w="100" w:type="dxa"/>
              <w:right w:w="110" w:type="dxa"/>
            </w:tcMar>
            <w:vAlign w:val="center"/>
          </w:tcPr>
          <w:p w14:paraId="4515E876" w14:textId="77777777" w:rsidR="0082306A" w:rsidRDefault="000A7EDA">
            <w:pPr>
              <w:jc w:val="center"/>
            </w:pPr>
            <w:r>
              <w:rPr>
                <w:b/>
                <w:color w:val="FFFFFF"/>
                <w:sz w:val="17"/>
              </w:rPr>
              <w:t>Pratique</w:t>
            </w:r>
          </w:p>
        </w:tc>
        <w:tc>
          <w:tcPr>
            <w:tcW w:w="4252" w:type="dxa"/>
            <w:shd w:val="clear" w:color="auto" w:fill="003CFF"/>
            <w:tcMar>
              <w:top w:w="100" w:type="dxa"/>
              <w:left w:w="110" w:type="dxa"/>
              <w:bottom w:w="100" w:type="dxa"/>
              <w:right w:w="110" w:type="dxa"/>
            </w:tcMar>
            <w:vAlign w:val="center"/>
          </w:tcPr>
          <w:p w14:paraId="7483CF48" w14:textId="77777777" w:rsidR="0082306A" w:rsidRDefault="000A7EDA">
            <w:pPr>
              <w:jc w:val="center"/>
            </w:pPr>
            <w:r>
              <w:rPr>
                <w:b/>
                <w:color w:val="FFFFFF"/>
                <w:sz w:val="17"/>
              </w:rPr>
              <w:t>Application au POC</w:t>
            </w:r>
          </w:p>
        </w:tc>
        <w:tc>
          <w:tcPr>
            <w:tcW w:w="3628" w:type="dxa"/>
            <w:shd w:val="clear" w:color="auto" w:fill="003CFF"/>
            <w:tcMar>
              <w:top w:w="100" w:type="dxa"/>
              <w:left w:w="110" w:type="dxa"/>
              <w:bottom w:w="100" w:type="dxa"/>
              <w:right w:w="110" w:type="dxa"/>
            </w:tcMar>
            <w:vAlign w:val="center"/>
          </w:tcPr>
          <w:p w14:paraId="7FB3E3E1" w14:textId="77777777" w:rsidR="0082306A" w:rsidRDefault="000A7EDA">
            <w:pPr>
              <w:jc w:val="center"/>
            </w:pPr>
            <w:r>
              <w:rPr>
                <w:b/>
                <w:color w:val="FFFFFF"/>
                <w:sz w:val="17"/>
              </w:rPr>
              <w:t>Justification</w:t>
            </w:r>
          </w:p>
        </w:tc>
      </w:tr>
      <w:tr w:rsidR="0082306A" w14:paraId="37B15E8F"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A55A33A" w14:textId="77777777" w:rsidR="0082306A" w:rsidRDefault="000A7EDA">
            <w:pPr>
              <w:spacing w:after="0" w:line="245" w:lineRule="auto"/>
            </w:pPr>
            <w:r>
              <w:rPr>
                <w:color w:val="1D1D1F"/>
                <w:sz w:val="17"/>
              </w:rPr>
              <w:t>Compression des images</w:t>
            </w:r>
          </w:p>
        </w:tc>
        <w:tc>
          <w:tcPr>
            <w:tcW w:w="425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263D338" w14:textId="77777777" w:rsidR="0082306A" w:rsidRDefault="000A7EDA">
            <w:pPr>
              <w:spacing w:after="0" w:line="245" w:lineRule="auto"/>
            </w:pPr>
            <w:r>
              <w:rPr>
                <w:color w:val="1D1D1F"/>
                <w:sz w:val="17"/>
              </w:rPr>
              <w:t>Compresser les visuels et utiliser des formats adaptés avant mise en production.</w:t>
            </w:r>
          </w:p>
        </w:tc>
        <w:tc>
          <w:tcPr>
            <w:tcW w:w="362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AAADB71" w14:textId="77777777" w:rsidR="0082306A" w:rsidRDefault="000A7EDA">
            <w:pPr>
              <w:spacing w:after="0" w:line="245" w:lineRule="auto"/>
            </w:pPr>
            <w:r>
              <w:rPr>
                <w:color w:val="1D1D1F"/>
                <w:sz w:val="17"/>
              </w:rPr>
              <w:t>Réduit le poids transféré, le temps de chargement et la consommation réseau.</w:t>
            </w:r>
          </w:p>
        </w:tc>
      </w:tr>
      <w:tr w:rsidR="0082306A" w14:paraId="0EE4ABAF"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A856BFE" w14:textId="77777777" w:rsidR="0082306A" w:rsidRDefault="000A7EDA">
            <w:pPr>
              <w:spacing w:after="0" w:line="245" w:lineRule="auto"/>
            </w:pPr>
            <w:r>
              <w:rPr>
                <w:color w:val="1D1D1F"/>
                <w:sz w:val="17"/>
              </w:rPr>
              <w:t>Réduction des requêtes</w:t>
            </w:r>
          </w:p>
        </w:tc>
        <w:tc>
          <w:tcPr>
            <w:tcW w:w="425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B8CB328" w14:textId="77777777" w:rsidR="0082306A" w:rsidRDefault="000A7EDA">
            <w:pPr>
              <w:spacing w:after="0" w:line="245" w:lineRule="auto"/>
            </w:pPr>
            <w:r>
              <w:rPr>
                <w:color w:val="1D1D1F"/>
                <w:sz w:val="17"/>
              </w:rPr>
              <w:t>Éviter les appels API redondants, limiter les rafraîchissements inutiles et regrouper les chargements lorsque c’est pertinent.</w:t>
            </w:r>
          </w:p>
        </w:tc>
        <w:tc>
          <w:tcPr>
            <w:tcW w:w="362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FC1F51A" w14:textId="77777777" w:rsidR="0082306A" w:rsidRDefault="000A7EDA">
            <w:pPr>
              <w:spacing w:after="0" w:line="245" w:lineRule="auto"/>
            </w:pPr>
            <w:r>
              <w:rPr>
                <w:color w:val="1D1D1F"/>
                <w:sz w:val="17"/>
              </w:rPr>
              <w:t xml:space="preserve">Particulièrement adapté </w:t>
            </w:r>
            <w:r w:rsidR="00EE0F7E" w:rsidRPr="00EE0F7E">
              <w:rPr>
                <w:color w:val="1D1D1F"/>
                <w:sz w:val="17"/>
              </w:rPr>
              <w:t>aux listes de missions et aux services externes interrogés par l’application</w:t>
            </w:r>
          </w:p>
        </w:tc>
      </w:tr>
      <w:tr w:rsidR="0082306A" w14:paraId="39510E90"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59B05C1" w14:textId="77777777" w:rsidR="0082306A" w:rsidRDefault="000A7EDA">
            <w:pPr>
              <w:spacing w:after="0" w:line="245" w:lineRule="auto"/>
            </w:pPr>
            <w:r>
              <w:rPr>
                <w:color w:val="1D1D1F"/>
                <w:sz w:val="17"/>
              </w:rPr>
              <w:t>Lazy loading ciblé</w:t>
            </w:r>
          </w:p>
        </w:tc>
        <w:tc>
          <w:tcPr>
            <w:tcW w:w="425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5738AB42" w14:textId="77777777" w:rsidR="0082306A" w:rsidRDefault="000A7EDA">
            <w:pPr>
              <w:spacing w:after="0" w:line="245" w:lineRule="auto"/>
            </w:pPr>
            <w:r>
              <w:rPr>
                <w:color w:val="1D1D1F"/>
                <w:sz w:val="17"/>
              </w:rPr>
              <w:t>Différer le chargement des contenus secondaires ou visuels non visibles immédiatement.</w:t>
            </w:r>
          </w:p>
        </w:tc>
        <w:tc>
          <w:tcPr>
            <w:tcW w:w="3628"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40EDD6B" w14:textId="77777777" w:rsidR="0082306A" w:rsidRDefault="000A7EDA">
            <w:pPr>
              <w:spacing w:after="0" w:line="245" w:lineRule="auto"/>
            </w:pPr>
            <w:r>
              <w:rPr>
                <w:color w:val="1D1D1F"/>
                <w:sz w:val="17"/>
              </w:rPr>
              <w:t>Évite de charger des ressources non consultées. À conserver uniquement si le front comporte réellement des contenus qui s’y prêtent.</w:t>
            </w:r>
          </w:p>
        </w:tc>
      </w:tr>
    </w:tbl>
    <w:p w14:paraId="75A88918" w14:textId="77777777" w:rsidR="0082306A" w:rsidRDefault="000A7EDA">
      <w:pPr>
        <w:pStyle w:val="Titre1"/>
        <w:spacing w:before="240" w:after="140"/>
      </w:pPr>
      <w:bookmarkStart w:id="19" w:name="_Toc241154139"/>
      <w:r>
        <w:rPr>
          <w:rFonts w:ascii="Arial" w:hAnsi="Arial"/>
          <w:color w:val="003CFF"/>
          <w:sz w:val="32"/>
        </w:rPr>
        <w:t>11. Accessibilité — RGAA</w:t>
      </w:r>
      <w:bookmarkEnd w:id="19"/>
    </w:p>
    <w:p w14:paraId="5DA0554E" w14:textId="77777777" w:rsidR="0082306A" w:rsidRDefault="0017005F">
      <w:pPr>
        <w:spacing w:after="100" w:line="259" w:lineRule="auto"/>
      </w:pPr>
      <w:r w:rsidRPr="0017005F">
        <w:t>Le RGAA définit les règles d’accessibilité à respecter pour rendre les services numériques utilisables par le plus grand nombre. Pour Infimatch, nous nous appuyons sur les principes du RGAA 4.1.2</w:t>
      </w:r>
      <w:r>
        <w:t>.</w:t>
      </w:r>
    </w:p>
    <w:tbl>
      <w:tblPr>
        <w:tblW w:w="0" w:type="auto"/>
        <w:jc w:val="center"/>
        <w:tblLayout w:type="fixed"/>
        <w:tblLook w:val="04A0" w:firstRow="1" w:lastRow="0" w:firstColumn="1" w:lastColumn="0" w:noHBand="0" w:noVBand="1"/>
      </w:tblPr>
      <w:tblGrid>
        <w:gridCol w:w="2154"/>
        <w:gridCol w:w="4309"/>
        <w:gridCol w:w="3572"/>
      </w:tblGrid>
      <w:tr w:rsidR="0082306A" w14:paraId="68D0FE2D" w14:textId="77777777">
        <w:trPr>
          <w:cantSplit/>
          <w:tblHeader/>
          <w:jc w:val="center"/>
        </w:trPr>
        <w:tc>
          <w:tcPr>
            <w:tcW w:w="2154" w:type="dxa"/>
            <w:shd w:val="clear" w:color="auto" w:fill="003CFF"/>
            <w:tcMar>
              <w:top w:w="100" w:type="dxa"/>
              <w:left w:w="110" w:type="dxa"/>
              <w:bottom w:w="100" w:type="dxa"/>
              <w:right w:w="110" w:type="dxa"/>
            </w:tcMar>
            <w:vAlign w:val="center"/>
          </w:tcPr>
          <w:p w14:paraId="6387F5BE" w14:textId="77777777" w:rsidR="0082306A" w:rsidRDefault="000A7EDA">
            <w:pPr>
              <w:jc w:val="center"/>
            </w:pPr>
            <w:r>
              <w:rPr>
                <w:b/>
                <w:color w:val="FFFFFF"/>
                <w:sz w:val="17"/>
              </w:rPr>
              <w:t>Principe</w:t>
            </w:r>
          </w:p>
        </w:tc>
        <w:tc>
          <w:tcPr>
            <w:tcW w:w="4309" w:type="dxa"/>
            <w:shd w:val="clear" w:color="auto" w:fill="003CFF"/>
            <w:tcMar>
              <w:top w:w="100" w:type="dxa"/>
              <w:left w:w="110" w:type="dxa"/>
              <w:bottom w:w="100" w:type="dxa"/>
              <w:right w:w="110" w:type="dxa"/>
            </w:tcMar>
            <w:vAlign w:val="center"/>
          </w:tcPr>
          <w:p w14:paraId="71EB6A0A" w14:textId="77777777" w:rsidR="0082306A" w:rsidRDefault="000A7EDA">
            <w:pPr>
              <w:jc w:val="center"/>
            </w:pPr>
            <w:r>
              <w:rPr>
                <w:b/>
                <w:color w:val="FFFFFF"/>
                <w:sz w:val="17"/>
              </w:rPr>
              <w:t>Application au POC</w:t>
            </w:r>
          </w:p>
        </w:tc>
        <w:tc>
          <w:tcPr>
            <w:tcW w:w="3572" w:type="dxa"/>
            <w:shd w:val="clear" w:color="auto" w:fill="003CFF"/>
            <w:tcMar>
              <w:top w:w="100" w:type="dxa"/>
              <w:left w:w="110" w:type="dxa"/>
              <w:bottom w:w="100" w:type="dxa"/>
              <w:right w:w="110" w:type="dxa"/>
            </w:tcMar>
            <w:vAlign w:val="center"/>
          </w:tcPr>
          <w:p w14:paraId="6F4FF0AD" w14:textId="77777777" w:rsidR="0082306A" w:rsidRDefault="000A7EDA">
            <w:pPr>
              <w:jc w:val="center"/>
            </w:pPr>
            <w:r>
              <w:rPr>
                <w:b/>
                <w:color w:val="FFFFFF"/>
                <w:sz w:val="17"/>
              </w:rPr>
              <w:t>Justification</w:t>
            </w:r>
          </w:p>
        </w:tc>
      </w:tr>
      <w:tr w:rsidR="0082306A" w14:paraId="0E4EF591"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4B402C1" w14:textId="77777777" w:rsidR="0082306A" w:rsidRDefault="000A7EDA">
            <w:pPr>
              <w:spacing w:after="0" w:line="245" w:lineRule="auto"/>
            </w:pPr>
            <w:r>
              <w:rPr>
                <w:color w:val="1D1D1F"/>
                <w:sz w:val="17"/>
              </w:rPr>
              <w:t>Contrastes suffisants</w:t>
            </w:r>
          </w:p>
        </w:tc>
        <w:tc>
          <w:tcPr>
            <w:tcW w:w="4309"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8DA69FF" w14:textId="77777777" w:rsidR="0082306A" w:rsidRDefault="000A7EDA">
            <w:pPr>
              <w:spacing w:after="0" w:line="245" w:lineRule="auto"/>
            </w:pPr>
            <w:r>
              <w:rPr>
                <w:color w:val="1D1D1F"/>
                <w:sz w:val="17"/>
              </w:rPr>
              <w:t>Vérifier les contrastes texte/fond et les états des boutons, liens et statuts.</w:t>
            </w:r>
          </w:p>
        </w:tc>
        <w:tc>
          <w:tcPr>
            <w:tcW w:w="357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E214B34" w14:textId="77777777" w:rsidR="0082306A" w:rsidRDefault="000A7EDA">
            <w:pPr>
              <w:spacing w:after="0" w:line="245" w:lineRule="auto"/>
            </w:pPr>
            <w:r>
              <w:rPr>
                <w:color w:val="1D1D1F"/>
                <w:sz w:val="17"/>
              </w:rPr>
              <w:t>L’information ne doit pas devenir illisible pour les personnes ayant une déficience visuelle et ne doit pas dépendre uniquement de la couleur.</w:t>
            </w:r>
          </w:p>
        </w:tc>
      </w:tr>
      <w:tr w:rsidR="0082306A" w14:paraId="16110164"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062F6FE8" w14:textId="77777777" w:rsidR="0082306A" w:rsidRDefault="000A7EDA">
            <w:pPr>
              <w:spacing w:after="0" w:line="245" w:lineRule="auto"/>
            </w:pPr>
            <w:r>
              <w:rPr>
                <w:color w:val="1D1D1F"/>
                <w:sz w:val="17"/>
              </w:rPr>
              <w:t>Alternatives textuelles</w:t>
            </w:r>
          </w:p>
        </w:tc>
        <w:tc>
          <w:tcPr>
            <w:tcW w:w="4309"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64E4BB8B" w14:textId="77777777" w:rsidR="0082306A" w:rsidRDefault="000A7EDA">
            <w:pPr>
              <w:spacing w:after="0" w:line="245" w:lineRule="auto"/>
            </w:pPr>
            <w:r>
              <w:rPr>
                <w:color w:val="1D1D1F"/>
                <w:sz w:val="17"/>
              </w:rPr>
              <w:t>Ajouter un texte alternatif aux images porteuses d’information ; ignorer correctement les images purement décoratives.</w:t>
            </w:r>
          </w:p>
        </w:tc>
        <w:tc>
          <w:tcPr>
            <w:tcW w:w="357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5FBC067" w14:textId="77777777" w:rsidR="0082306A" w:rsidRDefault="000A7EDA">
            <w:pPr>
              <w:spacing w:after="0" w:line="245" w:lineRule="auto"/>
            </w:pPr>
            <w:r>
              <w:rPr>
                <w:color w:val="1D1D1F"/>
                <w:sz w:val="17"/>
              </w:rPr>
              <w:t>Permet une restitution pertinente par les lecteurs d’écran.</w:t>
            </w:r>
          </w:p>
        </w:tc>
      </w:tr>
      <w:tr w:rsidR="0082306A" w14:paraId="403E15D6"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56F283B" w14:textId="77777777" w:rsidR="0082306A" w:rsidRDefault="000A7EDA">
            <w:pPr>
              <w:spacing w:after="0" w:line="245" w:lineRule="auto"/>
            </w:pPr>
            <w:r>
              <w:rPr>
                <w:color w:val="1D1D1F"/>
                <w:sz w:val="17"/>
              </w:rPr>
              <w:t>Navigation au clavier</w:t>
            </w:r>
          </w:p>
        </w:tc>
        <w:tc>
          <w:tcPr>
            <w:tcW w:w="4309"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4671D2D" w14:textId="77777777" w:rsidR="0082306A" w:rsidRDefault="000A7EDA">
            <w:pPr>
              <w:spacing w:after="0" w:line="245" w:lineRule="auto"/>
            </w:pPr>
            <w:r>
              <w:rPr>
                <w:color w:val="1D1D1F"/>
                <w:sz w:val="17"/>
              </w:rPr>
              <w:t>Rendre liens, boutons, champs et composants utilisables au clavier, avec un focus visible.</w:t>
            </w:r>
          </w:p>
        </w:tc>
        <w:tc>
          <w:tcPr>
            <w:tcW w:w="357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72D71499" w14:textId="77777777" w:rsidR="0082306A" w:rsidRDefault="000A7EDA">
            <w:pPr>
              <w:spacing w:after="0" w:line="245" w:lineRule="auto"/>
            </w:pPr>
            <w:r>
              <w:rPr>
                <w:color w:val="1D1D1F"/>
                <w:sz w:val="17"/>
              </w:rPr>
              <w:t>Permet d’utiliser les parcours sans souris.</w:t>
            </w:r>
          </w:p>
        </w:tc>
      </w:tr>
      <w:tr w:rsidR="0082306A" w14:paraId="6D01A690" w14:textId="77777777">
        <w:trPr>
          <w:cantSplit/>
          <w:jc w:val="center"/>
        </w:trPr>
        <w:tc>
          <w:tcPr>
            <w:tcW w:w="2154"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28D88E15" w14:textId="77777777" w:rsidR="0082306A" w:rsidRDefault="000A7EDA">
            <w:pPr>
              <w:spacing w:after="0" w:line="245" w:lineRule="auto"/>
            </w:pPr>
            <w:r>
              <w:rPr>
                <w:color w:val="1D1D1F"/>
                <w:sz w:val="17"/>
              </w:rPr>
              <w:t>Structure sémantique</w:t>
            </w:r>
          </w:p>
        </w:tc>
        <w:tc>
          <w:tcPr>
            <w:tcW w:w="4309"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16CF7F38" w14:textId="77777777" w:rsidR="0082306A" w:rsidRDefault="000A7EDA">
            <w:pPr>
              <w:spacing w:after="0" w:line="245" w:lineRule="auto"/>
            </w:pPr>
            <w:r>
              <w:rPr>
                <w:color w:val="1D1D1F"/>
                <w:sz w:val="17"/>
              </w:rPr>
              <w:t>Hiérarchie logique des titres, labels reliés aux champs, boutons explicites et HTML sémantique.</w:t>
            </w:r>
          </w:p>
        </w:tc>
        <w:tc>
          <w:tcPr>
            <w:tcW w:w="3572" w:type="dxa"/>
            <w:tcBorders>
              <w:top w:val="single" w:sz="3" w:space="0" w:color="D8DCE3"/>
              <w:left w:val="single" w:sz="3" w:space="0" w:color="D8DCE3"/>
              <w:bottom w:val="single" w:sz="3" w:space="0" w:color="D8DCE3"/>
              <w:right w:val="single" w:sz="3" w:space="0" w:color="D8DCE3"/>
            </w:tcBorders>
            <w:tcMar>
              <w:top w:w="100" w:type="dxa"/>
              <w:left w:w="110" w:type="dxa"/>
              <w:bottom w:w="100" w:type="dxa"/>
              <w:right w:w="110" w:type="dxa"/>
            </w:tcMar>
            <w:vAlign w:val="center"/>
          </w:tcPr>
          <w:p w14:paraId="315034AD" w14:textId="77777777" w:rsidR="0082306A" w:rsidRDefault="000A7EDA">
            <w:pPr>
              <w:spacing w:after="0" w:line="245" w:lineRule="auto"/>
            </w:pPr>
            <w:r>
              <w:rPr>
                <w:color w:val="1D1D1F"/>
                <w:sz w:val="17"/>
              </w:rPr>
              <w:t>Améliore la compréhension du contenu et sa restitution par les technologies d’assistance.</w:t>
            </w:r>
          </w:p>
        </w:tc>
      </w:tr>
    </w:tbl>
    <w:p w14:paraId="3F56C126" w14:textId="77777777" w:rsidR="00E20EBB" w:rsidRDefault="000A7EDA">
      <w:pPr>
        <w:pStyle w:val="Titre1"/>
        <w:spacing w:before="240" w:after="140"/>
        <w:rPr>
          <w:rFonts w:ascii="Arial" w:hAnsi="Arial"/>
          <w:color w:val="003CFF"/>
          <w:sz w:val="32"/>
        </w:rPr>
      </w:pPr>
      <w:bookmarkStart w:id="20" w:name="_Toc241154140"/>
      <w:r>
        <w:rPr>
          <w:rFonts w:ascii="Arial" w:hAnsi="Arial"/>
          <w:color w:val="003CFF"/>
          <w:sz w:val="32"/>
        </w:rPr>
        <w:t>1</w:t>
      </w:r>
      <w:r w:rsidR="00E20EBB">
        <w:rPr>
          <w:rFonts w:ascii="Arial" w:hAnsi="Arial"/>
          <w:color w:val="003CFF"/>
          <w:sz w:val="32"/>
        </w:rPr>
        <w:t>2. SEO</w:t>
      </w:r>
      <w:bookmarkEnd w:id="20"/>
    </w:p>
    <w:p w14:paraId="7E3CB5D4" w14:textId="77777777" w:rsidR="00101D95" w:rsidRPr="00101D95" w:rsidRDefault="00101D95" w:rsidP="00101D95">
      <w:pPr>
        <w:rPr>
          <w:lang w:val="fr-FR"/>
        </w:rPr>
      </w:pPr>
      <w:r w:rsidRPr="00101D95">
        <w:rPr>
          <w:lang w:val="fr-FR"/>
        </w:rPr>
        <w:t>Le SEO mis en place dans Infimatch concerne principalement les pages publiques du frontend. Le fichier index.html définit les éléments de base nécessaires au référencement : langue française, balise title, meta description, directive robots en index,follow, URL canonique, métadonnées Open Graph, favicon, manifest et vérification Google. Les titres et descriptions des différentes routes publiques sont centralisés via pageMetadata et usePageTitle, puis générés en HTML statique grâce au script scripts/public-pages.mjs, afin que les métadonnées puissent être lues par les moteurs de recherche avant même l’exécution du JavaScript.</w:t>
      </w:r>
    </w:p>
    <w:p w14:paraId="7A187CD9" w14:textId="77777777" w:rsidR="00101D95" w:rsidRPr="00101D95" w:rsidRDefault="00101D95" w:rsidP="00101D95">
      <w:pPr>
        <w:rPr>
          <w:lang w:val="fr-FR"/>
        </w:rPr>
      </w:pPr>
      <w:r w:rsidRPr="00101D95">
        <w:rPr>
          <w:lang w:val="fr-FR"/>
        </w:rPr>
        <w:t>Un fichier sitemap.xml et un fichier robots.txt complètent ce dispositif afin de faciliter l’exploration et l’indexation des pages publiques. À l’inverse, les espaces privés, les pages d’administration et les pages contenant des données sensibles sont volontairement exclus du référencement grâce à l’utilisation de noindex, sans URL canonique ni og:url. Cette séparation permet d’éviter l’indexation de pages liées aux comptes utilisateurs, aux documents, aux missions personnelles ou à l’administration.</w:t>
      </w:r>
    </w:p>
    <w:p w14:paraId="187A9455" w14:textId="77777777" w:rsidR="00101D95" w:rsidRPr="00101D95" w:rsidRDefault="00101D95" w:rsidP="00101D95">
      <w:pPr>
        <w:rPr>
          <w:lang w:val="fr-FR"/>
        </w:rPr>
      </w:pPr>
      <w:r w:rsidRPr="00101D95">
        <w:rPr>
          <w:lang w:val="fr-FR"/>
        </w:rPr>
        <w:lastRenderedPageBreak/>
        <w:t>Enfin, des tests dédiés au SEO ont été ajoutés, notamment test:seo, test-page-metadata et test-seo-build. Ils permettent de vérifier que seules les pages publiques sont indexables et présentes dans le sitemap, et que les métadonnées générées restent cohérentes avec la stratégie de référencement mise en place.</w:t>
      </w:r>
    </w:p>
    <w:p w14:paraId="61F82500" w14:textId="77777777" w:rsidR="00505DAF" w:rsidRDefault="00E20EBB">
      <w:pPr>
        <w:pStyle w:val="Titre1"/>
        <w:spacing w:before="240" w:after="140"/>
        <w:rPr>
          <w:rFonts w:ascii="Arial" w:hAnsi="Arial"/>
          <w:color w:val="003CFF"/>
          <w:sz w:val="32"/>
        </w:rPr>
      </w:pPr>
      <w:bookmarkStart w:id="21" w:name="_Toc241154141"/>
      <w:r>
        <w:rPr>
          <w:rFonts w:ascii="Arial" w:hAnsi="Arial"/>
          <w:color w:val="003CFF"/>
          <w:sz w:val="32"/>
        </w:rPr>
        <w:t xml:space="preserve">13. </w:t>
      </w:r>
      <w:r w:rsidR="00505DAF">
        <w:rPr>
          <w:rFonts w:ascii="Arial" w:hAnsi="Arial"/>
          <w:color w:val="003CFF"/>
          <w:sz w:val="32"/>
        </w:rPr>
        <w:t>Automatisations</w:t>
      </w:r>
      <w:bookmarkEnd w:id="21"/>
    </w:p>
    <w:p w14:paraId="07B04B98" w14:textId="77777777" w:rsidR="001626B2" w:rsidRPr="001626B2" w:rsidRDefault="001626B2" w:rsidP="001626B2">
      <w:pPr>
        <w:jc w:val="both"/>
        <w:rPr>
          <w:lang w:val="fr-FR"/>
        </w:rPr>
      </w:pPr>
      <w:r>
        <w:t>Le nouveau compte n8n de production contient 10 workflows, dont 9 actifs. Le compte précédent est conservé pour retour arrière, avec ses workflows désactivés. n8n orchestre les appels ; le backend calcule le matching et applique les règles métier.</w:t>
      </w:r>
    </w:p>
    <w:p w14:paraId="1150AA7D" w14:textId="77777777" w:rsidR="001626B2" w:rsidRPr="001626B2" w:rsidRDefault="001626B2" w:rsidP="001626B2">
      <w:pPr>
        <w:numPr>
          <w:ilvl w:val="0"/>
          <w:numId w:val="17"/>
        </w:numPr>
        <w:jc w:val="both"/>
        <w:rPr>
          <w:lang w:val="fr-FR"/>
        </w:rPr>
      </w:pPr>
      <w:r w:rsidRPr="00801EE0">
        <w:rPr>
          <w:u w:val="single"/>
          <w:lang w:val="fr-FR"/>
        </w:rPr>
        <w:t>Matching</w:t>
      </w:r>
      <w:r w:rsidRPr="001626B2">
        <w:rPr>
          <w:lang w:val="fr-FR"/>
        </w:rPr>
        <w:t xml:space="preserve"> (InfiMatch-production-matches.json) : déclenché par webhook lorsqu’un événement de matching est transmis. Le workflow contrôle l’identifiant de l’événement puis appelle la route interne du backend chargée de traiter le matching. </w:t>
      </w:r>
    </w:p>
    <w:p w14:paraId="5EA92D96" w14:textId="77777777" w:rsidR="001626B2" w:rsidRPr="001626B2" w:rsidRDefault="001626B2" w:rsidP="001626B2">
      <w:pPr>
        <w:numPr>
          <w:ilvl w:val="0"/>
          <w:numId w:val="17"/>
        </w:numPr>
        <w:jc w:val="both"/>
        <w:rPr>
          <w:lang w:val="fr-FR"/>
        </w:rPr>
      </w:pPr>
      <w:r w:rsidRPr="00801EE0">
        <w:rPr>
          <w:u w:val="single"/>
          <w:lang w:val="fr-FR"/>
        </w:rPr>
        <w:t>Confirmation et annulation</w:t>
      </w:r>
      <w:r w:rsidRPr="001626B2">
        <w:rPr>
          <w:lang w:val="fr-FR"/>
        </w:rPr>
        <w:t xml:space="preserve"> (confirmation.json et cancellation.json) : deux workflows distincts reçoivent respectivement les événements de confirmation et d’annulation d’une mission, vérifient leur identifiant puis transmettent le traitement au backend. </w:t>
      </w:r>
    </w:p>
    <w:p w14:paraId="1B46CBD4" w14:textId="77777777" w:rsidR="001626B2" w:rsidRPr="001626B2" w:rsidRDefault="001626B2" w:rsidP="001626B2">
      <w:pPr>
        <w:numPr>
          <w:ilvl w:val="0"/>
          <w:numId w:val="17"/>
        </w:numPr>
        <w:jc w:val="both"/>
        <w:rPr>
          <w:lang w:val="fr-FR"/>
        </w:rPr>
      </w:pPr>
      <w:r>
        <w:t>Rappels : le webhook reminders est conservé. Le nouveau planificateur « Relances 4 h et avant mission » est actif et remplace « reprise et rappels », désormais inactif. Missions ouvertes : premier rappel après 24 h, au moins 24 h entre deux rappels, trois maximum, aux membres actifs des organisations. Missions confirmées : fenêtres J-1 et H-2 pour le professionnel affecté et les membres actifs des organisations. Le passage toutes les quatre heures peut manquer entièrement la fenêtre H-2.</w:t>
      </w:r>
    </w:p>
    <w:p w14:paraId="060652EB" w14:textId="77777777" w:rsidR="001626B2" w:rsidRPr="001626B2" w:rsidRDefault="001626B2" w:rsidP="001626B2">
      <w:pPr>
        <w:numPr>
          <w:ilvl w:val="0"/>
          <w:numId w:val="17"/>
        </w:numPr>
        <w:jc w:val="both"/>
        <w:rPr>
          <w:lang w:val="fr-FR"/>
        </w:rPr>
      </w:pPr>
      <w:r>
        <w:t>Maintenance quotidienne et relais Discord sécurisé restent actifs, ainsi que les imports France Travail et JobsPipe. Les notifications combinent l’application, SMTP2GO pour les emails et Discord selon les connexions et préférences. Un email de confirmation de production a été reçu par son destinataire le 24 septembre ; le retour automatique de livraison dans l’application restait à vérifier.</w:t>
      </w:r>
    </w:p>
    <w:p w14:paraId="3BA7BF1D" w14:textId="77777777" w:rsidR="001626B2" w:rsidRPr="001626B2" w:rsidRDefault="001626B2" w:rsidP="001626B2">
      <w:pPr>
        <w:jc w:val="both"/>
        <w:rPr>
          <w:lang w:val="fr-FR"/>
        </w:rPr>
      </w:pPr>
      <w:r w:rsidRPr="001626B2">
        <w:rPr>
          <w:lang w:val="fr-FR"/>
        </w:rPr>
        <w:t>Les appels entre n8n et le backend sont protégés par authentification et transmettent également les identifiants du workflow et de l’exécution afin de faciliter la traçabilité. Le relais Discord applique en plus une liste limitée d’opérations autorisées afin d’éviter qu’un appel provenant du backend puisse exécuter librement n’importe quelle requête vers Discord.</w:t>
      </w:r>
    </w:p>
    <w:p w14:paraId="2D5B88CA" w14:textId="77777777" w:rsidR="00941A05" w:rsidRDefault="00D03B22" w:rsidP="001626B2">
      <w:pPr>
        <w:rPr>
          <w:b/>
          <w:bCs/>
          <w:lang w:val="fr-FR"/>
        </w:rPr>
      </w:pPr>
      <w:r>
        <w:t>Les captures en annexe viennent du premier compte : elles illustrent les structures copiées, pas les connexions ni l’état actif actuels. Le nouveau planificateur est également illustré. Inventaire et JSON : https://github.com/EpitechMscProPromo2027/D-WEB-901-PAR-9-1-InteriMatch-1/blob/main/docs/n8n/2026-09-24/README.md</w:t>
      </w:r>
    </w:p>
    <w:p w14:paraId="2B9B6B46" w14:textId="77777777" w:rsidR="00157922" w:rsidRDefault="00157922" w:rsidP="001626B2">
      <w:pPr>
        <w:pStyle w:val="Titre1"/>
        <w:rPr>
          <w:color w:val="003CFF"/>
          <w:sz w:val="32"/>
        </w:rPr>
      </w:pPr>
      <w:bookmarkStart w:id="22" w:name="_Toc241154142"/>
      <w:r>
        <w:t>14. Tests et preuves</w:t>
      </w:r>
      <w:bookmarkEnd w:id="22"/>
    </w:p>
    <w:p w14:paraId="046F379F" w14:textId="77777777" w:rsidR="005D59AC" w:rsidRPr="00157922" w:rsidRDefault="005D59AC" w:rsidP="001626B2">
      <w:pPr>
        <w:rPr>
          <w:rFonts w:eastAsiaTheme="majorEastAsia" w:cstheme="majorBidi"/>
          <w:b/>
          <w:bCs/>
          <w:color w:val="003CFF"/>
          <w:sz w:val="32"/>
          <w:szCs w:val="28"/>
        </w:rPr>
      </w:pPr>
      <w:r>
        <w:t>Campagne du correctif matching du 24 septembre : 692/692 tests unitaires backend réussis (100 % de réussite), avec 95,01 % de couverture des lignes, 90,08 % des branches et 82,65 % des fonctions. Trois suites d’intégration ciblées et la campagne navigateur sont documentées. Ces chiffres ne constituent pas une couverture de 95 % de tous les parcours humains. Preuves : https://github.com/EpitechMscProPromo2027/D-WEB-901-PAR-9-1-InteriMatch-1/blob/main/docs/proofs/top-partner-recommendations-20260924/README.md</w:t>
      </w:r>
    </w:p>
    <w:p w14:paraId="1B129705" w14:textId="77777777" w:rsidR="00941A05" w:rsidRDefault="00941A05" w:rsidP="00941A05">
      <w:pPr>
        <w:pStyle w:val="Titre"/>
        <w:pageBreakBefore/>
        <w:rPr>
          <w:lang w:val="fr-FR"/>
        </w:rPr>
      </w:pPr>
      <w:r>
        <w:rPr>
          <w:lang w:val="fr-FR"/>
        </w:rPr>
        <w:lastRenderedPageBreak/>
        <w:t>Annexes</w:t>
      </w:r>
    </w:p>
    <w:p w14:paraId="333869B8" w14:textId="77777777" w:rsidR="001626B2" w:rsidRPr="00801EE0" w:rsidRDefault="001626B2" w:rsidP="001626B2">
      <w:pPr>
        <w:keepNext/>
        <w:rPr>
          <w:b/>
          <w:bCs/>
          <w:lang w:val="fr-FR"/>
        </w:rPr>
      </w:pPr>
      <w:r w:rsidRPr="00801EE0">
        <w:rPr>
          <w:b/>
          <w:bCs/>
          <w:lang w:val="fr-FR"/>
        </w:rPr>
        <w:t xml:space="preserve">InfiMatch-production-matches </w:t>
      </w:r>
    </w:p>
    <w:p w14:paraId="163C7596" w14:textId="77777777" w:rsidR="00801EE0" w:rsidRPr="001626B2" w:rsidRDefault="00801EE0" w:rsidP="001626B2">
      <w:pPr>
        <w:rPr>
          <w:lang w:val="fr-FR"/>
        </w:rPr>
      </w:pPr>
      <w:r w:rsidRPr="00801EE0">
        <w:rPr>
          <w:noProof/>
          <w:lang w:val="fr-FR"/>
        </w:rPr>
        <w:drawing>
          <wp:inline distT="0" distB="0" distL="0" distR="0" wp14:anchorId="53FAFB8D" wp14:editId="2C02A7F3">
            <wp:extent cx="4193060" cy="2413580"/>
            <wp:effectExtent l="0" t="0" r="0" b="6350"/>
            <wp:docPr id="15040032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7165" cy="2427455"/>
                    </a:xfrm>
                    <a:prstGeom prst="rect">
                      <a:avLst/>
                    </a:prstGeom>
                    <a:noFill/>
                    <a:ln>
                      <a:noFill/>
                    </a:ln>
                  </pic:spPr>
                </pic:pic>
              </a:graphicData>
            </a:graphic>
          </wp:inline>
        </w:drawing>
      </w:r>
    </w:p>
    <w:p w14:paraId="2877C8BF" w14:textId="77777777" w:rsidR="001626B2" w:rsidRDefault="001626B2" w:rsidP="001626B2">
      <w:pPr>
        <w:keepNext/>
        <w:rPr>
          <w:b/>
          <w:bCs/>
          <w:lang w:val="fr-FR"/>
        </w:rPr>
      </w:pPr>
      <w:r w:rsidRPr="00801EE0">
        <w:rPr>
          <w:b/>
          <w:bCs/>
          <w:lang w:val="fr-FR"/>
        </w:rPr>
        <w:t xml:space="preserve">confirmation </w:t>
      </w:r>
    </w:p>
    <w:p w14:paraId="165D0548" w14:textId="77777777" w:rsidR="00801EE0" w:rsidRPr="00801EE0" w:rsidRDefault="00E8001C" w:rsidP="001626B2">
      <w:pPr>
        <w:rPr>
          <w:b/>
          <w:bCs/>
          <w:lang w:val="fr-FR"/>
        </w:rPr>
      </w:pPr>
      <w:r w:rsidRPr="00E8001C">
        <w:rPr>
          <w:b/>
          <w:bCs/>
          <w:noProof/>
          <w:lang w:val="fr-FR"/>
        </w:rPr>
        <w:drawing>
          <wp:inline distT="0" distB="0" distL="0" distR="0" wp14:anchorId="59D76550" wp14:editId="2FF4BDC4">
            <wp:extent cx="4258617" cy="2275205"/>
            <wp:effectExtent l="0" t="0" r="8890" b="0"/>
            <wp:docPr id="7457686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8202" cy="2296354"/>
                    </a:xfrm>
                    <a:prstGeom prst="rect">
                      <a:avLst/>
                    </a:prstGeom>
                    <a:noFill/>
                    <a:ln>
                      <a:noFill/>
                    </a:ln>
                  </pic:spPr>
                </pic:pic>
              </a:graphicData>
            </a:graphic>
          </wp:inline>
        </w:drawing>
      </w:r>
    </w:p>
    <w:p w14:paraId="09A04FFC" w14:textId="77777777" w:rsidR="001626B2" w:rsidRDefault="001626B2" w:rsidP="001626B2">
      <w:pPr>
        <w:keepNext/>
        <w:rPr>
          <w:b/>
          <w:bCs/>
          <w:lang w:val="fr-FR"/>
        </w:rPr>
      </w:pPr>
      <w:r w:rsidRPr="00801EE0">
        <w:rPr>
          <w:b/>
          <w:bCs/>
          <w:lang w:val="fr-FR"/>
        </w:rPr>
        <w:t xml:space="preserve">cancellation </w:t>
      </w:r>
    </w:p>
    <w:p w14:paraId="66292C32" w14:textId="77777777" w:rsidR="00E8001C" w:rsidRPr="00801EE0" w:rsidRDefault="00E8001C" w:rsidP="001626B2">
      <w:pPr>
        <w:rPr>
          <w:b/>
          <w:bCs/>
          <w:lang w:val="fr-FR"/>
        </w:rPr>
      </w:pPr>
      <w:r w:rsidRPr="00E8001C">
        <w:rPr>
          <w:b/>
          <w:bCs/>
          <w:noProof/>
          <w:lang w:val="fr-FR"/>
        </w:rPr>
        <w:drawing>
          <wp:inline distT="0" distB="0" distL="0" distR="0" wp14:anchorId="1110147A" wp14:editId="163BE2E9">
            <wp:extent cx="4382530" cy="2346293"/>
            <wp:effectExtent l="0" t="0" r="0" b="0"/>
            <wp:docPr id="19679806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1342" cy="2356365"/>
                    </a:xfrm>
                    <a:prstGeom prst="rect">
                      <a:avLst/>
                    </a:prstGeom>
                    <a:noFill/>
                    <a:ln>
                      <a:noFill/>
                    </a:ln>
                  </pic:spPr>
                </pic:pic>
              </a:graphicData>
            </a:graphic>
          </wp:inline>
        </w:drawing>
      </w:r>
    </w:p>
    <w:p w14:paraId="66A0F869" w14:textId="77777777" w:rsidR="001626B2" w:rsidRDefault="001626B2" w:rsidP="001626B2">
      <w:pPr>
        <w:keepNext/>
        <w:rPr>
          <w:b/>
          <w:bCs/>
          <w:lang w:val="fr-FR"/>
        </w:rPr>
      </w:pPr>
      <w:r w:rsidRPr="00801EE0">
        <w:rPr>
          <w:b/>
          <w:bCs/>
          <w:lang w:val="fr-FR"/>
        </w:rPr>
        <w:lastRenderedPageBreak/>
        <w:t xml:space="preserve">reminders </w:t>
      </w:r>
    </w:p>
    <w:p w14:paraId="4866D399" w14:textId="77777777" w:rsidR="00E8001C" w:rsidRPr="00801EE0" w:rsidRDefault="00444861" w:rsidP="001626B2">
      <w:pPr>
        <w:rPr>
          <w:b/>
          <w:bCs/>
          <w:lang w:val="fr-FR"/>
        </w:rPr>
      </w:pPr>
      <w:r w:rsidRPr="00444861">
        <w:rPr>
          <w:b/>
          <w:bCs/>
          <w:noProof/>
          <w:lang w:val="fr-FR"/>
        </w:rPr>
        <w:drawing>
          <wp:inline distT="0" distB="0" distL="0" distR="0" wp14:anchorId="5C8EE3BA" wp14:editId="29F90F84">
            <wp:extent cx="4501662" cy="2369920"/>
            <wp:effectExtent l="0" t="0" r="0" b="0"/>
            <wp:docPr id="76084624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9994" cy="2405894"/>
                    </a:xfrm>
                    <a:prstGeom prst="rect">
                      <a:avLst/>
                    </a:prstGeom>
                    <a:noFill/>
                    <a:ln>
                      <a:noFill/>
                    </a:ln>
                  </pic:spPr>
                </pic:pic>
              </a:graphicData>
            </a:graphic>
          </wp:inline>
        </w:drawing>
      </w:r>
    </w:p>
    <w:p w14:paraId="2BD06D4C" w14:textId="77777777" w:rsidR="001626B2" w:rsidRDefault="001626B2" w:rsidP="001626B2">
      <w:pPr>
        <w:keepNext/>
        <w:rPr>
          <w:b/>
          <w:bCs/>
          <w:lang w:val="fr-FR"/>
        </w:rPr>
      </w:pPr>
      <w:r>
        <w:t>Ancienne reprise et rappels — capture historique ; workflow désormais inactif</w:t>
      </w:r>
    </w:p>
    <w:p w14:paraId="75FDD8D8" w14:textId="77777777" w:rsidR="00444861" w:rsidRPr="00801EE0" w:rsidRDefault="00444861" w:rsidP="001626B2">
      <w:pPr>
        <w:rPr>
          <w:b/>
          <w:bCs/>
          <w:lang w:val="fr-FR"/>
        </w:rPr>
      </w:pPr>
      <w:r w:rsidRPr="00444861">
        <w:rPr>
          <w:b/>
          <w:bCs/>
          <w:noProof/>
          <w:lang w:val="fr-FR"/>
        </w:rPr>
        <w:drawing>
          <wp:inline distT="0" distB="0" distL="0" distR="0" wp14:anchorId="0F8851FD" wp14:editId="14554C1B">
            <wp:extent cx="4501515" cy="2599801"/>
            <wp:effectExtent l="0" t="0" r="0" b="0"/>
            <wp:docPr id="1042924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7255" cy="2608891"/>
                    </a:xfrm>
                    <a:prstGeom prst="rect">
                      <a:avLst/>
                    </a:prstGeom>
                    <a:noFill/>
                    <a:ln>
                      <a:noFill/>
                    </a:ln>
                  </pic:spPr>
                </pic:pic>
              </a:graphicData>
            </a:graphic>
          </wp:inline>
        </w:drawing>
      </w:r>
    </w:p>
    <w:p w14:paraId="2674C750" w14:textId="77777777" w:rsidR="001626B2" w:rsidRDefault="001626B2" w:rsidP="001626B2">
      <w:pPr>
        <w:keepNext/>
        <w:rPr>
          <w:b/>
          <w:bCs/>
          <w:lang w:val="fr-FR"/>
        </w:rPr>
      </w:pPr>
      <w:r w:rsidRPr="00801EE0">
        <w:rPr>
          <w:b/>
          <w:bCs/>
          <w:lang w:val="fr-FR"/>
        </w:rPr>
        <w:t xml:space="preserve">maintenance-quotidienne </w:t>
      </w:r>
    </w:p>
    <w:p w14:paraId="690F10D1" w14:textId="77777777" w:rsidR="00444861" w:rsidRPr="00801EE0" w:rsidRDefault="00444861" w:rsidP="001626B2">
      <w:pPr>
        <w:rPr>
          <w:b/>
          <w:bCs/>
          <w:lang w:val="fr-FR"/>
        </w:rPr>
      </w:pPr>
      <w:r w:rsidRPr="00444861">
        <w:rPr>
          <w:b/>
          <w:bCs/>
          <w:noProof/>
          <w:lang w:val="fr-FR"/>
        </w:rPr>
        <w:drawing>
          <wp:inline distT="0" distB="0" distL="0" distR="0" wp14:anchorId="42ABA2A5" wp14:editId="5760296C">
            <wp:extent cx="4501515" cy="2698354"/>
            <wp:effectExtent l="0" t="0" r="0" b="6985"/>
            <wp:docPr id="64110970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0847" cy="2715937"/>
                    </a:xfrm>
                    <a:prstGeom prst="rect">
                      <a:avLst/>
                    </a:prstGeom>
                    <a:noFill/>
                    <a:ln>
                      <a:noFill/>
                    </a:ln>
                  </pic:spPr>
                </pic:pic>
              </a:graphicData>
            </a:graphic>
          </wp:inline>
        </w:drawing>
      </w:r>
    </w:p>
    <w:p w14:paraId="1660672D" w14:textId="77777777" w:rsidR="001626B2" w:rsidRDefault="001626B2" w:rsidP="001626B2">
      <w:pPr>
        <w:keepNext/>
        <w:rPr>
          <w:b/>
          <w:bCs/>
          <w:lang w:val="fr-FR"/>
        </w:rPr>
      </w:pPr>
      <w:r w:rsidRPr="00801EE0">
        <w:rPr>
          <w:b/>
          <w:bCs/>
          <w:lang w:val="fr-FR"/>
        </w:rPr>
        <w:lastRenderedPageBreak/>
        <w:t>discord-relay</w:t>
      </w:r>
    </w:p>
    <w:p w14:paraId="0B62EEE3" w14:textId="77777777" w:rsidR="00444861" w:rsidRPr="00444861" w:rsidRDefault="00444861" w:rsidP="00444861">
      <w:pPr>
        <w:rPr>
          <w:b/>
          <w:bCs/>
          <w:lang w:val="fr-FR"/>
        </w:rPr>
      </w:pPr>
      <w:r w:rsidRPr="00444861">
        <w:rPr>
          <w:b/>
          <w:bCs/>
          <w:noProof/>
          <w:lang w:val="fr-FR"/>
        </w:rPr>
        <w:drawing>
          <wp:inline distT="0" distB="0" distL="0" distR="0" wp14:anchorId="53C171B7" wp14:editId="498B4573">
            <wp:extent cx="4724400" cy="2597797"/>
            <wp:effectExtent l="0" t="0" r="0" b="0"/>
            <wp:docPr id="127477345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3582" cy="2602846"/>
                    </a:xfrm>
                    <a:prstGeom prst="rect">
                      <a:avLst/>
                    </a:prstGeom>
                    <a:noFill/>
                    <a:ln>
                      <a:noFill/>
                    </a:ln>
                  </pic:spPr>
                </pic:pic>
              </a:graphicData>
            </a:graphic>
          </wp:inline>
        </w:drawing>
      </w:r>
    </w:p>
    <w:p w14:paraId="77A4DD7C" w14:textId="77777777" w:rsidR="003F21EF" w:rsidRDefault="000A7EDA">
      <w:pPr>
        <w:pStyle w:val="Titre1"/>
      </w:pPr>
      <w:bookmarkStart w:id="23" w:name="_Toc241154143"/>
      <w:r>
        <w:t>Complément — relances après migration n8n</w:t>
      </w:r>
      <w:bookmarkEnd w:id="23"/>
    </w:p>
    <w:p w14:paraId="0AD1E11A" w14:textId="77777777" w:rsidR="003F21EF" w:rsidRDefault="000A7EDA">
      <w:pPr>
        <w:keepNext/>
      </w:pPr>
      <w:r>
        <w:t>Capture du 24 septembre sur le premier compte, avant migration : structure copiée sur infimatch2. Les alertes de connexion visibles à la prise de vue ne sont pas une preuve de panne actuelle. Les credentials ont été raccordés lors de la migration. Le workflow ancien de reprise reste désactivé.</w:t>
      </w:r>
    </w:p>
    <w:p w14:paraId="30B54A15" w14:textId="77777777" w:rsidR="003F21EF" w:rsidRDefault="000A7EDA">
      <w:r>
        <w:rPr>
          <w:noProof/>
        </w:rPr>
        <w:drawing>
          <wp:inline distT="0" distB="0" distL="0" distR="0" wp14:anchorId="52BD3430" wp14:editId="3F87E982">
            <wp:extent cx="5577840" cy="3486150"/>
            <wp:effectExtent l="0" t="0" r="0" b="0"/>
            <wp:docPr id="1967980647" name="Picture 196798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nces-vue-ensemble.png"/>
                    <pic:cNvPicPr/>
                  </pic:nvPicPr>
                  <pic:blipFill>
                    <a:blip r:embed="rId18"/>
                    <a:stretch>
                      <a:fillRect/>
                    </a:stretch>
                  </pic:blipFill>
                  <pic:spPr>
                    <a:xfrm>
                      <a:off x="0" y="0"/>
                      <a:ext cx="5577840" cy="3486150"/>
                    </a:xfrm>
                    <a:prstGeom prst="rect">
                      <a:avLst/>
                    </a:prstGeom>
                  </pic:spPr>
                </pic:pic>
              </a:graphicData>
            </a:graphic>
          </wp:inline>
        </w:drawing>
      </w:r>
    </w:p>
    <w:p w14:paraId="35E7E4D7" w14:textId="77777777" w:rsidR="003F21EF" w:rsidRDefault="000A7EDA">
      <w:r>
        <w:t>JSON du planificateur : https://github.com/EpitechMscProPromo2027/D-WEB-901-PAR-9-1-InteriMatch-1/blob/main/docs/n8n/2026-09-24/relances-multicanales.json</w:t>
      </w:r>
    </w:p>
    <w:p w14:paraId="1C42E473" w14:textId="77777777" w:rsidR="003F21EF" w:rsidRDefault="000A7EDA">
      <w:pPr>
        <w:pStyle w:val="Titre1"/>
        <w:pageBreakBefore/>
      </w:pPr>
      <w:bookmarkStart w:id="24" w:name="_Toc241154144"/>
      <w:r>
        <w:lastRenderedPageBreak/>
        <w:t>Complément — coût de réalisation et exploitation</w:t>
      </w:r>
      <w:bookmarkEnd w:id="24"/>
    </w:p>
    <w:p w14:paraId="4D42C92C" w14:textId="77777777" w:rsidR="003F21EF" w:rsidRDefault="000A7EDA">
      <w:r>
        <w:t>Hypothèses du dossier financier du 24 septembre, et non factures : 396 h déclarées ; salaire de référence 41 000 EUR brut/an pour 1 820 h ; charges employeur supposées de 42 %. Quatre postes à 2 000 EUR HT amortis sur 3 ans et 220 jours ouvrés/an, quote-part de 11 jours.</w:t>
      </w:r>
    </w:p>
    <w:tbl>
      <w:tblPr>
        <w:tblStyle w:val="Grilledutableau"/>
        <w:tblW w:w="0" w:type="auto"/>
        <w:tblLook w:val="04A0" w:firstRow="1" w:lastRow="0" w:firstColumn="1" w:lastColumn="0" w:noHBand="0" w:noVBand="1"/>
      </w:tblPr>
      <w:tblGrid>
        <w:gridCol w:w="4933"/>
        <w:gridCol w:w="4933"/>
      </w:tblGrid>
      <w:tr w:rsidR="003F21EF" w14:paraId="002593E4" w14:textId="77777777">
        <w:trPr>
          <w:cantSplit/>
          <w:tblHeader/>
        </w:trPr>
        <w:tc>
          <w:tcPr>
            <w:tcW w:w="4933" w:type="dxa"/>
          </w:tcPr>
          <w:p w14:paraId="162C7C12" w14:textId="77777777" w:rsidR="003F21EF" w:rsidRDefault="000A7EDA">
            <w:pPr>
              <w:keepNext/>
            </w:pPr>
            <w:r>
              <w:t>Poste</w:t>
            </w:r>
          </w:p>
        </w:tc>
        <w:tc>
          <w:tcPr>
            <w:tcW w:w="4933" w:type="dxa"/>
          </w:tcPr>
          <w:p w14:paraId="43A08545" w14:textId="77777777" w:rsidR="003F21EF" w:rsidRDefault="000A7EDA">
            <w:pPr>
              <w:keepNext/>
            </w:pPr>
            <w:r>
              <w:t>Estimation</w:t>
            </w:r>
          </w:p>
        </w:tc>
      </w:tr>
      <w:tr w:rsidR="003F21EF" w14:paraId="2E29442F" w14:textId="77777777">
        <w:trPr>
          <w:cantSplit/>
        </w:trPr>
        <w:tc>
          <w:tcPr>
            <w:tcW w:w="4933" w:type="dxa"/>
          </w:tcPr>
          <w:p w14:paraId="3CA753EA" w14:textId="77777777" w:rsidR="003F21EF" w:rsidRDefault="000A7EDA">
            <w:pPr>
              <w:keepNext/>
            </w:pPr>
            <w:r>
              <w:t>Travail valorisé en coût employeur</w:t>
            </w:r>
          </w:p>
        </w:tc>
        <w:tc>
          <w:tcPr>
            <w:tcW w:w="4933" w:type="dxa"/>
          </w:tcPr>
          <w:p w14:paraId="7A4B19CA" w14:textId="77777777" w:rsidR="003F21EF" w:rsidRDefault="000A7EDA">
            <w:pPr>
              <w:keepNext/>
            </w:pPr>
            <w:r>
              <w:t>12 667,65 EUR</w:t>
            </w:r>
          </w:p>
        </w:tc>
      </w:tr>
      <w:tr w:rsidR="003F21EF" w14:paraId="634183E7" w14:textId="77777777">
        <w:trPr>
          <w:cantSplit/>
        </w:trPr>
        <w:tc>
          <w:tcPr>
            <w:tcW w:w="4933" w:type="dxa"/>
          </w:tcPr>
          <w:p w14:paraId="002984D6" w14:textId="77777777" w:rsidR="003F21EF" w:rsidRDefault="000A7EDA">
            <w:pPr>
              <w:keepNext/>
            </w:pPr>
            <w:r>
              <w:t>Quote-part d’amortissement du matériel</w:t>
            </w:r>
          </w:p>
        </w:tc>
        <w:tc>
          <w:tcPr>
            <w:tcW w:w="4933" w:type="dxa"/>
          </w:tcPr>
          <w:p w14:paraId="53D9BD57" w14:textId="77777777" w:rsidR="003F21EF" w:rsidRDefault="000A7EDA">
            <w:pPr>
              <w:keepNext/>
            </w:pPr>
            <w:r>
              <w:t>133,33 EUR</w:t>
            </w:r>
          </w:p>
        </w:tc>
      </w:tr>
      <w:tr w:rsidR="003F21EF" w14:paraId="52F7BDB8" w14:textId="77777777">
        <w:trPr>
          <w:cantSplit/>
        </w:trPr>
        <w:tc>
          <w:tcPr>
            <w:tcW w:w="4933" w:type="dxa"/>
          </w:tcPr>
          <w:p w14:paraId="636E2037" w14:textId="77777777" w:rsidR="003F21EF" w:rsidRDefault="000A7EDA">
            <w:pPr>
              <w:keepNext/>
            </w:pPr>
            <w:r>
              <w:t>Réalisation : travail + matériel</w:t>
            </w:r>
          </w:p>
        </w:tc>
        <w:tc>
          <w:tcPr>
            <w:tcW w:w="4933" w:type="dxa"/>
          </w:tcPr>
          <w:p w14:paraId="12D6BC05" w14:textId="77777777" w:rsidR="003F21EF" w:rsidRDefault="000A7EDA">
            <w:pPr>
              <w:keepNext/>
            </w:pPr>
            <w:r>
              <w:t>12 800,98 EUR</w:t>
            </w:r>
          </w:p>
        </w:tc>
      </w:tr>
      <w:tr w:rsidR="003F21EF" w14:paraId="6C04FBCE" w14:textId="77777777">
        <w:trPr>
          <w:cantSplit/>
        </w:trPr>
        <w:tc>
          <w:tcPr>
            <w:tcW w:w="4933" w:type="dxa"/>
          </w:tcPr>
          <w:p w14:paraId="053614A3" w14:textId="77777777" w:rsidR="003F21EF" w:rsidRDefault="000A7EDA">
            <w:pPr>
              <w:keepNext/>
            </w:pPr>
            <w:r>
              <w:t>Exploitation mensuelle avec 1 salarié à temps plein</w:t>
            </w:r>
          </w:p>
        </w:tc>
        <w:tc>
          <w:tcPr>
            <w:tcW w:w="4933" w:type="dxa"/>
          </w:tcPr>
          <w:p w14:paraId="06C26E0F" w14:textId="77777777" w:rsidR="003F21EF" w:rsidRDefault="000A7EDA">
            <w:pPr>
              <w:keepNext/>
            </w:pPr>
            <w:r>
              <w:t>5 265,30 EUR / mois</w:t>
            </w:r>
          </w:p>
        </w:tc>
      </w:tr>
      <w:tr w:rsidR="003F21EF" w14:paraId="1EBAA312" w14:textId="77777777">
        <w:trPr>
          <w:cantSplit/>
        </w:trPr>
        <w:tc>
          <w:tcPr>
            <w:tcW w:w="4933" w:type="dxa"/>
          </w:tcPr>
          <w:p w14:paraId="163CFD2F" w14:textId="77777777" w:rsidR="003F21EF" w:rsidRDefault="000A7EDA">
            <w:r>
              <w:t>Coût moyen par cycle à 100 / 500 / 1 000 validations mensuelles</w:t>
            </w:r>
          </w:p>
        </w:tc>
        <w:tc>
          <w:tcPr>
            <w:tcW w:w="4933" w:type="dxa"/>
          </w:tcPr>
          <w:p w14:paraId="3CC9A48E" w14:textId="77777777" w:rsidR="003F21EF" w:rsidRDefault="000A7EDA">
            <w:r>
              <w:t>52,65 / 10,53 / 5,27 EUR</w:t>
            </w:r>
          </w:p>
        </w:tc>
      </w:tr>
    </w:tbl>
    <w:p w14:paraId="790EA7F4" w14:textId="77777777" w:rsidR="003F21EF" w:rsidRDefault="000A7EDA">
      <w:r>
        <w:t>L’exploitation inclut 4 851,67 EUR/mois de coût employeur et un poste de maintenance amorti. Les frais commerciaux, juridiques, certains outils de développement, taxes et dépassements de quotas ne sont pas tous chiffrés. Le coût par cycle répartit ce budget fixe sur les validations ; il ne constitue pas un coût marginal mesuré.</w:t>
      </w:r>
    </w:p>
    <w:p w14:paraId="424E213E" w14:textId="77777777" w:rsidR="003F21EF" w:rsidRDefault="000A7EDA">
      <w:pPr>
        <w:keepNext/>
      </w:pPr>
      <w:r>
        <w:t>À 20 établissements et 500 validations/mois : résultat après budget de 4 234,70 EUR pour 19 EUR/mission ; 714,70 EUR pour le forfait à 299 EUR ; 2 214,70 EUR pour 149 EUR + 9 EUR/mission. Le forfait limite chaque établissement à 30 validations. Les scénarios à 1 000 validations dépassent cette capacité à 20 clients et nécessitent une autre hypothèse.</w:t>
      </w:r>
    </w:p>
    <w:p w14:paraId="4A5E2D0D" w14:textId="77777777" w:rsidR="003F21EF" w:rsidRDefault="000A7EDA">
      <w:r>
        <w:rPr>
          <w:noProof/>
        </w:rPr>
        <w:drawing>
          <wp:inline distT="0" distB="0" distL="0" distR="0" wp14:anchorId="5C15F26C" wp14:editId="5101FD0A">
            <wp:extent cx="4796942" cy="3297897"/>
            <wp:effectExtent l="0" t="0" r="0" b="0"/>
            <wp:docPr id="1967980648" name="Picture 19679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ison-ca-couts-benefice.png"/>
                    <pic:cNvPicPr/>
                  </pic:nvPicPr>
                  <pic:blipFill>
                    <a:blip r:embed="rId19"/>
                    <a:stretch>
                      <a:fillRect/>
                    </a:stretch>
                  </pic:blipFill>
                  <pic:spPr>
                    <a:xfrm>
                      <a:off x="0" y="0"/>
                      <a:ext cx="4796942" cy="3297897"/>
                    </a:xfrm>
                    <a:prstGeom prst="rect">
                      <a:avLst/>
                    </a:prstGeom>
                  </pic:spPr>
                </pic:pic>
              </a:graphicData>
            </a:graphic>
          </wp:inline>
        </w:drawing>
      </w:r>
    </w:p>
    <w:p w14:paraId="19F32A49" w14:textId="77777777" w:rsidR="003F21EF" w:rsidRDefault="000A7EDA">
      <w:r>
        <w:t>Calculs, hypothèses et sources : https://github.com/EpitechMscProPromo2027/D-WEB-901-PAR-9-1-InteriMatch-1/blob/main/docs/cout-projet/README.md ; https://github.com/EpitechMscProPromo2027/D-WEB-901-PAR-9-1-InteriMatch-1/blob/main/docs/business/2026-09-24/COMPARAISON_COMPLETE.md</w:t>
      </w:r>
    </w:p>
    <w:p w14:paraId="20A9EED7" w14:textId="77777777" w:rsidR="003F21EF" w:rsidRDefault="000A7EDA">
      <w:pPr>
        <w:pStyle w:val="Titre1"/>
      </w:pPr>
      <w:bookmarkStart w:id="25" w:name="_Toc241154145"/>
      <w:r>
        <w:t>Limites à conserver dans le rendu</w:t>
      </w:r>
      <w:bookmarkEnd w:id="25"/>
    </w:p>
    <w:p w14:paraId="323C6A0D" w14:textId="77777777" w:rsidR="003F21EF" w:rsidRDefault="000A7EDA">
      <w:pPr>
        <w:keepLines/>
      </w:pPr>
      <w:r>
        <w:t>La recette humaine complète, la ventilation des heures, les responsabilités sur les données et les retours automatiques de livraison SMTP2GO doivent rester documentés séparément. Les contrôles automatiques et les captures ne prouvent pas une conformité RGAA complète. Les comptes et exports de secrets Vault restent privés et hors du dossier de rendu.</w:t>
      </w:r>
    </w:p>
    <w:sectPr w:rsidR="003F21EF" w:rsidSect="00034616">
      <w:footerReference w:type="default" r:id="rId20"/>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2A469" w14:textId="77777777" w:rsidR="009B34D9" w:rsidRDefault="009B34D9">
      <w:pPr>
        <w:spacing w:after="0" w:line="240" w:lineRule="auto"/>
      </w:pPr>
      <w:r>
        <w:separator/>
      </w:r>
    </w:p>
  </w:endnote>
  <w:endnote w:type="continuationSeparator" w:id="0">
    <w:p w14:paraId="5E46241E" w14:textId="77777777" w:rsidR="009B34D9" w:rsidRDefault="009B3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E4ED" w14:textId="77777777" w:rsidR="0082306A" w:rsidRDefault="0082306A">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E4A8" w14:textId="77777777" w:rsidR="0082306A" w:rsidRDefault="000A7EDA">
    <w:pPr>
      <w:pStyle w:val="Pieddepage"/>
      <w:jc w:val="center"/>
    </w:pPr>
    <w:r>
      <w:rPr>
        <w:color w:val="7A7F87"/>
        <w:sz w:val="16"/>
      </w:rPr>
      <w:t>Infimatch — D-WEB-901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974C" w14:textId="77777777" w:rsidR="009B34D9" w:rsidRDefault="009B34D9">
      <w:pPr>
        <w:spacing w:after="0" w:line="240" w:lineRule="auto"/>
      </w:pPr>
      <w:r>
        <w:separator/>
      </w:r>
    </w:p>
  </w:footnote>
  <w:footnote w:type="continuationSeparator" w:id="0">
    <w:p w14:paraId="47BD08B3" w14:textId="77777777" w:rsidR="009B34D9" w:rsidRDefault="009B3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5784FF9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D423C41"/>
    <w:multiLevelType w:val="hybridMultilevel"/>
    <w:tmpl w:val="720476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C00CC4"/>
    <w:multiLevelType w:val="hybridMultilevel"/>
    <w:tmpl w:val="0BE0D96C"/>
    <w:lvl w:ilvl="0" w:tplc="ABD6BE9C">
      <w:start w:val="13"/>
      <w:numFmt w:val="bullet"/>
      <w:lvlText w:val="-"/>
      <w:lvlJc w:val="left"/>
      <w:pPr>
        <w:ind w:left="1800" w:hanging="360"/>
      </w:pPr>
      <w:rPr>
        <w:rFonts w:ascii="Arial" w:eastAsiaTheme="minorEastAsia" w:hAnsi="Arial" w:cs="Aria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 w15:restartNumberingAfterBreak="0">
    <w:nsid w:val="3A477658"/>
    <w:multiLevelType w:val="hybridMultilevel"/>
    <w:tmpl w:val="05062958"/>
    <w:lvl w:ilvl="0" w:tplc="491AF4D4">
      <w:start w:val="6"/>
      <w:numFmt w:val="bullet"/>
      <w:lvlText w:val="-"/>
      <w:lvlJc w:val="left"/>
      <w:pPr>
        <w:ind w:left="1800" w:hanging="360"/>
      </w:pPr>
      <w:rPr>
        <w:rFonts w:ascii="Arial" w:eastAsiaTheme="minorEastAsia" w:hAnsi="Arial" w:cs="Arial" w:hint="default"/>
        <w:b/>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 w15:restartNumberingAfterBreak="0">
    <w:nsid w:val="46130FEC"/>
    <w:multiLevelType w:val="multilevel"/>
    <w:tmpl w:val="102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B2F93"/>
    <w:multiLevelType w:val="hybridMultilevel"/>
    <w:tmpl w:val="85F6B4E0"/>
    <w:lvl w:ilvl="0" w:tplc="76D650D6">
      <w:start w:val="13"/>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B0223A"/>
    <w:multiLevelType w:val="multilevel"/>
    <w:tmpl w:val="9E0243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1C87DFA"/>
    <w:multiLevelType w:val="hybridMultilevel"/>
    <w:tmpl w:val="B358D152"/>
    <w:lvl w:ilvl="0" w:tplc="3BF0F000">
      <w:start w:val="6"/>
      <w:numFmt w:val="bullet"/>
      <w:lvlText w:val="-"/>
      <w:lvlJc w:val="left"/>
      <w:pPr>
        <w:ind w:left="1080" w:hanging="360"/>
      </w:pPr>
      <w:rPr>
        <w:rFonts w:ascii="Arial" w:eastAsiaTheme="minorEastAsia"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756735FD"/>
    <w:multiLevelType w:val="hybridMultilevel"/>
    <w:tmpl w:val="C0B46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F707F2"/>
    <w:multiLevelType w:val="multilevel"/>
    <w:tmpl w:val="EC9A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42374">
    <w:abstractNumId w:val="8"/>
  </w:num>
  <w:num w:numId="2" w16cid:durableId="1509565097">
    <w:abstractNumId w:val="6"/>
  </w:num>
  <w:num w:numId="3" w16cid:durableId="2078362374">
    <w:abstractNumId w:val="5"/>
  </w:num>
  <w:num w:numId="4" w16cid:durableId="366027560">
    <w:abstractNumId w:val="4"/>
  </w:num>
  <w:num w:numId="5" w16cid:durableId="133448902">
    <w:abstractNumId w:val="7"/>
  </w:num>
  <w:num w:numId="6" w16cid:durableId="437722068">
    <w:abstractNumId w:val="3"/>
  </w:num>
  <w:num w:numId="7" w16cid:durableId="466509147">
    <w:abstractNumId w:val="2"/>
  </w:num>
  <w:num w:numId="8" w16cid:durableId="841317912">
    <w:abstractNumId w:val="1"/>
  </w:num>
  <w:num w:numId="9" w16cid:durableId="698358781">
    <w:abstractNumId w:val="0"/>
  </w:num>
  <w:num w:numId="10" w16cid:durableId="1090273038">
    <w:abstractNumId w:val="13"/>
  </w:num>
  <w:num w:numId="11" w16cid:durableId="1519615094">
    <w:abstractNumId w:val="14"/>
  </w:num>
  <w:num w:numId="12" w16cid:durableId="1821723673">
    <w:abstractNumId w:val="9"/>
  </w:num>
  <w:num w:numId="13" w16cid:durableId="379322849">
    <w:abstractNumId w:val="10"/>
  </w:num>
  <w:num w:numId="14" w16cid:durableId="1902863162">
    <w:abstractNumId w:val="16"/>
  </w:num>
  <w:num w:numId="15" w16cid:durableId="672072123">
    <w:abstractNumId w:val="15"/>
  </w:num>
  <w:num w:numId="16" w16cid:durableId="1163668002">
    <w:abstractNumId w:val="11"/>
  </w:num>
  <w:num w:numId="17" w16cid:durableId="1806120538">
    <w:abstractNumId w:val="12"/>
  </w:num>
  <w:num w:numId="18" w16cid:durableId="9565281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8A"/>
    <w:rsid w:val="00034616"/>
    <w:rsid w:val="000348DA"/>
    <w:rsid w:val="0006063C"/>
    <w:rsid w:val="0008066F"/>
    <w:rsid w:val="000A7EDA"/>
    <w:rsid w:val="000B23DE"/>
    <w:rsid w:val="000F5DD1"/>
    <w:rsid w:val="00101D95"/>
    <w:rsid w:val="00103F52"/>
    <w:rsid w:val="00125D25"/>
    <w:rsid w:val="0015074B"/>
    <w:rsid w:val="0015208F"/>
    <w:rsid w:val="00157922"/>
    <w:rsid w:val="001626B2"/>
    <w:rsid w:val="0017005F"/>
    <w:rsid w:val="001F103B"/>
    <w:rsid w:val="00250282"/>
    <w:rsid w:val="00260E82"/>
    <w:rsid w:val="0029639D"/>
    <w:rsid w:val="0031478B"/>
    <w:rsid w:val="00326F90"/>
    <w:rsid w:val="003369B5"/>
    <w:rsid w:val="0039412B"/>
    <w:rsid w:val="003F1A79"/>
    <w:rsid w:val="003F21EF"/>
    <w:rsid w:val="00415BAE"/>
    <w:rsid w:val="00444861"/>
    <w:rsid w:val="00461B1E"/>
    <w:rsid w:val="00481F5E"/>
    <w:rsid w:val="004C7BFA"/>
    <w:rsid w:val="00505DAF"/>
    <w:rsid w:val="00511575"/>
    <w:rsid w:val="005D59AC"/>
    <w:rsid w:val="00611312"/>
    <w:rsid w:val="00624573"/>
    <w:rsid w:val="00650B7B"/>
    <w:rsid w:val="006C73F9"/>
    <w:rsid w:val="00801EE0"/>
    <w:rsid w:val="0082306A"/>
    <w:rsid w:val="008743A7"/>
    <w:rsid w:val="008D6481"/>
    <w:rsid w:val="00941A05"/>
    <w:rsid w:val="00977056"/>
    <w:rsid w:val="009B34D9"/>
    <w:rsid w:val="00AA1D8D"/>
    <w:rsid w:val="00AB447A"/>
    <w:rsid w:val="00B171E0"/>
    <w:rsid w:val="00B23E3D"/>
    <w:rsid w:val="00B47730"/>
    <w:rsid w:val="00B64475"/>
    <w:rsid w:val="00B736FF"/>
    <w:rsid w:val="00BA7B54"/>
    <w:rsid w:val="00BD4DD3"/>
    <w:rsid w:val="00BF69EC"/>
    <w:rsid w:val="00C02D76"/>
    <w:rsid w:val="00C16410"/>
    <w:rsid w:val="00CB0664"/>
    <w:rsid w:val="00CB18A1"/>
    <w:rsid w:val="00D03B22"/>
    <w:rsid w:val="00DD4E53"/>
    <w:rsid w:val="00E17387"/>
    <w:rsid w:val="00E20EBB"/>
    <w:rsid w:val="00E3424A"/>
    <w:rsid w:val="00E57460"/>
    <w:rsid w:val="00E8001C"/>
    <w:rsid w:val="00EE0F7E"/>
    <w:rsid w:val="00F334C5"/>
    <w:rsid w:val="00F5641B"/>
    <w:rsid w:val="00F819AE"/>
    <w:rsid w:val="00F81F55"/>
    <w:rsid w:val="00FC693F"/>
    <w:rsid w:val="00FF03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C71B3C"/>
  <w14:defaultImageDpi w14:val="300"/>
  <w15:docId w15:val="{B38DDDCF-B7A9-4430-92C8-2A4E2F5A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73F9"/>
    <w:rPr>
      <w:rFonts w:ascii="Times New Roman" w:hAnsi="Times New Roman" w:cs="Times New Roman"/>
      <w:sz w:val="24"/>
      <w:szCs w:val="24"/>
    </w:rPr>
  </w:style>
  <w:style w:type="paragraph" w:styleId="TM1">
    <w:name w:val="toc 1"/>
    <w:basedOn w:val="Normal"/>
    <w:next w:val="Normal"/>
    <w:autoRedefine/>
    <w:uiPriority w:val="39"/>
    <w:unhideWhenUsed/>
    <w:rsid w:val="00461B1E"/>
    <w:pPr>
      <w:spacing w:after="100"/>
    </w:pPr>
  </w:style>
  <w:style w:type="paragraph" w:styleId="TM2">
    <w:name w:val="toc 2"/>
    <w:basedOn w:val="Normal"/>
    <w:next w:val="Normal"/>
    <w:autoRedefine/>
    <w:uiPriority w:val="39"/>
    <w:unhideWhenUsed/>
    <w:rsid w:val="00461B1E"/>
    <w:pPr>
      <w:spacing w:after="100"/>
      <w:ind w:left="210"/>
    </w:pPr>
  </w:style>
  <w:style w:type="character" w:styleId="Lienhypertexte">
    <w:name w:val="Hyperlink"/>
    <w:basedOn w:val="Policepardfaut"/>
    <w:uiPriority w:val="99"/>
    <w:unhideWhenUsed/>
    <w:rsid w:val="00461B1E"/>
    <w:rPr>
      <w:color w:val="0000FF" w:themeColor="hyperlink"/>
      <w:u w:val="single"/>
    </w:rPr>
  </w:style>
  <w:style w:type="character" w:styleId="Mentionnonrsolue">
    <w:name w:val="Unresolved Mention"/>
    <w:basedOn w:val="Policepardfaut"/>
    <w:uiPriority w:val="99"/>
    <w:semiHidden/>
    <w:unhideWhenUsed/>
    <w:rsid w:val="005D5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14</Pages>
  <Words>4360</Words>
  <Characters>23980</Characters>
  <Application>Microsoft Office Word</Application>
  <DocSecurity>0</DocSecurity>
  <Lines>199</Lines>
  <Paragraphs>56</Paragraphs>
  <ScaleCrop>false</ScaleCrop>
  <HeadingPairs>
    <vt:vector size="6" baseType="variant">
      <vt:variant>
        <vt:lpstr>Titre</vt:lpstr>
      </vt:variant>
      <vt:variant>
        <vt:i4>1</vt:i4>
      </vt:variant>
      <vt:variant>
        <vt:lpstr>Titres</vt:lpstr>
      </vt:variant>
      <vt:variant>
        <vt:i4>23</vt:i4>
      </vt:variant>
      <vt:variant>
        <vt:lpstr>Title</vt:lpstr>
      </vt:variant>
      <vt:variant>
        <vt:i4>1</vt:i4>
      </vt:variant>
    </vt:vector>
  </HeadingPairs>
  <TitlesOfParts>
    <vt:vector size="25" baseType="lpstr">
      <vt:lpstr>Infimatch — dossier projet vérifié</vt:lpstr>
      <vt:lpstr>Synthèse du projet</vt:lpstr>
      <vt:lpstr>1. Nom de la plateforme</vt:lpstr>
      <vt:lpstr>2. Choix du secteur</vt:lpstr>
      <vt:lpstr>    Contexte réglementaire</vt:lpstr>
      <vt:lpstr>3. Étude du marché</vt:lpstr>
      <vt:lpstr>    3.1 Taille et tension du marché</vt:lpstr>
      <vt:lpstr>    3.2 Segment ciblé et modèle économique</vt:lpstr>
      <vt:lpstr>    3.3 Concurrence et différenciation</vt:lpstr>
      <vt:lpstr>4. Source de données publique</vt:lpstr>
      <vt:lpstr>5. Proposition de valeur</vt:lpstr>
      <vt:lpstr>    Logique de matching</vt:lpstr>
      <vt:lpstr>6. Matrice MoSCoW des fonctionnalités</vt:lpstr>
      <vt:lpstr>7. Chiffrage estimé et comparaison au réel</vt:lpstr>
      <vt:lpstr>/8. Roadmap initiale</vt:lpstr>
      <vt:lpstr>9. Justification du backend et des bases de données</vt:lpstr>
      <vt:lpstr>    9.1 Backend</vt:lpstr>
      <vt:lpstr>    9.2 Bases de données</vt:lpstr>
      <vt:lpstr>10. Écoconception RGESN</vt:lpstr>
      <vt:lpstr>11. Accessibilité — RGAA</vt:lpstr>
      <vt:lpstr>12. SEO</vt:lpstr>
      <vt:lpstr>13. Automatisations</vt:lpstr>
      <vt:lpstr/>
      <vt:lpstr>Points restant à confirmer avant la remise</vt:lpstr>
      <vt:lpstr/>
    </vt:vector>
  </TitlesOfParts>
  <Manager/>
  <Company/>
  <LinksUpToDate>false</LinksUpToDate>
  <CharactersWithSpaces>28284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Infimatch — dossier projet vérifié</dc:title>
  <dc:subject>D-WEB-901</dc:subject>
  <dc:creator>Groupe 12</dc:creator>
  <cp:keywords/>
  <dc:description>generated by python-docx</dc:description>
  <cp:lastModifiedBy>yv le bret</cp:lastModifiedBy>
  <cp:revision>38</cp:revision>
  <dcterms:created xsi:type="dcterms:W3CDTF">2013-12-23T23:15:00Z</dcterms:created>
  <dcterms:modified xsi:type="dcterms:W3CDTF">2026-09-24T12:55:00Z</dcterms:modified>
  <cp:category/>
</cp:coreProperties>
</file>