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InfiMatch — Dossier de rendu</w:t>
      </w:r>
    </w:p>
    <w:p>
      <w:r>
        <w:t>23 septembre 2026 · Référence applicative e81282d · Soutenance de 15 minutes</w:t>
      </w:r>
    </w:p>
    <w:p>
      <w:r>
        <w:t>Sept livrables rassemblés. Temps humains et preuve de validation J+2 à compléter ; hypothèses commerciales identifiées.</w:t>
      </w:r>
    </w:p>
    <w:p>
      <w:r>
        <w:br w:type="page"/>
      </w:r>
    </w:p>
    <w:p>
      <w:pPr>
        <w:pStyle w:val="Heading1"/>
      </w:pPr>
      <w:r>
        <w:t>Cahier des charges et roadmap</w:t>
      </w:r>
    </w:p>
    <w:p>
      <w:r>
        <w:t>Synthèse du 23 septembre 2026, fondée sur les exigences V1 (https://github.com/EpitechMscProPromo2027/D-WEB-901-PAR-9-1-InteriMatch-1/blob/main/docs/REQUIREMENTS_V1.md), le planning à quatre (https://github.com/EpitechMscProPromo2027/D-WEB-901-PAR-9-1-InteriMatch-1/blob/main/docs/PLANNING_4_PERSONNES_11_JOURS.md) et le chiffrage initial (https://github.com/EpitechMscProPromo2027/D-WEB-901-PAR-9-1-InteriMatch-1/blob/main/docs/CHIFFRAGE_V1.csv). La rédaction ne prouve pas une validation historique à J+2.</w:t>
      </w:r>
    </w:p>
    <w:p>
      <w:pPr>
        <w:pStyle w:val="Heading2"/>
      </w:pPr>
      <w:r>
        <w:t>Objectif</w:t>
      </w:r>
    </w:p>
    <w:p>
      <w:r>
        <w:t>Permettre à un infirmier de trouver une mission compatible avec qualification, disponibilités et zone, puis de suivre sa candidature jusqu'à une décision humaine. L'établissement exprime le besoin ; l'agence organise le recrutement et l'affectation. Le POC ne remplace ni l'employeur ni la paie.</w:t>
      </w:r>
    </w:p>
    <w:p>
      <w:pPr>
        <w:pStyle w:val="Heading2"/>
      </w:pPr>
      <w:r>
        <w:t>Utilisateurs</w:t>
      </w:r>
    </w:p>
    <w:p>
      <w:r>
        <w:t>Infirmier : dossier, disponibilités, recherche, candidature, calendrier et documents. Établissement : besoins, publication et suivi. Agence : sélection et affectation. Administration : comptes, MFA, incidents, imports et visibilité des sources.</w:t>
      </w:r>
    </w:p>
    <w:p>
      <w:pPr>
        <w:pStyle w:val="Heading2"/>
      </w:pPr>
      <w:r>
        <w:t>Fonctions et acceptation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Lot fonctionnel</w:t>
            </w:r>
          </w:p>
        </w:tc>
        <w:tc>
          <w:tcPr>
            <w:tcW w:type="dxa" w:w="2880"/>
          </w:tcPr>
          <w:p>
            <w:r>
              <w:t>Résultat observable</w:t>
            </w:r>
          </w:p>
        </w:tc>
        <w:tc>
          <w:tcPr>
            <w:tcW w:type="dxa" w:w="2880"/>
          </w:tcPr>
          <w:p>
            <w:r>
              <w:t>Code à la racine</w:t>
            </w:r>
          </w:p>
        </w:tc>
      </w:tr>
      <w:tr>
        <w:tc>
          <w:tcPr>
            <w:tcW w:type="dxa" w:w="2880"/>
          </w:tcPr>
          <w:p>
            <w:r>
              <w:t>Comptes et permissions</w:t>
            </w:r>
          </w:p>
        </w:tc>
        <w:tc>
          <w:tcPr>
            <w:tcW w:type="dxa" w:w="2880"/>
          </w:tcPr>
          <w:p>
            <w:r>
              <w:t>Familles de comptes, affiliations et refus des accès non autorisés</w:t>
            </w:r>
          </w:p>
        </w:tc>
        <w:tc>
          <w:tcPr>
            <w:tcW w:type="dxa" w:w="2880"/>
          </w:tcPr>
          <w:p>
            <w:r>
              <w:t>backend/src/auth ; backend/src/common</w:t>
            </w:r>
          </w:p>
        </w:tc>
      </w:tr>
      <w:tr>
        <w:tc>
          <w:tcPr>
            <w:tcW w:type="dxa" w:w="2880"/>
          </w:tcPr>
          <w:p>
            <w:r>
              <w:t>Profil professionnel</w:t>
            </w:r>
          </w:p>
        </w:tc>
        <w:tc>
          <w:tcPr>
            <w:tcW w:type="dxa" w:w="2880"/>
          </w:tcPr>
          <w:p>
            <w:r>
              <w:t>Qualification, expérience, zone et disponibilités conservées</w:t>
            </w:r>
          </w:p>
        </w:tc>
        <w:tc>
          <w:tcPr>
            <w:tcW w:type="dxa" w:w="2880"/>
          </w:tcPr>
          <w:p>
            <w:r>
              <w:t>backend/src/profiles</w:t>
            </w:r>
          </w:p>
        </w:tc>
      </w:tr>
      <w:tr>
        <w:tc>
          <w:tcPr>
            <w:tcW w:type="dxa" w:w="2880"/>
          </w:tcPr>
          <w:p>
            <w:r>
              <w:t>FINESS</w:t>
            </w:r>
          </w:p>
        </w:tc>
        <w:tc>
          <w:tcPr>
            <w:tcW w:type="dxa" w:w="2880"/>
          </w:tcPr>
          <w:p>
            <w:r>
              <w:t>Recherche d'établissements issue de données normalisées</w:t>
            </w:r>
          </w:p>
        </w:tc>
        <w:tc>
          <w:tcPr>
            <w:tcW w:type="dxa" w:w="2880"/>
          </w:tcPr>
          <w:p>
            <w:r>
              <w:t>backend/src/reference-data</w:t>
            </w:r>
          </w:p>
        </w:tc>
      </w:tr>
      <w:tr>
        <w:tc>
          <w:tcPr>
            <w:tcW w:type="dxa" w:w="2880"/>
          </w:tcPr>
          <w:p>
            <w:r>
              <w:t>Missions</w:t>
            </w:r>
          </w:p>
        </w:tc>
        <w:tc>
          <w:tcPr>
            <w:tcW w:type="dxa" w:w="2880"/>
          </w:tcPr>
          <w:p>
            <w:r>
              <w:t>Conditions, dates, lieu, rémunération, publication et états</w:t>
            </w:r>
          </w:p>
        </w:tc>
        <w:tc>
          <w:tcPr>
            <w:tcW w:type="dxa" w:w="2880"/>
          </w:tcPr>
          <w:p>
            <w:r>
              <w:t>backend/src/missions</w:t>
            </w:r>
          </w:p>
        </w:tc>
      </w:tr>
      <w:tr>
        <w:tc>
          <w:tcPr>
            <w:tcW w:type="dxa" w:w="2880"/>
          </w:tcPr>
          <w:p>
            <w:r>
              <w:t>Recherche et matching</w:t>
            </w:r>
          </w:p>
        </w:tc>
        <w:tc>
          <w:tcPr>
            <w:tcW w:type="dxa" w:w="2880"/>
          </w:tcPr>
          <w:p>
            <w:r>
              <w:t>Critères géographiques et métier, recommandations expliquées</w:t>
            </w:r>
          </w:p>
        </w:tc>
        <w:tc>
          <w:tcPr>
            <w:tcW w:type="dxa" w:w="2880"/>
          </w:tcPr>
          <w:p>
            <w:r>
              <w:t>backend/src/matching ; backend/src/listings</w:t>
            </w:r>
          </w:p>
        </w:tc>
      </w:tr>
      <w:tr>
        <w:tc>
          <w:tcPr>
            <w:tcW w:type="dxa" w:w="2880"/>
          </w:tcPr>
          <w:p>
            <w:r>
              <w:t>Candidature et affectation</w:t>
            </w:r>
          </w:p>
        </w:tc>
        <w:tc>
          <w:tcPr>
            <w:tcW w:type="dxa" w:w="2880"/>
          </w:tcPr>
          <w:p>
            <w:r>
              <w:t>Candidature distincte de confirmation ; décision humaine</w:t>
            </w:r>
          </w:p>
        </w:tc>
        <w:tc>
          <w:tcPr>
            <w:tcW w:type="dxa" w:w="2880"/>
          </w:tcPr>
          <w:p>
            <w:r>
              <w:t>backend/src/missions</w:t>
            </w:r>
          </w:p>
        </w:tc>
      </w:tr>
      <w:tr>
        <w:tc>
          <w:tcPr>
            <w:tcW w:type="dxa" w:w="2880"/>
          </w:tcPr>
          <w:p>
            <w:r>
              <w:t>Documents et agenda</w:t>
            </w:r>
          </w:p>
        </w:tc>
        <w:tc>
          <w:tcPr>
            <w:tcW w:type="dxa" w:w="2880"/>
          </w:tcPr>
          <w:p>
            <w:r>
              <w:t>Consultation des missions affectées et pièces protégées</w:t>
            </w:r>
          </w:p>
        </w:tc>
        <w:tc>
          <w:tcPr>
            <w:tcW w:type="dxa" w:w="2880"/>
          </w:tcPr>
          <w:p>
            <w:r>
              <w:t>frontend/src ; backend/src/documents</w:t>
            </w:r>
          </w:p>
        </w:tc>
      </w:tr>
      <w:tr>
        <w:tc>
          <w:tcPr>
            <w:tcW w:type="dxa" w:w="2880"/>
          </w:tcPr>
          <w:p>
            <w:r>
              <w:t>Automatisations</w:t>
            </w:r>
          </w:p>
        </w:tc>
        <w:tc>
          <w:tcPr>
            <w:tcW w:type="dxa" w:w="2880"/>
          </w:tcPr>
          <w:p>
            <w:r>
              <w:t>Matching, PDF et rappels avec suivi et reprise</w:t>
            </w:r>
          </w:p>
        </w:tc>
        <w:tc>
          <w:tcPr>
            <w:tcW w:type="dxa" w:w="2880"/>
          </w:tcPr>
          <w:p>
            <w:r>
              <w:t>backend/src/automation ; n8n</w:t>
            </w:r>
          </w:p>
        </w:tc>
      </w:tr>
      <w:tr>
        <w:tc>
          <w:tcPr>
            <w:tcW w:type="dxa" w:w="2880"/>
          </w:tcPr>
          <w:p>
            <w:r>
              <w:t>Notifications</w:t>
            </w:r>
          </w:p>
        </w:tc>
        <w:tc>
          <w:tcPr>
            <w:tcW w:type="dxa" w:w="2880"/>
          </w:tcPr>
          <w:p>
            <w:r>
              <w:t>Préférences et destinataires contrôlés, messages lisibles</w:t>
            </w:r>
          </w:p>
        </w:tc>
        <w:tc>
          <w:tcPr>
            <w:tcW w:type="dxa" w:w="2880"/>
          </w:tcPr>
          <w:p>
            <w:r>
              <w:t>backend/src/notifications</w:t>
            </w:r>
          </w:p>
        </w:tc>
      </w:tr>
      <w:tr>
        <w:tc>
          <w:tcPr>
            <w:tcW w:type="dxa" w:w="2880"/>
          </w:tcPr>
          <w:p>
            <w:r>
              <w:t>Imports externes</w:t>
            </w:r>
          </w:p>
        </w:tc>
        <w:tc>
          <w:tcPr>
            <w:tcW w:type="dxa" w:w="2880"/>
          </w:tcPr>
          <w:p>
            <w:r>
              <w:t>Nettoyage, doublons, provenance et visibilité contrôlée</w:t>
            </w:r>
          </w:p>
        </w:tc>
        <w:tc>
          <w:tcPr>
            <w:tcW w:type="dxa" w:w="2880"/>
          </w:tcPr>
          <w:p>
            <w:r>
              <w:t>backend/src/public-data</w:t>
            </w:r>
          </w:p>
        </w:tc>
      </w:tr>
      <w:tr>
        <w:tc>
          <w:tcPr>
            <w:tcW w:type="dxa" w:w="2880"/>
          </w:tcPr>
          <w:p>
            <w:r>
              <w:t>Exploitation</w:t>
            </w:r>
          </w:p>
        </w:tc>
        <w:tc>
          <w:tcPr>
            <w:tcW w:type="dxa" w:w="2880"/>
          </w:tcPr>
          <w:p>
            <w:r>
              <w:t>Administration, journaux, tests et sauvegardes</w:t>
            </w:r>
          </w:p>
        </w:tc>
        <w:tc>
          <w:tcPr>
            <w:tcW w:type="dxa" w:w="2880"/>
          </w:tcPr>
          <w:p>
            <w:r>
              <w:t>docs/quality ; scripts/security</w:t>
            </w:r>
          </w:p>
        </w:tc>
      </w:tr>
    </w:tbl>
    <w:p>
      <w:pPr>
        <w:pStyle w:val="Heading2"/>
      </w:pPr>
      <w:r>
        <w:t>Roadmap de référence : quatre personnes, onze jours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Jours</w:t>
            </w:r>
          </w:p>
        </w:tc>
        <w:tc>
          <w:tcPr>
            <w:tcW w:type="dxa" w:w="2880"/>
          </w:tcPr>
          <w:p>
            <w:r>
              <w:t>Travail prévu</w:t>
            </w:r>
          </w:p>
        </w:tc>
        <w:tc>
          <w:tcPr>
            <w:tcW w:type="dxa" w:w="2880"/>
          </w:tcPr>
          <w:p>
            <w:r>
              <w:t>Sortie attendue</w:t>
            </w:r>
          </w:p>
        </w:tc>
      </w:tr>
      <w:tr>
        <w:tc>
          <w:tcPr>
            <w:tcW w:type="dxa" w:w="2880"/>
          </w:tcPr>
          <w:p>
            <w:r>
              <w:t>J1–J2</w:t>
            </w:r>
          </w:p>
        </w:tc>
        <w:tc>
          <w:tcPr>
            <w:tcW w:type="dxa" w:w="2880"/>
          </w:tcPr>
          <w:p>
            <w:r>
              <w:t>Parcours, contrats API, fournisseurs, CDC et estimation</w:t>
            </w:r>
          </w:p>
        </w:tc>
        <w:tc>
          <w:tcPr>
            <w:tcW w:type="dxa" w:w="2880"/>
          </w:tcPr>
          <w:p>
            <w:r>
              <w:t>Décision de périmètre et risques</w:t>
            </w:r>
          </w:p>
        </w:tc>
      </w:tr>
      <w:tr>
        <w:tc>
          <w:tcPr>
            <w:tcW w:type="dxa" w:w="2880"/>
          </w:tcPr>
          <w:p>
            <w:r>
              <w:t>J3–J4</w:t>
            </w:r>
          </w:p>
        </w:tc>
        <w:tc>
          <w:tcPr>
            <w:tcW w:type="dxa" w:w="2880"/>
          </w:tcPr>
          <w:p>
            <w:r>
              <w:t>Profil, pièces, FINESS, création et recherche</w:t>
            </w:r>
          </w:p>
        </w:tc>
        <w:tc>
          <w:tcPr>
            <w:tcW w:type="dxa" w:w="2880"/>
          </w:tcPr>
          <w:p>
            <w:r>
              <w:t>Première mission consultable</w:t>
            </w:r>
          </w:p>
        </w:tc>
      </w:tr>
      <w:tr>
        <w:tc>
          <w:tcPr>
            <w:tcW w:type="dxa" w:w="2880"/>
          </w:tcPr>
          <w:p>
            <w:r>
              <w:t>J5–J7</w:t>
            </w:r>
          </w:p>
        </w:tc>
        <w:tc>
          <w:tcPr>
            <w:tcW w:type="dxa" w:w="2880"/>
          </w:tcPr>
          <w:p>
            <w:r>
              <w:t>Candidature, matching, affectation, PDF et workflows</w:t>
            </w:r>
          </w:p>
        </w:tc>
        <w:tc>
          <w:tcPr>
            <w:tcW w:type="dxa" w:w="2880"/>
          </w:tcPr>
          <w:p>
            <w:r>
              <w:t>Parcours intégré et import</w:t>
            </w:r>
          </w:p>
        </w:tc>
      </w:tr>
      <w:tr>
        <w:tc>
          <w:tcPr>
            <w:tcW w:type="dxa" w:w="2880"/>
          </w:tcPr>
          <w:p>
            <w:r>
              <w:t>J8–J9</w:t>
            </w:r>
          </w:p>
        </w:tc>
        <w:tc>
          <w:tcPr>
            <w:tcW w:type="dxa" w:w="2880"/>
          </w:tcPr>
          <w:p>
            <w:r>
              <w:t>Droits, concurrence, accessibilité et recette</w:t>
            </w:r>
          </w:p>
        </w:tc>
        <w:tc>
          <w:tcPr>
            <w:tcW w:type="dxa" w:w="2880"/>
          </w:tcPr>
          <w:p>
            <w:r>
              <w:t>Version stabilisée et preuves</w:t>
            </w:r>
          </w:p>
        </w:tc>
      </w:tr>
      <w:tr>
        <w:tc>
          <w:tcPr>
            <w:tcW w:type="dxa" w:w="2880"/>
          </w:tcPr>
          <w:p>
            <w:r>
              <w:t>J10–J11</w:t>
            </w:r>
          </w:p>
        </w:tc>
        <w:tc>
          <w:tcPr>
            <w:tcW w:type="dxa" w:w="2880"/>
          </w:tcPr>
          <w:p>
            <w:r>
              <w:t>Documentation, temps réels, répétition et livraison</w:t>
            </w:r>
          </w:p>
        </w:tc>
        <w:tc>
          <w:tcPr>
            <w:tcW w:type="dxa" w:w="2880"/>
          </w:tcPr>
          <w:p>
            <w:r>
              <w:t>Rendu et soutenance</w:t>
            </w:r>
          </w:p>
        </w:tc>
      </w:tr>
    </w:tbl>
    <w:p>
      <w:r>
        <w:t>A : backend métier ; B : données/matching ; C : frontend ; D : infrastructure/documents/n8n. Tests et recette collectifs. Ce planning n'est pas un relevé des jours exécutés.</w:t>
      </w:r>
    </w:p>
    <w:p>
      <w:pPr>
        <w:pStyle w:val="Heading2"/>
      </w:pPr>
      <w:r>
        <w:t>Estimation</w:t>
      </w:r>
    </w:p>
    <w:p>
      <w:r>
        <w:t>Les dix-huit lots conservés représentent 348 à 528 heures-personnes. Quatre personnes sur onze jours donnent 44 journées-personnes. Six heures productives par jour donneraient 264 h, mais cette disponibilité n'est pas confirmée. Le dépassement de cette capacité hypothétique doit être expliqué par la réalité du réemploi, des disponibilités et du périmètre, sans transformer l'estimation en réalisé.</w:t>
      </w:r>
    </w:p>
    <w:p>
      <w:pPr>
        <w:pStyle w:val="Heading2"/>
      </w:pPr>
      <w:r>
        <w:t>Contraintes et qualité</w:t>
      </w:r>
    </w:p>
    <w:p>
      <w:r>
        <w:t>TypeScript frontend/backend, PostgreSQL/PostGIS et MongoDB, au moins deux automatismes n8n, données publiques nettoyées et utilisées dans le produit, CLI, tests et couverture. Accessibilité, SEO et réduction des requêtes : preuves ciblées, sans certification globale.</w:t>
      </w:r>
    </w:p>
    <w:p>
      <w:pPr>
        <w:pStyle w:val="Heading2"/>
      </w:pPr>
      <w:r>
        <w:t>Limites</w:t>
      </w:r>
    </w:p>
    <w:p>
      <w:r>
        <w:t>Accès fournisseurs, quotas, configuration des services et droits d'exploitation restent des dépendances. Une confirmation PDF n'est pas un contrat de travail complet signé. Le mode de démonstration peut rendre le RPPS facultatif ; il ne certifie pas une qualification. La conformité d'un lancement commercial reste à instruire.</w:t>
      </w:r>
    </w:p>
    <w:p>
      <w:r>
        <w:br w:type="page"/>
      </w:r>
    </w:p>
    <w:p>
      <w:pPr>
        <w:pStyle w:val="Heading1"/>
      </w:pPr>
      <w:r>
        <w:t>Dépôt, installation et lancement</w:t>
      </w:r>
    </w:p>
    <w:p>
      <w:r>
        <w:t>Le README principal (https://github.com/EpitechMscProPromo2027/D-WEB-901-PAR-9-1-InteriMatch-1/blob/main/README.md) décrit l'architecture. Cette synthèse reprend ses commandes ; elle ne prétend pas qu'une installation vierge a été refaite pendant cette rédaction.</w:t>
      </w:r>
    </w:p>
    <w:p>
      <w:r>
        <w:t>Prérequis : accès GitHub au dépôt privé, Node.js 24, npm, Git, Docker et Compose.</w:t>
      </w:r>
    </w:p>
    <w:p>
      <w:r>
        <w:rPr>
          <w:rFonts w:ascii="Consolas" w:hAnsi="Consolas"/>
          <w:sz w:val="18"/>
        </w:rPr>
        <w:t>git clone https://github.com/EpitechMscProPromo2027/D-WEB-901-PAR-9-1-InteriMatch-1.git</w:t>
      </w:r>
    </w:p>
    <w:p>
      <w:r>
        <w:rPr>
          <w:rFonts w:ascii="Consolas" w:hAnsi="Consolas"/>
          <w:sz w:val="18"/>
        </w:rPr>
        <w:t>cd D-WEB-901-PAR-9-1-InteriMatch-1</w:t>
      </w:r>
    </w:p>
    <w:p>
      <w:r>
        <w:rPr>
          <w:rFonts w:ascii="Consolas" w:hAnsi="Consolas"/>
          <w:sz w:val="18"/>
        </w:rPr>
        <w:t>git checkout main</w:t>
      </w:r>
    </w:p>
    <w:p>
      <w:r>
        <w:rPr>
          <w:rFonts w:ascii="Consolas" w:hAnsi="Consolas"/>
          <w:sz w:val="18"/>
        </w:rPr>
        <w:t>npm ci</w:t>
      </w:r>
    </w:p>
    <w:p>
      <w:r>
        <w:rPr>
          <w:rFonts w:ascii="Consolas" w:hAnsi="Consolas"/>
          <w:sz w:val="18"/>
        </w:rPr>
        <w:t>npm ci --prefix frontend</w:t>
      </w:r>
    </w:p>
    <w:p>
      <w:r>
        <w:rPr>
          <w:rFonts w:ascii="Consolas" w:hAnsi="Consolas"/>
          <w:sz w:val="18"/>
        </w:rPr>
        <w:t>npm run setup</w:t>
      </w:r>
    </w:p>
    <w:p>
      <w:r>
        <w:rPr>
          <w:rFonts w:ascii="Consolas" w:hAnsi="Consolas"/>
          <w:sz w:val="18"/>
        </w:rPr>
        <w:t>docker compose --env-file .env -f infra/compose.yaml --profile automation up -d</w:t>
      </w:r>
    </w:p>
    <w:p>
      <w:r>
        <w:rPr>
          <w:rFonts w:ascii="Consolas" w:hAnsi="Consolas"/>
          <w:sz w:val="18"/>
        </w:rPr>
        <w:t>npm run db:migrate</w:t>
      </w:r>
    </w:p>
    <w:p>
      <w:r>
        <w:rPr>
          <w:rFonts w:ascii="Consolas" w:hAnsi="Consolas"/>
          <w:sz w:val="18"/>
        </w:rPr>
        <w:t>npm run finess:import</w:t>
      </w:r>
    </w:p>
    <w:p>
      <w:r>
        <w:rPr>
          <w:rFonts w:ascii="Consolas" w:hAnsi="Consolas"/>
          <w:sz w:val="18"/>
        </w:rPr>
        <w:t>npm run seed -w backend</w:t>
      </w:r>
    </w:p>
    <w:p>
      <w:r>
        <w:rPr>
          <w:rFonts w:ascii="Consolas" w:hAnsi="Consolas"/>
          <w:sz w:val="18"/>
        </w:rPr>
        <w:t>npm run build</w:t>
      </w:r>
    </w:p>
    <w:p>
      <w:r>
        <w:rPr>
          <w:rFonts w:ascii="Consolas" w:hAnsi="Consolas"/>
          <w:sz w:val="18"/>
        </w:rPr>
        <w:t>npm run start -w backend</w:t>
      </w:r>
    </w:p>
    <w:p>
      <w:r>
        <w:t>Autre terminal :</w:t>
      </w:r>
    </w:p>
    <w:p>
      <w:r>
        <w:rPr>
          <w:rFonts w:ascii="Consolas" w:hAnsi="Consolas"/>
          <w:sz w:val="18"/>
        </w:rPr>
        <w:t>npm run dev --prefix frontend</w:t>
      </w:r>
    </w:p>
    <w:p>
      <w:r>
        <w:t>Application : http://127.0.0.1:5173 ; santé API : http://127.0.0.1:3100/api/v1/health ; documentation API : http://127.0.0.1:3100/api/docs ; n8n local : http://127.0.0.1:55678.</w:t>
      </w:r>
    </w:p>
    <w:p>
      <w:r>
        <w:t>Vérifier la destination locale avant migration et seed. FINESS nécessite un accès réseau. Les services externes doivent être configurés séparément.</w:t>
      </w:r>
    </w:p>
    <w:p>
      <w:pPr>
        <w:pStyle w:val="Heading2"/>
      </w:pPr>
      <w:r>
        <w:t>Poste déjà équipé de Vault</w:t>
      </w:r>
    </w:p>
    <w:p>
      <w:r>
        <w:t>Suivre le guide Vault (https://github.com/EpitechMscProPromo2027/D-WEB-901-PAR-9-1-InteriMatch-1/blob/main/docs/VAULT_V1.md) sans réinitialiser le coffre. Les commandes prévues sont npm run start:vault et npm run vault:infra. Les configurations privées ne font pas partie du rendu.</w:t>
      </w:r>
    </w:p>
    <w:p>
      <w:pPr>
        <w:pStyle w:val="Heading2"/>
      </w:pPr>
      <w:r>
        <w:t>Tests</w:t>
      </w:r>
    </w:p>
    <w:p>
      <w:r>
        <w:rPr>
          <w:rFonts w:ascii="Consolas" w:hAnsi="Consolas"/>
          <w:sz w:val="18"/>
        </w:rPr>
        <w:t>npm run coverage:unit</w:t>
      </w:r>
    </w:p>
    <w:p>
      <w:r>
        <w:rPr>
          <w:rFonts w:ascii="Consolas" w:hAnsi="Consolas"/>
          <w:sz w:val="18"/>
        </w:rPr>
        <w:t>npm test --prefix frontend</w:t>
      </w:r>
    </w:p>
    <w:p>
      <w:r>
        <w:rPr>
          <w:rFonts w:ascii="Consolas" w:hAnsi="Consolas"/>
          <w:sz w:val="18"/>
        </w:rPr>
        <w:t>npm run test:isolated</w:t>
      </w:r>
    </w:p>
    <w:p>
      <w:r>
        <w:t>La dernière commande prépare les services Docker de test isolés. Ne pas remplacer leur configuration par les bases de production.</w:t>
      </w:r>
    </w:p>
    <w:p>
      <w:pPr>
        <w:pStyle w:val="Heading2"/>
      </w:pPr>
      <w:r>
        <w:t>Arborescence</w:t>
      </w:r>
    </w:p>
    <w:p>
      <w:r>
        <w:t>backend/src : API et règles ; backend/test/unit et integration : tests ; frontend : site et administration ; workflows : modèles de recette ; docs/n8n/published-20260923 : exports publiés ; scripts : imports et exploitation ; docs/proofs : preuves datées.</w:t>
      </w:r>
    </w:p>
    <w:p>
      <w:r>
        <w:br w:type="page"/>
      </w:r>
    </w:p>
    <w:p>
      <w:pPr>
        <w:pStyle w:val="Heading1"/>
      </w:pPr>
      <w:r>
        <w:t>Exports n8n et provenance</w:t>
      </w:r>
    </w:p>
    <w:p>
      <w:r>
        <w:t>Les neuf JSON joints (https://github.com/EpitechMscProPromo2027/D-WEB-901-PAR-9-1-InteriMatch-1/blob/main/docs/rendu/2026-09-23/n8n) proviennent des versions publiées observées le 23 septembre 2026 à 12:46 UTC. Le manifeste contient versions et identifiants de cette lecture. Ce ne sont pas les trois modèles de recette locale.</w:t>
      </w:r>
    </w:p>
    <w:tbl>
      <w:tblPr>
        <w:tblStyle w:val="LightShading-Accent1"/>
        <w:tblW w:type="auto" w:w="0"/>
        <w:tblLook w:firstColumn="1" w:firstRow="1" w:lastColumn="0" w:lastRow="0" w:noHBand="0" w:noVBand="1" w:val="04A0"/>
      </w:tblPr>
      <w:tblGrid>
        <w:gridCol w:w="4320"/>
        <w:gridCol w:w="4320"/>
      </w:tblGrid>
      <w:tr>
        <w:tc>
          <w:tcPr>
            <w:tcW w:type="dxa" w:w="4320"/>
          </w:tcPr>
          <w:p>
            <w:r>
              <w:t>Scénario</w:t>
            </w:r>
          </w:p>
        </w:tc>
        <w:tc>
          <w:tcPr>
            <w:tcW w:type="dxa" w:w="4320"/>
          </w:tcPr>
          <w:p>
            <w:r>
              <w:t>Déclenchement et usage</w:t>
            </w:r>
          </w:p>
        </w:tc>
      </w:tr>
      <w:tr>
        <w:tc>
          <w:tcPr>
            <w:tcW w:type="dxa" w:w="4320"/>
          </w:tcPr>
          <w:p>
            <w:r>
              <w:t>matches</w:t>
            </w:r>
          </w:p>
        </w:tc>
        <w:tc>
          <w:tcPr>
            <w:tcW w:type="dxa" w:w="4320"/>
          </w:tcPr>
          <w:p>
            <w:r>
              <w:t>Webhook de matching</w:t>
            </w:r>
          </w:p>
        </w:tc>
      </w:tr>
      <w:tr>
        <w:tc>
          <w:tcPr>
            <w:tcW w:type="dxa" w:w="4320"/>
          </w:tcPr>
          <w:p>
            <w:r>
              <w:t>confirmation</w:t>
            </w:r>
          </w:p>
        </w:tc>
        <w:tc>
          <w:tcPr>
            <w:tcW w:type="dxa" w:w="4320"/>
          </w:tcPr>
          <w:p>
            <w:r>
              <w:t>Webhook de confirmation et document</w:t>
            </w:r>
          </w:p>
        </w:tc>
      </w:tr>
      <w:tr>
        <w:tc>
          <w:tcPr>
            <w:tcW w:type="dxa" w:w="4320"/>
          </w:tcPr>
          <w:p>
            <w:r>
              <w:t>cancellation</w:t>
            </w:r>
          </w:p>
        </w:tc>
        <w:tc>
          <w:tcPr>
            <w:tcW w:type="dxa" w:w="4320"/>
          </w:tcPr>
          <w:p>
            <w:r>
              <w:t>Webhook d'annulation</w:t>
            </w:r>
          </w:p>
        </w:tc>
      </w:tr>
      <w:tr>
        <w:tc>
          <w:tcPr>
            <w:tcW w:type="dxa" w:w="4320"/>
          </w:tcPr>
          <w:p>
            <w:r>
              <w:t>reminders</w:t>
            </w:r>
          </w:p>
        </w:tc>
        <w:tc>
          <w:tcPr>
            <w:tcW w:type="dxa" w:w="4320"/>
          </w:tcPr>
          <w:p>
            <w:r>
              <w:t>Webhook de relance</w:t>
            </w:r>
          </w:p>
        </w:tc>
      </w:tr>
      <w:tr>
        <w:tc>
          <w:tcPr>
            <w:tcW w:type="dxa" w:w="4320"/>
          </w:tcPr>
          <w:p>
            <w:r>
              <w:t>reprise-et-rappels</w:t>
            </w:r>
          </w:p>
        </w:tc>
        <w:tc>
          <w:tcPr>
            <w:tcW w:type="dxa" w:w="4320"/>
          </w:tcPr>
          <w:p>
            <w:r>
              <w:t>Reprise périodique toutes les quatre heures</w:t>
            </w:r>
          </w:p>
        </w:tc>
      </w:tr>
      <w:tr>
        <w:tc>
          <w:tcPr>
            <w:tcW w:type="dxa" w:w="4320"/>
          </w:tcPr>
          <w:p>
            <w:r>
              <w:t>import-France-Travail</w:t>
            </w:r>
          </w:p>
        </w:tc>
        <w:tc>
          <w:tcPr>
            <w:tcW w:type="dxa" w:w="4320"/>
          </w:tcPr>
          <w:p>
            <w:r>
              <w:t>7 h et 15 h, Europe/Paris</w:t>
            </w:r>
          </w:p>
        </w:tc>
      </w:tr>
      <w:tr>
        <w:tc>
          <w:tcPr>
            <w:tcW w:type="dxa" w:w="4320"/>
          </w:tcPr>
          <w:p>
            <w:r>
              <w:t>import-JobsPipe</w:t>
            </w:r>
          </w:p>
        </w:tc>
        <w:tc>
          <w:tcPr>
            <w:tcW w:type="dxa" w:w="4320"/>
          </w:tcPr>
          <w:p>
            <w:r>
              <w:t>7 h, Europe/Paris</w:t>
            </w:r>
          </w:p>
        </w:tc>
      </w:tr>
      <w:tr>
        <w:tc>
          <w:tcPr>
            <w:tcW w:type="dxa" w:w="4320"/>
          </w:tcPr>
          <w:p>
            <w:r>
              <w:t>maintenance-quotidienne</w:t>
            </w:r>
          </w:p>
        </w:tc>
        <w:tc>
          <w:tcPr>
            <w:tcW w:type="dxa" w:w="4320"/>
          </w:tcPr>
          <w:p>
            <w:r>
              <w:t>Cron 15 4 * * *, Europe/Paris</w:t>
            </w:r>
          </w:p>
        </w:tc>
      </w:tr>
      <w:tr>
        <w:tc>
          <w:tcPr>
            <w:tcW w:type="dxa" w:w="4320"/>
          </w:tcPr>
          <w:p>
            <w:r>
              <w:t>discord-relay</w:t>
            </w:r>
          </w:p>
        </w:tc>
        <w:tc>
          <w:tcPr>
            <w:tcW w:type="dxa" w:w="4320"/>
          </w:tcPr>
          <w:p>
            <w:r>
              <w:t>Relais authentifié vers Discord</w:t>
            </w:r>
          </w:p>
        </w:tc>
      </w:tr>
    </w:tbl>
    <w:p>
      <w:r>
        <w:t>Le nœud Cloud nommé « Toutes les 30 minutes » est réglé sur quatre heures. Consulter la comparaison d'origine (https://github.com/EpitechMscProPromo2027/D-WEB-901-PAR-9-1-InteriMatch-1/blob/main/docs/n8n/published-20260923/README.md).</w:t>
      </w:r>
    </w:p>
    <w:p>
      <w:pPr>
        <w:pStyle w:val="Heading2"/>
      </w:pPr>
      <w:r>
        <w:t>Import de démonstration</w:t>
      </w:r>
    </w:p>
    <w:p>
      <w:r>
        <w:t>Importer dans un espace de test, réassocier les credentials retirés, vérifier chaque URL, fuseau et destinataire, puis activer uniquement les scénarios voulus. Conserver identifiant d'exécution, date, entrée et résultat. Un workflow actif n'est pas une preuve de livraison réussie.</w:t>
      </w:r>
    </w:p>
    <w:p>
      <w:r>
        <w:t>Les modèles de workflows/ servent à la recette isolée. La campagne du 23 septembre a utilisé PostgreSQL, MongoDB et n8n locaux : ne pas la présenter comme une nouvelle exécution du Cloud.</w:t>
      </w:r>
    </w:p>
    <w:p>
      <w:pPr>
        <w:pStyle w:val="Heading2"/>
      </w:pPr>
      <w:r>
        <w:t>À expliquer au jury</w:t>
      </w:r>
    </w:p>
    <w:p>
      <w:r>
        <w:t>Matching : événement métier, appel n8n, traitement sous contrôle des droits et préférences, notification. Confirmation : affectation humaine, événement, préparation du PDF, reprise si nécessaire. Candidature et confirmation restent deux états différents.</w:t>
      </w:r>
    </w:p>
    <w:p>
      <w:r>
        <w:br w:type="page"/>
      </w:r>
    </w:p>
    <w:p>
      <w:pPr>
        <w:pStyle w:val="Heading1"/>
      </w:pPr>
      <w:r>
        <w:t>Données publiques et nettoyage utilisé</w:t>
      </w:r>
    </w:p>
    <w:p>
      <w:pPr>
        <w:pStyle w:val="Heading2"/>
      </w:pPr>
      <w:r>
        <w:t>FINESS — Structures</w:t>
      </w:r>
    </w:p>
    <w:p>
      <w:r>
        <w:t>Producteur : Agence du Numérique en Santé. Jeu officiel (https://www.data.gouv.fr/datasets/finess-structures-1), consulté le 23 septembre 2026, Licence Ouverte 2.0. JSON quotidien et instantanés mensuels/annuels ; les établissements fermés sont aussi présents. Le référentiel normalisé alimente la recherche d'établissements dans les parcours entreprise.</w:t>
      </w:r>
    </w:p>
    <w:p>
      <w:pPr>
        <w:pStyle w:val="Heading2"/>
      </w:pPr>
      <w:r>
        <w:t>Code</w:t>
      </w:r>
    </w:p>
    <w:p>
      <w:r>
        <w:t>- Téléchargement et import (https://github.com/EpitechMscProPromo2027/D-WEB-901-PAR-9-1-InteriMatch-1/blob/main/scripts/import-finess-local.mjs) : instantané mensuel, origine HTTPS officielle, téléchargement et CLI.</w:t>
      </w:r>
    </w:p>
    <w:p>
      <w:r>
        <w:t>- Transformation réellement utilisée (https://github.com/EpitechMscProPromo2027/D-WEB-901-PAR-9-1-InteriMatch-1/blob/main/backend/src/reference-data/finess.ts) : normalizeFiness, finessCoordinates et importFiness.</w:t>
      </w:r>
    </w:p>
    <w:p>
      <w:r>
        <w:t>- Tests (https://github.com/EpitechMscProPromo2027/D-WEB-901-PAR-9-1-InteriMatch-1/blob/main/backend/test/unit/finess.spec.ts) et tests d'import (https://github.com/EpitechMscProPromo2027/D-WEB-901-PAR-9-1-InteriMatch-1/blob/main/backend/test/unit/finess-import.spec.ts).</w:t>
      </w:r>
    </w:p>
    <w:p>
      <w:r>
        <w:t>- CLI (https://github.com/EpitechMscProPromo2027/D-WEB-901-PAR-9-1-InteriMatch-1/blob/main/backend/src/cli.ts), utilisant notamment Commander.</w:t>
      </w:r>
    </w:p>
    <w:p>
      <w:r>
        <w:t>- Démonstration sans réseau ni base (https://github.com/EpitechMscProPromo2027/D-WEB-901-PAR-9-1-InteriMatch-1/blob/main/docs/rendu/2026-09-23/demonstration-finess.cjs), appelant la fonction réelle compilée.</w:t>
      </w:r>
    </w:p>
    <w:p>
      <w:pPr>
        <w:pStyle w:val="Heading2"/>
      </w:pPr>
      <w:r>
        <w:t>Transformations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Entrée</w:t>
            </w:r>
          </w:p>
        </w:tc>
        <w:tc>
          <w:tcPr>
            <w:tcW w:type="dxa" w:w="2880"/>
          </w:tcPr>
          <w:p>
            <w:r>
              <w:t>Règle</w:t>
            </w:r>
          </w:p>
        </w:tc>
        <w:tc>
          <w:tcPr>
            <w:tcW w:type="dxa" w:w="2880"/>
          </w:tcPr>
          <w:p>
            <w:r>
              <w:t>Résultat</w:t>
            </w:r>
          </w:p>
        </w:tc>
      </w:tr>
      <w:tr>
        <w:tc>
          <w:tcPr>
            <w:tcW w:type="dxa" w:w="2880"/>
          </w:tcPr>
          <w:p>
            <w:r>
              <w:t>FINESS</w:t>
            </w:r>
          </w:p>
        </w:tc>
        <w:tc>
          <w:tcPr>
            <w:tcW w:type="dxa" w:w="2880"/>
          </w:tcPr>
          <w:p>
            <w:r>
              <w:t>Validation du format ; conservation en chaîne</w:t>
            </w:r>
          </w:p>
        </w:tc>
        <w:tc>
          <w:tcPr>
            <w:tcW w:type="dxa" w:w="2880"/>
          </w:tcPr>
          <w:p>
            <w:r>
              <w:t>Zéros initiaux et codes corses conservés</w:t>
            </w:r>
          </w:p>
        </w:tc>
      </w:tr>
      <w:tr>
        <w:tc>
          <w:tcPr>
            <w:tcW w:type="dxa" w:w="2880"/>
          </w:tcPr>
          <w:p>
            <w:r>
              <w:t>Texte</w:t>
            </w:r>
          </w:p>
        </w:tc>
        <w:tc>
          <w:tcPr>
            <w:tcW w:type="dxa" w:w="2880"/>
          </w:tcPr>
          <w:p>
            <w:r>
              <w:t>Nettoyage des espaces et borne de longueur</w:t>
            </w:r>
          </w:p>
        </w:tc>
        <w:tc>
          <w:tcPr>
            <w:tcW w:type="dxa" w:w="2880"/>
          </w:tcPr>
          <w:p>
            <w:r>
              <w:t>Libellés cohérents</w:t>
            </w:r>
          </w:p>
        </w:tc>
      </w:tr>
      <w:tr>
        <w:tc>
          <w:tcPr>
            <w:tcW w:type="dxa" w:w="2880"/>
          </w:tcPr>
          <w:p>
            <w:r>
              <w:t>Doublon d'identifiant</w:t>
            </w:r>
          </w:p>
        </w:tc>
        <w:tc>
          <w:tcPr>
            <w:tcW w:type="dxa" w:w="2880"/>
          </w:tcPr>
          <w:p>
            <w:r>
              <w:t>Rejet de l'instantané</w:t>
            </w:r>
          </w:p>
        </w:tc>
        <w:tc>
          <w:tcPr>
            <w:tcW w:type="dxa" w:w="2880"/>
          </w:tcPr>
          <w:p>
            <w:r>
              <w:t>Pas d'écrasement silencieux</w:t>
            </w:r>
          </w:p>
        </w:tc>
      </w:tr>
      <w:tr>
        <w:tc>
          <w:tcPr>
            <w:tcW w:type="dxa" w:w="2880"/>
          </w:tcPr>
          <w:p>
            <w:r>
              <w:t>Coordonnées</w:t>
            </w:r>
          </w:p>
        </w:tc>
        <w:tc>
          <w:tcPr>
            <w:tcW w:type="dxa" w:w="2880"/>
          </w:tcPr>
          <w:p>
            <w:r>
              <w:t>Contrôle numérique et bornes géographiques</w:t>
            </w:r>
          </w:p>
        </w:tc>
        <w:tc>
          <w:tcPr>
            <w:tcW w:type="dxa" w:w="2880"/>
          </w:tcPr>
          <w:p>
            <w:r>
              <w:t>Coordonnées en degrés ou null</w:t>
            </w:r>
          </w:p>
        </w:tc>
      </w:tr>
      <w:tr>
        <w:tc>
          <w:tcPr>
            <w:tcW w:type="dxa" w:w="2880"/>
          </w:tcPr>
          <w:p>
            <w:r>
              <w:t>Paires contradictoires/projetées</w:t>
            </w:r>
          </w:p>
        </w:tc>
        <w:tc>
          <w:tcPr>
            <w:tcW w:type="dxa" w:w="2880"/>
          </w:tcPr>
          <w:p>
            <w:r>
              <w:t>Valeurs non inventées</w:t>
            </w:r>
          </w:p>
        </w:tc>
        <w:tc>
          <w:tcPr>
            <w:tcW w:type="dxa" w:w="2880"/>
          </w:tcPr>
          <w:p>
            <w:r>
              <w:t>Absence explicite</w:t>
            </w:r>
          </w:p>
        </w:tc>
      </w:tr>
      <w:tr>
        <w:tc>
          <w:tcPr>
            <w:tcW w:type="dxa" w:w="2880"/>
          </w:tcPr>
          <w:p>
            <w:r>
              <w:t>État</w:t>
            </w:r>
          </w:p>
        </w:tc>
        <w:tc>
          <w:tcPr>
            <w:tcW w:type="dxa" w:w="2880"/>
          </w:tcPr>
          <w:p>
            <w:r>
              <w:t>Conservation</w:t>
            </w:r>
          </w:p>
        </w:tc>
        <w:tc>
          <w:tcPr>
            <w:tcW w:type="dxa" w:w="2880"/>
          </w:tcPr>
          <w:p>
            <w:r>
              <w:t>Fermeture non effacée</w:t>
            </w:r>
          </w:p>
        </w:tc>
      </w:tr>
      <w:tr>
        <w:tc>
          <w:tcPr>
            <w:tcW w:type="dxa" w:w="2880"/>
          </w:tcPr>
          <w:p>
            <w:r>
              <w:t>Provenance</w:t>
            </w:r>
          </w:p>
        </w:tc>
        <w:tc>
          <w:tcPr>
            <w:tcW w:type="dxa" w:w="2880"/>
          </w:tcPr>
          <w:p>
            <w:r>
              <w:t>URL, date et empreinte d'import</w:t>
            </w:r>
          </w:p>
        </w:tc>
        <w:tc>
          <w:tcPr>
            <w:tcW w:type="dxa" w:w="2880"/>
          </w:tcPr>
          <w:p>
            <w:r>
              <w:t>Traçabilité</w:t>
            </w:r>
          </w:p>
        </w:tc>
      </w:tr>
    </w:tbl>
    <w:p>
      <w:pPr>
        <w:pStyle w:val="Heading2"/>
      </w:pPr>
      <w:r>
        <w:t>Reproduction</w:t>
      </w:r>
    </w:p>
    <w:p>
      <w:r>
        <w:t>Après npm ci et npm run build :</w:t>
      </w:r>
    </w:p>
    <w:p>
      <w:r>
        <w:rPr>
          <w:rFonts w:ascii="Consolas" w:hAnsi="Consolas"/>
          <w:sz w:val="18"/>
        </w:rPr>
        <w:t>node docs/rendu/2026-09-23/demonstration-finess.cjs</w:t>
      </w:r>
    </w:p>
    <w:p>
      <w:r>
        <w:t>Le fichier demonstration-finess-resultat.json montre avant/après sur une fixture synthétique explicitement identifiée. Il ne prétend pas être un extrait réel téléchargé.</w:t>
      </w:r>
    </w:p>
    <w:p>
      <w:r>
        <w:t>Import réel dans une base locale préparée :</w:t>
      </w:r>
    </w:p>
    <w:p>
      <w:r>
        <w:rPr>
          <w:rFonts w:ascii="Consolas" w:hAnsi="Consolas"/>
          <w:sz w:val="18"/>
        </w:rPr>
        <w:t>npm run finess:import</w:t>
      </w:r>
    </w:p>
    <w:p>
      <w:r>
        <w:t>Le script accepte --url pour figer une ressource officielle.</w:t>
      </w:r>
    </w:p>
    <w:p>
      <w:r>
        <w:t>France Travail et JobsPipe disposent de leurs propres transformations dans backend/src/public-data. Leurs conditions de réutilisation ne sont pas celles de FINESS. Une offre importée n'est pas la preuve d'un partenariat commercial ; collecte et visibilité frontend sont deux réglages distincts.</w:t>
      </w:r>
    </w:p>
    <w:p>
      <w:r>
        <w:br w:type="page"/>
      </w:r>
    </w:p>
    <w:p>
      <w:pPr>
        <w:pStyle w:val="Heading1"/>
      </w:pPr>
      <w:r>
        <w:t>Étude de marché — missions infirmières en France</w:t>
      </w:r>
    </w:p>
    <w:p>
      <w:r>
        <w:t>Analyse documentaire du 23 septembre 2026. Les sources commerciales décrivent les offres de leurs éditeurs. Aucun entretien ni test concurrent n'est revendiqué.</w:t>
      </w:r>
    </w:p>
    <w:p>
      <w:pPr>
        <w:pStyle w:val="Heading2"/>
      </w:pPr>
      <w:r>
        <w:t>Secteur et besoin</w:t>
      </w:r>
    </w:p>
    <w:p>
      <w:r>
        <w:t>Le POC vise la coordination entre infirmiers, établissements et agences. La DREES estimait 599 000 infirmières en emploi en 2021 et décrivait des difficultés de recrutement. Ce repère historique situe le secteur : ce n'est ni un effectif 2026 ni le nombre de clients accessibles à InfiMatch. DREES, Études et Résultats 1319, décembre 2024 (https://www.drees.solidarites-sante.gouv.fr/sites/default/files/2024-12/ER1319_0.pdf).</w:t>
      </w:r>
    </w:p>
    <w:p>
      <w:r>
        <w:t>L'hypothèse produit est que la dispersion des disponibilités, qualifications et états de candidature complique la coordination. Elle reste à confronter au travail réel et à des entretiens.</w:t>
      </w:r>
    </w:p>
    <w:p>
      <w:pPr>
        <w:pStyle w:val="Heading2"/>
      </w:pPr>
      <w:r>
        <w:t>Segments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Segment</w:t>
            </w:r>
          </w:p>
        </w:tc>
        <w:tc>
          <w:tcPr>
            <w:tcW w:type="dxa" w:w="2880"/>
          </w:tcPr>
          <w:p>
            <w:r>
              <w:t>Besoin supposé à valider</w:t>
            </w:r>
          </w:p>
        </w:tc>
        <w:tc>
          <w:tcPr>
            <w:tcW w:type="dxa" w:w="2880"/>
          </w:tcPr>
          <w:p>
            <w:r>
              <w:t>Place</w:t>
            </w:r>
          </w:p>
        </w:tc>
      </w:tr>
      <w:tr>
        <w:tc>
          <w:tcPr>
            <w:tcW w:type="dxa" w:w="2880"/>
          </w:tcPr>
          <w:p>
            <w:r>
              <w:t>Infirmiers IDE, IADE, IBODE</w:t>
            </w:r>
          </w:p>
        </w:tc>
        <w:tc>
          <w:tcPr>
            <w:tcW w:type="dxa" w:w="2880"/>
          </w:tcPr>
          <w:p>
            <w:r>
              <w:t>Missions compatibles et visibilité sur les décisions</w:t>
            </w:r>
          </w:p>
        </w:tc>
        <w:tc>
          <w:tcPr>
            <w:tcW w:type="dxa" w:w="2880"/>
          </w:tcPr>
          <w:p>
            <w:r>
              <w:t>Candidats utilisateurs</w:t>
            </w:r>
          </w:p>
        </w:tc>
      </w:tr>
      <w:tr>
        <w:tc>
          <w:tcPr>
            <w:tcW w:type="dxa" w:w="2880"/>
          </w:tcPr>
          <w:p>
            <w:r>
              <w:t>Établissements de santé</w:t>
            </w:r>
          </w:p>
        </w:tc>
        <w:tc>
          <w:tcPr>
            <w:tcW w:type="dxa" w:w="2880"/>
          </w:tcPr>
          <w:p>
            <w:r>
              <w:t>Exprimer le besoin et suivre sa couverture</w:t>
            </w:r>
          </w:p>
        </w:tc>
        <w:tc>
          <w:tcPr>
            <w:tcW w:type="dxa" w:w="2880"/>
          </w:tcPr>
          <w:p>
            <w:r>
              <w:t>Prescripteurs et acheteurs potentiels</w:t>
            </w:r>
          </w:p>
        </w:tc>
      </w:tr>
      <w:tr>
        <w:tc>
          <w:tcPr>
            <w:tcW w:type="dxa" w:w="2880"/>
          </w:tcPr>
          <w:p>
            <w:r>
              <w:t>Agences spécialisées</w:t>
            </w:r>
          </w:p>
        </w:tc>
        <w:tc>
          <w:tcPr>
            <w:tcW w:type="dxa" w:w="2880"/>
          </w:tcPr>
          <w:p>
            <w:r>
              <w:t>Centraliser recrutement et affectations</w:t>
            </w:r>
          </w:p>
        </w:tc>
        <w:tc>
          <w:tcPr>
            <w:tcW w:type="dxa" w:w="2880"/>
          </w:tcPr>
          <w:p>
            <w:r>
              <w:t>Partenaires et acheteurs potentiels</w:t>
            </w:r>
          </w:p>
        </w:tc>
      </w:tr>
    </w:tbl>
    <w:p>
      <w:r>
        <w:t>Proposition de lancement : un pilote local avec quelques établissements et agences. Ni zone pilote ni engagements commerciaux confirmés.</w:t>
      </w:r>
    </w:p>
    <w:p>
      <w:pPr>
        <w:pStyle w:val="Heading2"/>
      </w:pPr>
      <w:r>
        <w:t>Concurrence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Acteur</w:t>
            </w:r>
          </w:p>
        </w:tc>
        <w:tc>
          <w:tcPr>
            <w:tcW w:type="dxa" w:w="2880"/>
          </w:tcPr>
          <w:p>
            <w:r>
              <w:t>Offre observée</w:t>
            </w:r>
          </w:p>
        </w:tc>
        <w:tc>
          <w:tcPr>
            <w:tcW w:type="dxa" w:w="2880"/>
          </w:tcPr>
          <w:p>
            <w:r>
              <w:t>Conséquence pour le projet</w:t>
            </w:r>
          </w:p>
        </w:tc>
      </w:tr>
      <w:tr>
        <w:tc>
          <w:tcPr>
            <w:tcW w:type="dxa" w:w="2880"/>
          </w:tcPr>
          <w:p>
            <w:r>
              <w:t>Hublo</w:t>
            </w:r>
          </w:p>
        </w:tc>
        <w:tc>
          <w:tcPr>
            <w:tcW w:type="dxa" w:w="2880"/>
          </w:tcPr>
          <w:p>
            <w:r>
              <w:t>Plateforme RH santé, remplacements, recrutement et planning</w:t>
            </w:r>
          </w:p>
        </w:tc>
        <w:tc>
          <w:tcPr>
            <w:tcW w:type="dxa" w:w="2880"/>
          </w:tcPr>
          <w:p>
            <w:r>
              <w:t>Le besoin est déjà adressé ; ne pas prétendre inventer le marché</w:t>
            </w:r>
          </w:p>
        </w:tc>
      </w:tr>
      <w:tr>
        <w:tc>
          <w:tcPr>
            <w:tcW w:type="dxa" w:w="2880"/>
          </w:tcPr>
          <w:p>
            <w:r>
              <w:t>Appel Médical</w:t>
            </w:r>
          </w:p>
        </w:tc>
        <w:tc>
          <w:tcPr>
            <w:tcW w:type="dxa" w:w="2880"/>
          </w:tcPr>
          <w:p>
            <w:r>
              <w:t>Agence spécialisée, offres santé et espaces de suivi intérimaire/client</w:t>
            </w:r>
          </w:p>
        </w:tc>
        <w:tc>
          <w:tcPr>
            <w:tcW w:type="dxa" w:w="2880"/>
          </w:tcPr>
          <w:p>
            <w:r>
              <w:t>Relation employeur et expertise métier déjà établies</w:t>
            </w:r>
          </w:p>
        </w:tc>
      </w:tr>
      <w:tr>
        <w:tc>
          <w:tcPr>
            <w:tcW w:type="dxa" w:w="2880"/>
          </w:tcPr>
          <w:p>
            <w:r>
              <w:t>Staffsanté</w:t>
            </w:r>
          </w:p>
        </w:tc>
        <w:tc>
          <w:tcPr>
            <w:tcW w:type="dxa" w:w="2880"/>
          </w:tcPr>
          <w:p>
            <w:r>
              <w:t>Offres santé, recherche, candidature et alertes</w:t>
            </w:r>
          </w:p>
        </w:tc>
        <w:tc>
          <w:tcPr>
            <w:tcW w:type="dxa" w:w="2880"/>
          </w:tcPr>
          <w:p>
            <w:r>
              <w:t>L'agrégation seule ne différencie pas le produit</w:t>
            </w:r>
          </w:p>
        </w:tc>
      </w:tr>
    </w:tbl>
    <w:p>
      <w:r>
        <w:t>Sources : Hublo (https://hublo.com/fr), Appel Médical (https://www.appelmedical.com/), Staffsanté (https://www.staffsante.fr/), consultées le 23 septembre 2026. Cette comparaison des offres publiques ne permet pas d'affirmer qu'une fonctionnalité serait absente d'un logiciel concurrent.</w:t>
      </w:r>
    </w:p>
    <w:p>
      <w:pPr>
        <w:pStyle w:val="Heading2"/>
      </w:pPr>
      <w:r>
        <w:t>Proposition de valeur</w:t>
      </w:r>
    </w:p>
    <w:p>
      <w:r>
        <w:t>« Un parcours commun pour trouver une mission compatible, comprendre la recommandation et suivre une décision d'affectation entre infirmier, établissement et agence. »</w:t>
      </w:r>
    </w:p>
    <w:p>
      <w:r>
        <w:t>Le POC démontre matching explicable, distinction candidature/affectation, référentiels normalisés et suivi documentaire. Leur supériorité commerciale n'est pas prouvée. La transparence des états et la coordination des trois acteurs sont l'angle à tester.</w:t>
      </w:r>
    </w:p>
    <w:p>
      <w:pPr>
        <w:pStyle w:val="Heading2"/>
      </w:pPr>
      <w:r>
        <w:t>Modèle économique proposé</w:t>
      </w:r>
    </w:p>
    <w:p>
      <w:r>
        <w:t>Accès candidat gratuit ; abonnement B2B par organisation ou équipe, à tester. Aucun prix, chiffre d'affaires ou revenu récurrent n'est inventé. Le coût doit intégrer fournisseurs, stockage, notifications, infrastructure et support. Un pilote permettrait de mesurer ces postes et la disposition à payer.</w:t>
      </w:r>
    </w:p>
    <w:p>
      <w:pPr>
        <w:pStyle w:val="Heading2"/>
      </w:pPr>
      <w:r>
        <w:t>Validation terrain proposée</w:t>
      </w:r>
    </w:p>
    <w:p>
      <w:r>
        <w:t>Cinq entretiens infirmiers, trois établissements et deux agences ; observation d'une publication, d'une candidature et d'un changement de planning. Recueillir les outils utilisés, irritants, responsabilités et conditions d'adoption. Ce programme est à réaliser.</w:t>
      </w:r>
    </w:p>
    <w:p>
      <w:r>
        <w:t>Mesurer ensuite : taux de missions recevant une candidature compatible, délai publication→première candidature, conversion candidature→affectation, annulations et réutilisation à trente jours. Fixer les périodes et dénominateurs avant collecte.</w:t>
      </w:r>
    </w:p>
    <w:p>
      <w:pPr>
        <w:pStyle w:val="Heading2"/>
      </w:pPr>
      <w:r>
        <w:t>Risques et suite</w:t>
      </w:r>
    </w:p>
    <w:p>
      <w:r>
        <w:t>Concurrence installée, démarrage d'un réseau multi-acteurs, qualité des données, dépendance fournisseurs et responsabilités sur l'affectation. Poursuivre par un pilote limité et une revue des obligations avant exploitation. La preuve technique du POC ne vaut pas validation de marché.</w:t>
      </w:r>
    </w:p>
    <w:p>
      <w:r>
        <w:br w:type="page"/>
      </w:r>
    </w:p>
    <w:p>
      <w:pPr>
        <w:pStyle w:val="Heading1"/>
      </w:pPr>
      <w:r>
        <w:t>Chiffrage post-POC</w:t>
      </w:r>
    </w:p>
    <w:p>
      <w:r>
        <w:t>Les dix-huit lots reprennent CHIFFRAGE_V1.csv : 348–528 heures-personnes estimées. Le centre de fourchette, 438 h, est un repère calculé, pas une estimation ponctuelle prétendument validée à J+2.</w:t>
      </w:r>
    </w:p>
    <w:p>
      <w:r>
        <w:t>Le fichier TEMPS_HUMAINS.csv ne contient que ses en-têtes. Les heures réelles ne sont donc pas disponibles. Ni les durées de sessions agent, ni l'intervalle entre commits, ni les lignes de code ne mesurent des heures humaines. Réalisé et écarts restent vides jusqu'à saisie documentée.</w:t>
      </w:r>
    </w:p>
    <w:p>
      <w:pPr>
        <w:pStyle w:val="Heading2"/>
      </w:pPr>
      <w:r>
        <w:t>Classeur</w:t>
      </w:r>
    </w:p>
    <w:p>
      <w:r>
        <w:t>Onglet Lots : D/E = estimation min/max ; F = centre calculé ; G = réel à saisir ; H/I = écarts heures/pourcentage vs centre ; J = sous/dans/au-dessus de la fourchette ; K/L = justificatif et explication.</w:t>
      </w:r>
    </w:p>
    <w:p>
      <w:r>
        <w:t>Le total réel reste INCOMPLET tant que les dix-huit lots ne sont pas renseignés. Un zéro saisi est distinct d'une cellule vide. L'onglet Journal recueille personne, date, lot, activité et durée ; l'équipe consolide ensuite dans Lots pour éviter les doubles comptes. Un travail hors périmètre initial doit être identifié comme tel.</w:t>
      </w:r>
    </w:p>
    <w:p>
      <w:pPr>
        <w:pStyle w:val="Heading2"/>
      </w:pPr>
      <w:r>
        <w:t>Analyse à finaliser</w:t>
      </w:r>
    </w:p>
    <w:p>
      <w:r>
        <w:t>Après saisie, expliquer les dépassements par des faits attestés : changement demandé, intégration, incident, reprise ou recette. Les causes ne sont pas préremplies comme si elles avaient été mesurées. Les quatre membres doivent valider les heures et leurs preuves.</w:t>
      </w:r>
    </w:p>
    <w:p>
      <w:r>
        <w:t>Le tableau est prêt ; le chiffrage réel n'est pas finalisé sans ces données.</w:t>
      </w:r>
    </w:p>
    <w:p>
      <w:r>
        <w:br w:type="page"/>
      </w:r>
    </w:p>
    <w:p>
      <w:pPr>
        <w:pStyle w:val="Heading1"/>
      </w:pPr>
      <w:r>
        <w:t>Trame orale — 15 minutes</w:t>
      </w:r>
    </w:p>
    <w:p>
      <w:r>
        <w:t>Douze diapositives, dont trois minutes de démonstration. Rôles A/B/C/D à attribuer aux quatre membres. Les questions du jury peuvent interrompre le déroulé : adapter la démonstration sans supprimer les limites essentielles.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Diapo</w:t>
            </w:r>
          </w:p>
        </w:tc>
        <w:tc>
          <w:tcPr>
            <w:tcW w:type="dxa" w:w="1728"/>
          </w:tcPr>
          <w:p>
            <w:r>
              <w:t>Début</w:t>
            </w:r>
          </w:p>
        </w:tc>
        <w:tc>
          <w:tcPr>
            <w:tcW w:type="dxa" w:w="1728"/>
          </w:tcPr>
          <w:p>
            <w:r>
              <w:t>Durée</w:t>
            </w:r>
          </w:p>
        </w:tc>
        <w:tc>
          <w:tcPr>
            <w:tcW w:type="dxa" w:w="1728"/>
          </w:tcPr>
          <w:p>
            <w:r>
              <w:t>Intervenant</w:t>
            </w:r>
          </w:p>
        </w:tc>
        <w:tc>
          <w:tcPr>
            <w:tcW w:type="dxa" w:w="1728"/>
          </w:tcPr>
          <w:p>
            <w:r>
              <w:t>Sujet</w:t>
            </w:r>
          </w:p>
        </w:tc>
      </w:tr>
      <w:tr>
        <w:tc>
          <w:tcPr>
            <w:tcW w:type="dxa" w:w="1728"/>
          </w:tcPr>
          <w:p>
            <w:r>
              <w:t>1</w:t>
            </w:r>
          </w:p>
        </w:tc>
        <w:tc>
          <w:tcPr>
            <w:tcW w:type="dxa" w:w="1728"/>
          </w:tcPr>
          <w:p>
            <w:r>
              <w:t>00:00</w:t>
            </w:r>
          </w:p>
        </w:tc>
        <w:tc>
          <w:tcPr>
            <w:tcW w:type="dxa" w:w="1728"/>
          </w:tcPr>
          <w:p>
            <w:r>
              <w:t>45 s</w:t>
            </w:r>
          </w:p>
        </w:tc>
        <w:tc>
          <w:tcPr>
            <w:tcW w:type="dxa" w:w="1728"/>
          </w:tcPr>
          <w:p>
            <w:r>
              <w:t>A</w:t>
            </w:r>
          </w:p>
        </w:tc>
        <w:tc>
          <w:tcPr>
            <w:tcW w:type="dxa" w:w="1728"/>
          </w:tcPr>
          <w:p>
            <w:r>
              <w:t>Une mission compatible, une décision claire</w:t>
            </w:r>
          </w:p>
        </w:tc>
      </w:tr>
      <w:tr>
        <w:tc>
          <w:tcPr>
            <w:tcW w:type="dxa" w:w="1728"/>
          </w:tcPr>
          <w:p>
            <w:r>
              <w:t>2</w:t>
            </w:r>
          </w:p>
        </w:tc>
        <w:tc>
          <w:tcPr>
            <w:tcW w:type="dxa" w:w="1728"/>
          </w:tcPr>
          <w:p>
            <w:r>
              <w:t>00:45</w:t>
            </w:r>
          </w:p>
        </w:tc>
        <w:tc>
          <w:tcPr>
            <w:tcW w:type="dxa" w:w="1728"/>
          </w:tcPr>
          <w:p>
            <w:r>
              <w:t>60 s</w:t>
            </w:r>
          </w:p>
        </w:tc>
        <w:tc>
          <w:tcPr>
            <w:tcW w:type="dxa" w:w="1728"/>
          </w:tcPr>
          <w:p>
            <w:r>
              <w:t>A</w:t>
            </w:r>
          </w:p>
        </w:tc>
        <w:tc>
          <w:tcPr>
            <w:tcW w:type="dxa" w:w="1728"/>
          </w:tcPr>
          <w:p>
            <w:r>
              <w:t>Un besoin de coordination dans la santé</w:t>
            </w:r>
          </w:p>
        </w:tc>
      </w:tr>
      <w:tr>
        <w:tc>
          <w:tcPr>
            <w:tcW w:type="dxa" w:w="1728"/>
          </w:tcPr>
          <w:p>
            <w:r>
              <w:t>3</w:t>
            </w:r>
          </w:p>
        </w:tc>
        <w:tc>
          <w:tcPr>
            <w:tcW w:type="dxa" w:w="1728"/>
          </w:tcPr>
          <w:p>
            <w:r>
              <w:t>01:45</w:t>
            </w:r>
          </w:p>
        </w:tc>
        <w:tc>
          <w:tcPr>
            <w:tcW w:type="dxa" w:w="1728"/>
          </w:tcPr>
          <w:p>
            <w:r>
              <w:t>60 s</w:t>
            </w:r>
          </w:p>
        </w:tc>
        <w:tc>
          <w:tcPr>
            <w:tcW w:type="dxa" w:w="1728"/>
          </w:tcPr>
          <w:p>
            <w:r>
              <w:t>A</w:t>
            </w:r>
          </w:p>
        </w:tc>
        <w:tc>
          <w:tcPr>
            <w:tcW w:type="dxa" w:w="1728"/>
          </w:tcPr>
          <w:p>
            <w:r>
              <w:t>Le marché existe déjà</w:t>
            </w:r>
          </w:p>
        </w:tc>
      </w:tr>
      <w:tr>
        <w:tc>
          <w:tcPr>
            <w:tcW w:type="dxa" w:w="1728"/>
          </w:tcPr>
          <w:p>
            <w:r>
              <w:t>4</w:t>
            </w:r>
          </w:p>
        </w:tc>
        <w:tc>
          <w:tcPr>
            <w:tcW w:type="dxa" w:w="1728"/>
          </w:tcPr>
          <w:p>
            <w:r>
              <w:t>02:45</w:t>
            </w:r>
          </w:p>
        </w:tc>
        <w:tc>
          <w:tcPr>
            <w:tcW w:type="dxa" w:w="1728"/>
          </w:tcPr>
          <w:p>
            <w:r>
              <w:t>60 s</w:t>
            </w:r>
          </w:p>
        </w:tc>
        <w:tc>
          <w:tcPr>
            <w:tcW w:type="dxa" w:w="1728"/>
          </w:tcPr>
          <w:p>
            <w:r>
              <w:t>C</w:t>
            </w:r>
          </w:p>
        </w:tc>
        <w:tc>
          <w:tcPr>
            <w:tcW w:type="dxa" w:w="1728"/>
          </w:tcPr>
          <w:p>
            <w:r>
              <w:t>Un parcours métier complet</w:t>
            </w:r>
          </w:p>
        </w:tc>
      </w:tr>
      <w:tr>
        <w:tc>
          <w:tcPr>
            <w:tcW w:type="dxa" w:w="1728"/>
          </w:tcPr>
          <w:p>
            <w:r>
              <w:t>5</w:t>
            </w:r>
          </w:p>
        </w:tc>
        <w:tc>
          <w:tcPr>
            <w:tcW w:type="dxa" w:w="1728"/>
          </w:tcPr>
          <w:p>
            <w:r>
              <w:t>03:45</w:t>
            </w:r>
          </w:p>
        </w:tc>
        <w:tc>
          <w:tcPr>
            <w:tcW w:type="dxa" w:w="1728"/>
          </w:tcPr>
          <w:p>
            <w:r>
              <w:t>180 s</w:t>
            </w:r>
          </w:p>
        </w:tc>
        <w:tc>
          <w:tcPr>
            <w:tcW w:type="dxa" w:w="1728"/>
          </w:tcPr>
          <w:p>
            <w:r>
              <w:t>C</w:t>
            </w:r>
          </w:p>
        </w:tc>
        <w:tc>
          <w:tcPr>
            <w:tcW w:type="dxa" w:w="1728"/>
          </w:tcPr>
          <w:p>
            <w:r>
              <w:t>Du besoin à la confirmation</w:t>
            </w:r>
          </w:p>
        </w:tc>
      </w:tr>
      <w:tr>
        <w:tc>
          <w:tcPr>
            <w:tcW w:type="dxa" w:w="1728"/>
          </w:tcPr>
          <w:p>
            <w:r>
              <w:t>6</w:t>
            </w:r>
          </w:p>
        </w:tc>
        <w:tc>
          <w:tcPr>
            <w:tcW w:type="dxa" w:w="1728"/>
          </w:tcPr>
          <w:p>
            <w:r>
              <w:t>06:45</w:t>
            </w:r>
          </w:p>
        </w:tc>
        <w:tc>
          <w:tcPr>
            <w:tcW w:type="dxa" w:w="1728"/>
          </w:tcPr>
          <w:p>
            <w:r>
              <w:t>75 s</w:t>
            </w:r>
          </w:p>
        </w:tc>
        <w:tc>
          <w:tcPr>
            <w:tcW w:type="dxa" w:w="1728"/>
          </w:tcPr>
          <w:p>
            <w:r>
              <w:t>B</w:t>
            </w:r>
          </w:p>
        </w:tc>
        <w:tc>
          <w:tcPr>
            <w:tcW w:type="dxa" w:w="1728"/>
          </w:tcPr>
          <w:p>
            <w:r>
              <w:t>Des responsabilités séparées</w:t>
            </w:r>
          </w:p>
        </w:tc>
      </w:tr>
      <w:tr>
        <w:tc>
          <w:tcPr>
            <w:tcW w:type="dxa" w:w="1728"/>
          </w:tcPr>
          <w:p>
            <w:r>
              <w:t>7</w:t>
            </w:r>
          </w:p>
        </w:tc>
        <w:tc>
          <w:tcPr>
            <w:tcW w:type="dxa" w:w="1728"/>
          </w:tcPr>
          <w:p>
            <w:r>
              <w:t>08:00</w:t>
            </w:r>
          </w:p>
        </w:tc>
        <w:tc>
          <w:tcPr>
            <w:tcW w:type="dxa" w:w="1728"/>
          </w:tcPr>
          <w:p>
            <w:r>
              <w:t>75 s</w:t>
            </w:r>
          </w:p>
        </w:tc>
        <w:tc>
          <w:tcPr>
            <w:tcW w:type="dxa" w:w="1728"/>
          </w:tcPr>
          <w:p>
            <w:r>
              <w:t>B</w:t>
            </w:r>
          </w:p>
        </w:tc>
        <w:tc>
          <w:tcPr>
            <w:tcW w:type="dxa" w:w="1728"/>
          </w:tcPr>
          <w:p>
            <w:r>
              <w:t>FINESS devient une donnée utile</w:t>
            </w:r>
          </w:p>
        </w:tc>
      </w:tr>
      <w:tr>
        <w:tc>
          <w:tcPr>
            <w:tcW w:type="dxa" w:w="1728"/>
          </w:tcPr>
          <w:p>
            <w:r>
              <w:t>8</w:t>
            </w:r>
          </w:p>
        </w:tc>
        <w:tc>
          <w:tcPr>
            <w:tcW w:type="dxa" w:w="1728"/>
          </w:tcPr>
          <w:p>
            <w:r>
              <w:t>09:15</w:t>
            </w:r>
          </w:p>
        </w:tc>
        <w:tc>
          <w:tcPr>
            <w:tcW w:type="dxa" w:w="1728"/>
          </w:tcPr>
          <w:p>
            <w:r>
              <w:t>60 s</w:t>
            </w:r>
          </w:p>
        </w:tc>
        <w:tc>
          <w:tcPr>
            <w:tcW w:type="dxa" w:w="1728"/>
          </w:tcPr>
          <w:p>
            <w:r>
              <w:t>B</w:t>
            </w:r>
          </w:p>
        </w:tc>
        <w:tc>
          <w:tcPr>
            <w:tcW w:type="dxa" w:w="1728"/>
          </w:tcPr>
          <w:p>
            <w:r>
              <w:t>Des scénarios exportés et traçables</w:t>
            </w:r>
          </w:p>
        </w:tc>
      </w:tr>
      <w:tr>
        <w:tc>
          <w:tcPr>
            <w:tcW w:type="dxa" w:w="1728"/>
          </w:tcPr>
          <w:p>
            <w:r>
              <w:t>9</w:t>
            </w:r>
          </w:p>
        </w:tc>
        <w:tc>
          <w:tcPr>
            <w:tcW w:type="dxa" w:w="1728"/>
          </w:tcPr>
          <w:p>
            <w:r>
              <w:t>10:15</w:t>
            </w:r>
          </w:p>
        </w:tc>
        <w:tc>
          <w:tcPr>
            <w:tcW w:type="dxa" w:w="1728"/>
          </w:tcPr>
          <w:p>
            <w:r>
              <w:t>60 s</w:t>
            </w:r>
          </w:p>
        </w:tc>
        <w:tc>
          <w:tcPr>
            <w:tcW w:type="dxa" w:w="1728"/>
          </w:tcPr>
          <w:p>
            <w:r>
              <w:t>D</w:t>
            </w:r>
          </w:p>
        </w:tc>
        <w:tc>
          <w:tcPr>
            <w:tcW w:type="dxa" w:w="1728"/>
          </w:tcPr>
          <w:p>
            <w:r>
              <w:t>Des résultats mesurés, un périmètre précis</w:t>
            </w:r>
          </w:p>
        </w:tc>
      </w:tr>
      <w:tr>
        <w:tc>
          <w:tcPr>
            <w:tcW w:type="dxa" w:w="1728"/>
          </w:tcPr>
          <w:p>
            <w:r>
              <w:t>10</w:t>
            </w:r>
          </w:p>
        </w:tc>
        <w:tc>
          <w:tcPr>
            <w:tcW w:type="dxa" w:w="1728"/>
          </w:tcPr>
          <w:p>
            <w:r>
              <w:t>11:15</w:t>
            </w:r>
          </w:p>
        </w:tc>
        <w:tc>
          <w:tcPr>
            <w:tcW w:type="dxa" w:w="1728"/>
          </w:tcPr>
          <w:p>
            <w:r>
              <w:t>75 s</w:t>
            </w:r>
          </w:p>
        </w:tc>
        <w:tc>
          <w:tcPr>
            <w:tcW w:type="dxa" w:w="1728"/>
          </w:tcPr>
          <w:p>
            <w:r>
              <w:t>D</w:t>
            </w:r>
          </w:p>
        </w:tc>
        <w:tc>
          <w:tcPr>
            <w:tcW w:type="dxa" w:w="1728"/>
          </w:tcPr>
          <w:p>
            <w:r>
              <w:t>Réduire les risques et les transferts</w:t>
            </w:r>
          </w:p>
        </w:tc>
      </w:tr>
      <w:tr>
        <w:tc>
          <w:tcPr>
            <w:tcW w:type="dxa" w:w="1728"/>
          </w:tcPr>
          <w:p>
            <w:r>
              <w:t>11</w:t>
            </w:r>
          </w:p>
        </w:tc>
        <w:tc>
          <w:tcPr>
            <w:tcW w:type="dxa" w:w="1728"/>
          </w:tcPr>
          <w:p>
            <w:r>
              <w:t>12:30</w:t>
            </w:r>
          </w:p>
        </w:tc>
        <w:tc>
          <w:tcPr>
            <w:tcW w:type="dxa" w:w="1728"/>
          </w:tcPr>
          <w:p>
            <w:r>
              <w:t>75 s</w:t>
            </w:r>
          </w:p>
        </w:tc>
        <w:tc>
          <w:tcPr>
            <w:tcW w:type="dxa" w:w="1728"/>
          </w:tcPr>
          <w:p>
            <w:r>
              <w:t>D</w:t>
            </w:r>
          </w:p>
        </w:tc>
        <w:tc>
          <w:tcPr>
            <w:tcW w:type="dxa" w:w="1728"/>
          </w:tcPr>
          <w:p>
            <w:r>
              <w:t>Confronter le prévu au réalisé</w:t>
            </w:r>
          </w:p>
        </w:tc>
      </w:tr>
      <w:tr>
        <w:tc>
          <w:tcPr>
            <w:tcW w:type="dxa" w:w="1728"/>
          </w:tcPr>
          <w:p>
            <w:r>
              <w:t>12</w:t>
            </w:r>
          </w:p>
        </w:tc>
        <w:tc>
          <w:tcPr>
            <w:tcW w:type="dxa" w:w="1728"/>
          </w:tcPr>
          <w:p>
            <w:r>
              <w:t>13:45</w:t>
            </w:r>
          </w:p>
        </w:tc>
        <w:tc>
          <w:tcPr>
            <w:tcW w:type="dxa" w:w="1728"/>
          </w:tcPr>
          <w:p>
            <w:r>
              <w:t>75 s</w:t>
            </w:r>
          </w:p>
        </w:tc>
        <w:tc>
          <w:tcPr>
            <w:tcW w:type="dxa" w:w="1728"/>
          </w:tcPr>
          <w:p>
            <w:r>
              <w:t>D</w:t>
            </w:r>
          </w:p>
        </w:tc>
        <w:tc>
          <w:tcPr>
            <w:tcW w:type="dxa" w:w="1728"/>
          </w:tcPr>
          <w:p>
            <w:r>
              <w:t>Un POC démontrable, un pilote à valider</w:t>
            </w:r>
          </w:p>
        </w:tc>
      </w:tr>
    </w:tbl>
    <w:p>
      <w:pPr>
        <w:pStyle w:val="Heading2"/>
      </w:pPr>
      <w:r>
        <w:t>Texte et consignes par diapositive</w:t>
      </w:r>
    </w:p>
    <w:p>
      <w:pPr>
        <w:pStyle w:val="Heading3"/>
      </w:pPr>
      <w:r>
        <w:t>1. Une mission compatible, une décision claire</w:t>
      </w:r>
    </w:p>
    <w:p>
      <w:r>
        <w:t>Un établissement cherche un infirmier disponible. Le candidat doit comprendre la mission et savoir où en est sa candidature. Relier infirmier, établissement et agence, de la recherche à la confirmation d’affectation.</w:t>
      </w:r>
    </w:p>
    <w:p>
      <w:r>
        <w:t>Ouvrir par une situation illustrative, sans la présenter comme un entretien réel. Annoncer le fil : problème, solution, démonstration, preuves et limites. InfiMatch ne remplace pas l’employeur.</w:t>
      </w:r>
    </w:p>
    <w:p>
      <w:pPr>
        <w:pStyle w:val="Heading3"/>
      </w:pPr>
      <w:r>
        <w:t>2. Un besoin de coordination dans la santé</w:t>
      </w:r>
    </w:p>
    <w:p>
      <w:r>
        <w:t>Infirmières en emploi en 2021 selon la DREES. L’étude décrit des difficultés de recrutement. Infirmiers IDE, IADE et IBODE ; établissements de santé ; agences spécialisées. Pilote local à construire.</w:t>
      </w:r>
    </w:p>
    <w:p>
      <w:r>
        <w:t>Source : DREES, Études et Résultats 1319, décembre 2024. https://www.drees.solidarites-sante.gouv.fr/sites/default/files/2024-12/ER1319_0.pdf . Ce chiffre ne mesure ni les intérimaires ni les clients adressables. Les irritants de coordination sont des hypothèses à valider.</w:t>
      </w:r>
    </w:p>
    <w:p>
      <w:pPr>
        <w:pStyle w:val="Heading3"/>
      </w:pPr>
      <w:r>
        <w:t>3. Le marché existe déjà</w:t>
      </w:r>
    </w:p>
    <w:p>
      <w:r>
        <w:t>Hublo : RH et remplacements. Appel Médical : recrutement spécialisé. Staffsanté : offres et candidatures. Une recommandation compréhensible et un état de candidature explicite, jusqu’à la décision humaine.</w:t>
      </w:r>
    </w:p>
    <w:p>
      <w:r>
        <w:t>Sources primaires : https://hublo.com/fr ; https://www.appelmedical.com/ ; https://www.staffsante.fr/ . Lecture des offres publiques au 23/09/2026, pas audit concurrent. Ne pas affirmer qu’ils n’ont pas une fonction. Abonnement B2B et accès candidat gratuit restent des hypothèses.</w:t>
      </w:r>
    </w:p>
    <w:p>
      <w:pPr>
        <w:pStyle w:val="Heading3"/>
      </w:pPr>
      <w:r>
        <w:t>4. Un parcours métier complet</w:t>
      </w:r>
    </w:p>
    <w:p>
      <w:r>
        <w:t>Profil, disponibilités et zone. Recherche et explications du matching. Candidature, calendrier et documents. Publication, suivi des candidatures, sélection et confirmation. L’agence conserve la décision d’affectation.</w:t>
      </w:r>
    </w:p>
    <w:p>
      <w:r>
        <w:t>Présenter brièvement les rôles et les contrôles d’accès. Souligner que disponibilité, qualification et décision sont distinctes. Le mode RPPS facultatif est réservé à la démonstration configurée.</w:t>
      </w:r>
    </w:p>
    <w:p>
      <w:pPr>
        <w:pStyle w:val="Heading3"/>
      </w:pPr>
      <w:r>
        <w:t>5. Du besoin à la confirmation</w:t>
      </w:r>
    </w:p>
    <w:p>
      <w:r>
        <w:t>1. Ouvrir une mission. 2. Montrer les critères et le profil. 3. Candidater et constater l’état en attente. 4. Retrouver la candidature. 5. Confirmer dans l’environnement de test. 6. Montrer calendrier, PDF et notification.</w:t>
      </w:r>
    </w:p>
    <w:p>
      <w:r>
        <w:t>Répéter sur l’environnement de démonstration. Ne pas notifier un utilisateur réel. Garder des onglets préparés. Si le service est indisponible : expliquer l’incident et montrer les preuves datées ainsi que le rendu Discord, sans prétendre à une exécution en direct réussie.</w:t>
      </w:r>
    </w:p>
    <w:p>
      <w:pPr>
        <w:pStyle w:val="Heading3"/>
      </w:pPr>
      <w:r>
        <w:t>6. Des responsabilités séparées</w:t>
      </w:r>
    </w:p>
    <w:p>
      <w:r>
        <w:t>React / TypeScript ; API NestJS. PostgreSQL / PostGIS pour les états et la géographie ; MongoDB pour les explications. n8n coordonne les appels. Les règles métier et permissions restent côté backend. Les secrets ne sont pas dans le dépôt.</w:t>
      </w:r>
    </w:p>
    <w:p>
      <w:r>
        <w:t>Décrire le chemin d’une candidature dans l’API et la base relationnelle, puis l’événement d’automatisation. Montrer le README et expliquer les profils d’accès. Une base non relationnelle a un usage complémentaire explicite.</w:t>
      </w:r>
    </w:p>
    <w:p>
      <w:pPr>
        <w:pStyle w:val="Heading3"/>
      </w:pPr>
      <w:r>
        <w:t>7. FINESS devient une donnée utile</w:t>
      </w:r>
    </w:p>
    <w:p>
      <w:r>
        <w:t>Identifiants et zéros conservés ; textes nettoyés ; doublons rejetés ; coordonnées ambiguës laissées vides. Recherche d’établissements dans les parcours entreprise. Script avant/après livré, fonction identique à celle du backend.</w:t>
      </w:r>
    </w:p>
    <w:p>
      <w:r>
        <w:t>Source ANS, https://www.data.gouv.fr/datasets/finess-structures-1 ; Licence Ouverte 2.0. Montrer demonstration-finess-resultat.json. La fixture pédagogique est synthétique ; le téléchargement réel est disponible via npm run finess:import. Ne pas confondre cet exemple et un extrait réellement téléchargé.</w:t>
      </w:r>
    </w:p>
    <w:p>
      <w:pPr>
        <w:pStyle w:val="Heading3"/>
      </w:pPr>
      <w:r>
        <w:t>8. Des scénarios exportés et traçables</w:t>
      </w:r>
    </w:p>
    <w:p>
      <w:r>
        <w:t>Matching → notification. Affectation confirmée → génération documentaire. Les rappels assurent une reprise. JSON avec provenance et versions ; credentials à réassocier. Les exports Cloud et les modèles de recette sont distingués.</w:t>
      </w:r>
    </w:p>
    <w:p>
      <w:r>
        <w:t>Montrer un JSON et son manifeste. Expliquer qu’un statut actif n’est pas une preuve de réception. Le nœud de reprise porte un ancien nom « 30 minutes » mais son paramètre vaut quatre heures. Les tests isolés ne sont pas des exécutions Cloud.</w:t>
      </w:r>
    </w:p>
    <w:p>
      <w:pPr>
        <w:pStyle w:val="Heading3"/>
      </w:pPr>
      <w:r>
        <w:t>9. Des résultats mesurés, un périmètre précis</w:t>
      </w:r>
    </w:p>
    <w:p>
      <w:r>
        <w:t>Tests unitaires réussis. Couverture : 95,11 % des lignes, 89,98 % des branches, 82,41 % des fonctions. 11 intégrations notifications réussies. Régressions SQL réussies. Frontend : 81/81 dans la campagne antérieure.</w:t>
      </w:r>
    </w:p>
    <w:p>
      <w:r>
        <w:t>Preuves : docs/proofs/discord-notifications-20260923/ . Distinguer réussite des tests et couverture. Les résultats frontend sont antérieurs, non relancés pour le changement Discord. Ce n’est pas une certification de sécurité ou une garantie sans bugs.</w:t>
      </w:r>
    </w:p>
    <w:p>
      <w:pPr>
        <w:pStyle w:val="Heading3"/>
      </w:pPr>
      <w:r>
        <w:t>10. Réduire les risques et les transferts</w:t>
      </w:r>
    </w:p>
    <w:p>
      <w:r>
        <w:t>Droits par rôle, chiffrement, MFA et secrets dans Vault. Navigation clavier, structure sémantique et corrections ciblées. Requêtes de matching regroupées ; scan compact des offres puis chargement des seuls détails retenus.</w:t>
      </w:r>
    </w:p>
    <w:p>
      <w:r>
        <w:t>Références : docs/quality/OPTIMISATION_MATCHING_2026-09-20.md et CORRECTIONS_AUDIT_2026-09-23.md. Le gain de volume JSON mesuré sur un cas n’est pas une mesure de CO2 ni une facture réseau. Ne pas revendiquer de conformité globale RGAA/RGESN. Les PDF ne sont pas des contrats complets signés.</w:t>
      </w:r>
    </w:p>
    <w:p>
      <w:pPr>
        <w:pStyle w:val="Heading3"/>
      </w:pPr>
      <w:r>
        <w:t>11. Confronter le prévu au réalisé</w:t>
      </w:r>
    </w:p>
    <w:p>
      <w:r>
        <w:t>348 à 528 heures-personnes. 438 h est le centre calculé, pas une nouvelle estimation validée à J+2. Le relevé humain est vide. Le classeur calcule les écarts après saisie des heures et justificatifs.</w:t>
      </w:r>
    </w:p>
    <w:p>
      <w:r>
        <w:t>Ne pas présenter les durées d’agent comme du travail humain. Quatre personnes, onze jours, six heures productives hypothétiques donnent 264 h : l’écart doit être expliqué par le réel, pas masqué. La validation du CDC à J+2 reste à joindre.</w:t>
      </w:r>
    </w:p>
    <w:p>
      <w:pPr>
        <w:pStyle w:val="Heading3"/>
      </w:pPr>
      <w:r>
        <w:t>12. Un POC démontrable, un pilote à valider</w:t>
      </w:r>
    </w:p>
    <w:p>
      <w:r>
        <w:t>Code, README, roadmap, exports n8n, script FINESS, étude sourcée, classeur et support oral. Renseigner les temps. Tester le besoin sur le terrain. Suivre PostGIS avec Supabase et le DNS local. Préparer un pilote limité.</w:t>
      </w:r>
    </w:p>
    <w:p>
      <w:r>
        <w:t>Conclure sur la proposition de valeur, puis ouvrir les questions. Les entretiens et partenariats ne sont pas acquis. Supabase/PostGIS attend le support ; DNS local inchangé. Le coffre local a été réparé. Montrer que les réserves sont connues et suivies.</w:t>
      </w:r>
    </w:p>
    <w:p>
      <w:pPr>
        <w:pStyle w:val="Heading2"/>
      </w:pPr>
      <w:r>
        <w:t>Préparer la démo</w:t>
      </w:r>
    </w:p>
    <w:p>
      <w:r>
        <w:t>Avant le passage : comptes fictifs, mission future, rôles distincts et onglets prêts. Répéter recherche → candidature → décision → document. Utiliser des destinataires de test pour les notifications. Conserver une copie du PDF et des preuves pour un scénario de secours.</w:t>
      </w:r>
    </w:p>
    <w:p>
      <w:r>
        <w:t>En cas de panne : dire ce qui ne fonctionne pas, montrer les sorties datées disponibles et expliquer ce qui reste non vérifié. Ne pas déclarer réussi un envoi que le jury n’a pas vu.</w:t>
      </w:r>
    </w:p>
    <w:p>
      <w:pPr>
        <w:pStyle w:val="Heading2"/>
      </w:pPr>
      <w:r>
        <w:t>Questions probables</w:t>
      </w:r>
    </w:p>
    <w:p>
      <w:r>
        <w:t>- Pourquoi MongoDB ? Usage complémentaire pour les explications du matching, sans déplacer les transactions métier.</w:t>
      </w:r>
    </w:p>
    <w:p>
      <w:r>
        <w:t>- Pourquoi n8n ? Orchestration observable ; les contrôles métier restent dans le backend.</w:t>
      </w:r>
    </w:p>
    <w:p>
      <w:r>
        <w:t>- Que mesure 95,11 % ? La couverture des lignes backend par les tests unitaires, pas une conformité globale.</w:t>
      </w:r>
    </w:p>
    <w:p>
      <w:r>
        <w:t>- Avez-vous des clients ? Aucun engagement commercial attesté dans ce rendu ; le pilote est proposé.</w:t>
      </w:r>
    </w:p>
    <w:p>
      <w:r>
        <w:t>- Combien de temps réellement passé ? Le relevé humain doit être renseigné ; ne pas substituer une estimation.</w:t>
      </w:r>
    </w:p>
    <w:p>
      <w:r>
        <w:br w:type="page"/>
      </w:r>
    </w:p>
    <w:p>
      <w:pPr>
        <w:pStyle w:val="Heading1"/>
      </w:pPr>
      <w:r>
        <w:t>Preuves et réserves</w:t>
      </w:r>
    </w:p>
    <w:p>
      <w:r>
        <w:t>État au 23 septembre 2026, référence applicative e81282d. Les campagnes ci-dessous sont distinctes.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Contrôle</w:t>
            </w:r>
          </w:p>
        </w:tc>
        <w:tc>
          <w:tcPr>
            <w:tcW w:type="dxa" w:w="2880"/>
          </w:tcPr>
          <w:p>
            <w:r>
              <w:t>Résultat</w:t>
            </w:r>
          </w:p>
        </w:tc>
        <w:tc>
          <w:tcPr>
            <w:tcW w:type="dxa" w:w="2880"/>
          </w:tcPr>
          <w:p>
            <w:r>
              <w:t>Preuve</w:t>
            </w:r>
          </w:p>
        </w:tc>
      </w:tr>
      <w:tr>
        <w:tc>
          <w:tcPr>
            <w:tcW w:type="dxa" w:w="2880"/>
          </w:tcPr>
          <w:p>
            <w:r>
              <w:t>Unitaires backend récents</w:t>
            </w:r>
          </w:p>
        </w:tc>
        <w:tc>
          <w:tcPr>
            <w:tcW w:type="dxa" w:w="2880"/>
          </w:tcPr>
          <w:p>
            <w:r>
              <w:t>660/660 ; lignes 95,11 % ; branches 89,98 % ; fonctions 82,41 %</w:t>
            </w:r>
          </w:p>
        </w:tc>
        <w:tc>
          <w:tcPr>
            <w:tcW w:type="dxa" w:w="2880"/>
          </w:tcPr>
          <w:p>
            <w:r>
              <w:t>Résumé (https://github.com/EpitechMscProPromo2027/D-WEB-901-PAR-9-1-InteriMatch-1/blob/main/docs/proofs/discord-notifications-20260923/unit-summary.json), journal (https://github.com/EpitechMscProPromo2027/D-WEB-901-PAR-9-1-InteriMatch-1/blob/main/docs/proofs/discord-notifications-20260923/unit-tests.txt)</w:t>
            </w:r>
          </w:p>
        </w:tc>
      </w:tr>
      <w:tr>
        <w:tc>
          <w:tcPr>
            <w:tcW w:type="dxa" w:w="2880"/>
          </w:tcPr>
          <w:p>
            <w:r>
              <w:t>Intégrations notifications</w:t>
            </w:r>
          </w:p>
        </w:tc>
        <w:tc>
          <w:tcPr>
            <w:tcW w:type="dxa" w:w="2880"/>
          </w:tcPr>
          <w:p>
            <w:r>
              <w:t>11/11 sur services isolés</w:t>
            </w:r>
          </w:p>
        </w:tc>
        <w:tc>
          <w:tcPr>
            <w:tcW w:type="dxa" w:w="2880"/>
          </w:tcPr>
          <w:p>
            <w:r>
              <w:t>Journal (https://github.com/EpitechMscProPromo2027/D-WEB-901-PAR-9-1-InteriMatch-1/blob/main/docs/proofs/discord-notifications-20260923/targeted-integration.txt)</w:t>
            </w:r>
          </w:p>
        </w:tc>
      </w:tr>
      <w:tr>
        <w:tc>
          <w:tcPr>
            <w:tcW w:type="dxa" w:w="2880"/>
          </w:tcPr>
          <w:p>
            <w:r>
              <w:t>Régressions SQL</w:t>
            </w:r>
          </w:p>
        </w:tc>
        <w:tc>
          <w:tcPr>
            <w:tcW w:type="dxa" w:w="2880"/>
          </w:tcPr>
          <w:p>
            <w:r>
              <w:t>Campagne réussie</w:t>
            </w:r>
          </w:p>
        </w:tc>
        <w:tc>
          <w:tcPr>
            <w:tcW w:type="dxa" w:w="2880"/>
          </w:tcPr>
          <w:p>
            <w:r>
              <w:t>Preuve (https://github.com/EpitechMscProPromo2027/D-WEB-901-PAR-9-1-InteriMatch-1/blob/main/docs/proofs/discord-notifications-20260923/regressions.txt)</w:t>
            </w:r>
          </w:p>
        </w:tc>
      </w:tr>
      <w:tr>
        <w:tc>
          <w:tcPr>
            <w:tcW w:type="dxa" w:w="2880"/>
          </w:tcPr>
          <w:p>
            <w:r>
              <w:t>Vault et sécurité</w:t>
            </w:r>
          </w:p>
        </w:tc>
        <w:tc>
          <w:tcPr>
            <w:tcW w:type="dxa" w:w="2880"/>
          </w:tcPr>
          <w:p>
            <w:r>
              <w:t>18/18 ; maintenance locale terminée</w:t>
            </w:r>
          </w:p>
        </w:tc>
        <w:tc>
          <w:tcPr>
            <w:tcW w:type="dxa" w:w="2880"/>
          </w:tcPr>
          <w:p>
            <w:r>
              <w:t>Journal (https://github.com/EpitechMscProPromo2027/D-WEB-901-PAR-9-1-InteriMatch-1/blob/main/docs/proofs/remediation-20260923/vault-final-tests.log)</w:t>
            </w:r>
          </w:p>
        </w:tc>
      </w:tr>
      <w:tr>
        <w:tc>
          <w:tcPr>
            <w:tcW w:type="dxa" w:w="2880"/>
          </w:tcPr>
          <w:p>
            <w:r>
              <w:t>Frontend, campagne antérieure</w:t>
            </w:r>
          </w:p>
        </w:tc>
        <w:tc>
          <w:tcPr>
            <w:tcW w:type="dxa" w:w="2880"/>
          </w:tcPr>
          <w:p>
            <w:r>
              <w:t>81/81, non relancée pour Discord</w:t>
            </w:r>
          </w:p>
        </w:tc>
        <w:tc>
          <w:tcPr>
            <w:tcW w:type="dxa" w:w="2880"/>
          </w:tcPr>
          <w:p>
            <w:r>
              <w:t>Bilan daté (https://github.com/EpitechMscProPromo2027/D-WEB-901-PAR-9-1-InteriMatch-1/blob/main/docs/quality/CORRECTIONS_AUDIT_2026-09-23.md)</w:t>
            </w:r>
          </w:p>
        </w:tc>
      </w:tr>
      <w:tr>
        <w:tc>
          <w:tcPr>
            <w:tcW w:type="dxa" w:w="2880"/>
          </w:tcPr>
          <w:p>
            <w:r>
              <w:t>Intégrations globales antérieures</w:t>
            </w:r>
          </w:p>
        </w:tc>
        <w:tc>
          <w:tcPr>
            <w:tcW w:type="dxa" w:w="2880"/>
          </w:tcPr>
          <w:p>
            <w:r>
              <w:t>187/187 résultats consolidés par fichier</w:t>
            </w:r>
          </w:p>
        </w:tc>
        <w:tc>
          <w:tcPr>
            <w:tcW w:type="dxa" w:w="2880"/>
          </w:tcPr>
          <w:p>
            <w:r>
              <w:t>Méthode (https://github.com/EpitechMscProPromo2027/D-WEB-901-PAR-9-1-InteriMatch-1/blob/main/docs/proofs/remediation-20260923/summary.json)</w:t>
            </w:r>
          </w:p>
        </w:tc>
      </w:tr>
    </w:tbl>
    <w:p>
      <w:r>
        <w:t>95,11 % désigne les lignes du backend dans la campagne unitaire, pas un taux de réussite global ni une couverture frontend. Ces tests ne garantissent pas l'absence de bugs.</w:t>
      </w:r>
    </w:p>
    <w:p>
      <w:pPr>
        <w:pStyle w:val="Heading2"/>
      </w:pPr>
      <w:r>
        <w:t>Réserves</w:t>
      </w:r>
    </w:p>
    <w:p>
      <w:r>
        <w:t>Supabase/PostGIS : demande support envoyée, correction fournisseur attendue. DNS Windows : résolution MongoDB locale problématique via la box, réglages inchangés. Les exports n8n attestent leur lecture datée, pas une nouvelle livraison Cloud. Accessibilité et sécurité : contrôles ciblés, sans certification globale. Les entretiens marché, partenaires et temps humains ne sont pas inventés.</w:t>
      </w:r>
    </w:p>
    <w:p>
      <w:pPr>
        <w:pStyle w:val="Heading2"/>
      </w:pPr>
      <w:r>
        <w:t>Démonstration</w:t>
      </w:r>
    </w:p>
    <w:p>
      <w:r>
        <w:t>Comptes fictifs uniquement. Préparer le scénario local avant la soutenance ; ne pas envoyer des notifications à des personnes réelles pour le pitch. Si un service externe est indisponible, montrer les preuves datées en nommant la limite.</w:t>
      </w:r>
    </w:p>
    <w:p>
      <w:r>
        <w:br w:type="page"/>
      </w:r>
    </w:p>
    <w:p>
      <w:pPr>
        <w:pStyle w:val="Title"/>
      </w:pPr>
      <w:r>
        <w:t>Actualisation des coûts — 24 septembre 2026</w:t>
      </w:r>
    </w:p>
    <w:p>
      <w:pPr>
        <w:pStyle w:val="Heading1"/>
      </w:pPr>
      <w:r>
        <w:t>Chiffrage estimé et réalisé — actualisation du 24/09/2026</w:t>
      </w:r>
    </w:p>
    <w:p>
      <w:r>
        <w:t>L’équipe déclare quatre personnes, onze jours, sept heures minimum par jour et environ deux heures le soir par personne. **Total reconstitué : environ 396 heures-personnes**, dont 308 h de journée et 88 h du soir ; 99 h par personne. La précision de la formule n’efface pas le caractère approximatif de la déclaration.</w:t>
      </w:r>
    </w:p>
    <w:p>
      <w:r>
        <w:t>La capacité initiale à cinq personnes était de 385 h : le réalisé déclaré dépasse cette capacité de 11 h (+2,86 %). Les 88 h du soir compensent les 77 h du cinquième membre absent. L’estimation fonctionnelle initiale, distincte, était de 348–528 h, centre 438 h : Écart au centre −42 h (−9,59 %).</w:t>
      </w:r>
    </w:p>
    <w:p>
      <w:r>
        <w:t>Valorisation au benchmark APEC 41 000 EUR brut/an / 1 820 h : **8 920,88 EUR brut**. Ajouter **133,33 EUR** de matériel amorti affecté aux onze jours, soit **9 054,21 EUR**. En hypothèse employeur +42 %, le coût de réalisation travail + matériel est **12 800,98 EUR**, hors frais historiques non documentés et éventuelles majorations horaires.</w:t>
      </w:r>
    </w:p>
    <w:p>
      <w:r>
        <w:t>[Calcul détaillé, matériel, abonnements et coût par mission](09_COUTS_PRODUCTION.md). [Classeur de coût](COUTS_PRODUCTION.xlsx).</w:t>
      </w:r>
    </w:p>
    <w:p>
      <w:r>
        <w:t>Le classeur CHIFFRAGE_ESTIME_REEL.xlsx conserve les estimations par lot ; son onglet « Synthèse déclarée » consigne le total d’équipe. Les cases réelles par fonctionnalité restent vides : il manque encore la ventilation et les justificatifs, aucun partage arbitraire des 396 h n’est présenté comme mesuré. Les horodatages des commits et les sessions d’agents ne sont pas des feuilles de temps.</w:t>
      </w:r>
    </w:p>
    <w:p>
      <w:pPr>
        <w:pStyle w:val="Heading1"/>
      </w:pPr>
      <w:r>
        <w:t>Coût de réalisation et d’exploitation — 24 septembre 2026</w:t>
      </w:r>
    </w:p>
    <w:p>
      <w:pPr>
        <w:pStyle w:val="Heading2"/>
      </w:pPr>
      <w:r>
        <w:t>Statut et périmètre</w:t>
      </w:r>
    </w:p>
    <w:p>
      <w:r>
        <w:t>Budget prospectif, aucun abonnement acheté ni tarif négocié. Montants de services et matériel hors taxes ; salaires exprimés en brut ou coût employeur selon le libellé. Prix publics consultés le 24/09/2026, à confirmer lors de la commande. Convention de change de budget **1 USD = 1 EUR**, qui ne prétend pas être le taux de marché. Les hypothèses sont modifiables dans [le modèle JSON](couts-production.json) et [le classeur](COUTS_PRODUCTION.xlsx). Recalcul : `python docs/rendu/2026-09-23/calcul-couts.py` ; [résultats numériques](resultats-couts.json).</w:t>
      </w:r>
    </w:p>
    <w:p>
      <w:pPr>
        <w:pStyle w:val="Heading2"/>
      </w:pPr>
      <w:r>
        <w:t>Réalisation du POC : heures et valorisation</w:t>
      </w:r>
    </w:p>
    <w:p>
      <w:r>
        <w:t>Effectif prévu : 5 personnes × 11 jours × 7 h = **385 h-personnes**. Effectif effectif déclaré : 4 personnes × 11 jours × (7 h + environ 2 h le soir) = **environ 396 h-personnes**, soit 308 h de journée et 88 h du soir, 99 h par personne. Écart à la capacité initiale : +11 h, soit +2,86 %. L'estimation fonctionnelle initiale de 348–528 h (centre 438 h) est une autre référence : 396 h est dans cette fourchette, 42 h sous son centre. Ce sont des heures reconstituées d’après la déclaration de l’équipe, pas un relevé quotidien ni une ventilation vérifiée par fonctionnalité.</w:t>
      </w:r>
    </w:p>
    <w:p>
      <w:r>
        <w:t>La fiche [APEC Chef de projet digital](https://www.apec.fr/tous-nos-metiers/commercial-marketing/chef-de-projet-digital.html), qui cite aussi « chargé de projet digital », indique une moyenne de **41 000 EUR brut/an**. Sur la convention de 35 × 52 = 1 820 heures payées/an, le taux est **22,53 EUR brut/h**. Calculs effectués avec le taux non arrondi. Ce benchmark ne constitue pas un salaire DevOps constaté ni une facture de prestataire.</w:t>
      </w:r>
    </w:p>
    <w:p>
      <w:r>
        <w:t>| Valorisation | Montant EUR |</w:t>
      </w:r>
    </w:p>
    <w:p>
      <w:r>
        <w:t>| --- | ---: |</w:t>
      </w:r>
    </w:p>
    <w:p>
      <w:r>
        <w:t>| Travail déclaré, 396 h au taux brut de référence | 8 920,88 |</w:t>
      </w:r>
    </w:p>
    <w:p>
      <w:r>
        <w:t>| Amortissement matériel affecté aux 11 jours | 133,33 |</w:t>
      </w:r>
    </w:p>
    <w:p>
      <w:r>
        <w:t>| Travail brut + matériel imputé | **9 054,21** |</w:t>
      </w:r>
    </w:p>
    <w:p>
      <w:r>
        <w:t>| Travail avec hypothèse de charges employeur +42 %, puis matériel | **12 800,98** |</w:t>
      </w:r>
    </w:p>
    <w:p>
      <w:r>
        <w:t>Le dernier montant est la valorisation économique de réalisation retenue pour comparer avec l’exploitation en coût employeur. Ce n’est pas une dépense réellement payée. Les majorations éventuelles du travail supplémentaire ne sont pas calculées, faute de statut et d’organisation horaire précis. Les charges à +42 % sont une hypothèse de simulation, pas un taux universel : à vérifier dans le [simulateur Urssaf](https://mon-entreprise.urssaf.fr/simulateurs/salaire-brut-net). Les abonnements historiquement payés pendant le POC ne sont pas documentés et ne sont pas inventés.</w:t>
      </w:r>
    </w:p>
    <w:p>
      <w:pPr>
        <w:pStyle w:val="Heading2"/>
      </w:pPr>
      <w:r>
        <w:t>Matériel : achat et amortissement sans double comptage</w:t>
      </w:r>
    </w:p>
    <w:p>
      <w:r>
        <w:t>Hypothèse acceptée par l’équipe : quatre postes pendant la réalisation, un poste pour la maintenance, durée d’utilisation économique **3 ans**, valeur résiduelle nulle. Budget par poste : ordinateur 1 500 EUR + écran 250 EUR + station d’accueil 150 EUR + clavier/souris/casque 100 EUR = **2 000 EUR HT**. Il s’agit d’une enveloppe estimative, pas d’un prix produit vérifié ni d’une facture.</w:t>
      </w:r>
    </w:p>
    <w:p>
      <w:r>
        <w:t>- Achat initial des quatre postes : **8 000 EUR HT de trésorerie**, si aucun matériel n’est disponible.</w:t>
      </w:r>
    </w:p>
    <w:p>
      <w:r>
        <w:t>- Amortissement annuel des quatre postes : 8 000 / 3 = 2 666,67 EUR.</w:t>
      </w:r>
    </w:p>
    <w:p>
      <w:r>
        <w:t>- Affectation au projet sur **220 jours d’utilisation professionnelle/an** : 8 000 / 3 / 220 × 11 = **133,33 EUR**. Les soirées ne créent pas une deuxième journée d’amortissement. Cette clé de coût interne n’est pas un calcul d’amortissement fiscal ou comptable au prorata calendaire.</w:t>
      </w:r>
    </w:p>
    <w:p>
      <w:r>
        <w:t>- Maintenance : un poste à 2 000 / 36 = **55,56 EUR/mois**. Il peut être repris parmi les quatre postes : **pas d’achat d’un cinquième poste nécessaire**. Les trois autres doivent être réaffectés à d’autres projets pour sortir du coût InfiMatch. S’ils restent tous dédiés à InfiMatch, ajouter **166,67 EUR/mois** aux scénarios.</w:t>
      </w:r>
    </w:p>
    <w:p>
      <w:r>
        <w:t>On n’ajoute jamais les 8 000 EUR d’achat et leur amortissement dans le même coût économique. Trésorerie initiale théorique avec salaires chargés + achat de quatre postes : **20 667,65 EUR**, hors frais historiques inconnus ; valorisation de réalisation avec seulement la quote-part de matériel : **12 800,98 EUR**. Le coût initial du logiciel n’est pas amorti une seconde fois dans le coût mensuel présenté ci-dessous.</w:t>
      </w:r>
    </w:p>
    <w:p>
      <w:pPr>
        <w:pStyle w:val="Heading2"/>
      </w:pPr>
      <w:r>
        <w:t>Abonnements et provisions mensuelles</w:t>
      </w:r>
    </w:p>
    <w:p>
      <w:r>
        <w:t>| Service | Base mensuelle | Périmètre | Source / nature |</w:t>
      </w:r>
    </w:p>
    <w:p>
      <w:r>
        <w:t>| --- | ---: | --- | --- |</w:t>
      </w:r>
    </w:p>
    <w:p>
      <w:r>
        <w:t>| Vercel Pro | 20,00 USD | 1 siège déployant, crédit de consommation inclus | [Tarif](https://vercel.com/docs/plans/pro-plan) |</w:t>
      </w:r>
    </w:p>
    <w:p>
      <w:r>
        <w:t>| Supabase Pro | 25,00 USD | 1 projet Micro, crédit compute déduit | [Tarif](https://supabase.com/pricing) |</w:t>
      </w:r>
    </w:p>
    <w:p>
      <w:r>
        <w:t>| MongoDB Atlas M10 | 58,40 USD | Prix de départ 0,08 USD/h × 730 h, région à confirmer | [Tarif](https://www.mongodb.com/pricing) |</w:t>
      </w:r>
    </w:p>
    <w:p>
      <w:r>
        <w:t>| n8n Cloud Pro | 50,00 EUR | 10 000 exécutions/mois, facturation annuelle 600 EUR | [Tarif](https://n8n.io/pricing/) |</w:t>
      </w:r>
    </w:p>
    <w:p>
      <w:r>
        <w:t>| SMTP2GO Starter | 10,00 USD | 10 000 emails/mois, tarif du corps de la page à confirmer à la commande | [Tarif](https://www.smtp2go.com/pricing/) |</w:t>
      </w:r>
    </w:p>
    <w:p>
      <w:r>
        <w:t>| JobsPipe Builder | 49,00 USD | 25 000 annonces distinctes/mois ; pas 25 000 missions validées | [Tarif](https://jobspipe.dev/pricing) |</w:t>
      </w:r>
    </w:p>
    <w:p>
      <w:r>
        <w:t>| GitHub Team | 16,00 USD | 4 utilisateurs × 4 USD ; une organisation payante modélisée | [Tarif](https://github.com/pricing) |</w:t>
      </w:r>
    </w:p>
    <w:p>
      <w:r>
        <w:t>| Hébergement Vault Community | 10,00 EUR | Provision serveur ; architecture cible, aucune migration effectuée | Hypothèse de budget, pas un devis |</w:t>
      </w:r>
    </w:p>
    <w:p>
      <w:r>
        <w:t>| Sauvegardes externes chiffrées | 10,00 EUR | Provision stockage, transferts à mesurer | Hypothèse de budget, pas un devis |</w:t>
      </w:r>
    </w:p>
    <w:p>
      <w:r>
        <w:t>| Supervision | 15,00 EUR | Provision outil de surveillance | Hypothèse de budget, pas un devis |</w:t>
      </w:r>
    </w:p>
    <w:p>
      <w:r>
        <w:t>| Domaine | 1,67 EUR | Provision renouvellement 20 EUR/an | Hypothèse de budget, pas un devis |</w:t>
      </w:r>
    </w:p>
    <w:p>
      <w:r>
        <w:t>Total abonnements et provisions techniques : **265,07 EUR/mois**. Sur ce total, 228,40 EUR proviennent des tarifs publics convertis selon la convention ; 36,67 EUR sont des provisions. Vercel est compté pour une équipe, pas trois fois pour trois applications ; Supabase pour un projet avec son crédit compute, pas deux fois. MongoDB reste un prix de départ, à ajuster à la région, au stockage, aux sauvegardes et aux transferts. GitHub Team est chiffré pour une organisation commerciale de quatre utilisateurs : aucun achat ni modification de l’organisation Epitech, dont la facturation reste sous responsabilité de ses administrateurs.</w:t>
      </w:r>
    </w:p>
    <w:p>
      <w:r>
        <w:t>France Travail, FINESS/ANS, liens de navigation cartographique et bot Discord n’ont pas d’abonnement payant ajouté dans ce scénario ; ils restent soumis à leurs modalités d’accès et quotas. Le modèle n’inclut pas de SMS, API Google Maps payante, IA générative payante ou licence Vault Enterprise. Le serveur Vault est une cible budgétaire séparée du poste local actuel ; sa migration et sa sécurisation nécessiteraient une intervention. La procédure Vault reste manuelle, conformément au choix de l’équipe.</w:t>
      </w:r>
    </w:p>
    <w:p>
      <w:pPr>
        <w:pStyle w:val="Heading2"/>
      </w:pPr>
      <w:r>
        <w:t>Maintenance à temps plein et budget mensuel</w:t>
      </w:r>
    </w:p>
    <w:p>
      <w:r>
        <w:t>| Poste | EUR/mois |</w:t>
      </w:r>
    </w:p>
    <w:p>
      <w:r>
        <w:t>| --- | ---: |</w:t>
      </w:r>
    </w:p>
    <w:p>
      <w:r>
        <w:t>| Une personne, 41 000 brut/an × 1,42 / 12 | 4 851,67 |</w:t>
      </w:r>
    </w:p>
    <w:p>
      <w:r>
        <w:t>| Abonnements et provisions techniques | 265,07 |</w:t>
      </w:r>
    </w:p>
    <w:p>
      <w:r>
        <w:t>| Réserve technique de 20 % | 53,01 |</w:t>
      </w:r>
    </w:p>
    <w:p>
      <w:r>
        <w:t>| Amortissement d’un poste | 55,56 |</w:t>
      </w:r>
    </w:p>
    <w:p>
      <w:r>
        <w:t>| Provision connexion et énergie du poste | 40,00 |</w:t>
      </w:r>
    </w:p>
    <w:p>
      <w:r>
        <w:t>| **Total de fonctionnement budgété** | **5 265,30** |</w:t>
      </w:r>
    </w:p>
    <w:p>
      <w:r>
        <w:t>Soit **63 183,63 EUR/an**, avec n8n payé annuellement. La réserve n’est pas un devis fournisseur et ne garantit pas de couvrir toute montée en charge. Un salarié à temps plein ne couvre pas 24 h/24, les congés ou toutes les spécialités. La base 1 820 heures est une convention de valorisation salariale, pas une garantie d’heures productives. Location de bureaux, assurance, comptabilité, commercial, frais de paiement, marge et fiscalité de l’entreprise restent hors périmètre : il s’agit du coût technique du service et de sa maintenance.</w:t>
      </w:r>
    </w:p>
    <w:p>
      <w:pPr>
        <w:pStyle w:val="Heading2"/>
      </w:pPr>
      <w:r>
        <w:t>Coût d’un cycle jusqu’à validation</w:t>
      </w:r>
    </w:p>
    <w:p>
      <w:r>
        <w:t>Cycle : création/publication du besoin à recherche et matching à candidature à décision humaine à affectation validée, avec document et notifications. Le dénominateur est le nombre de **missions effectivement validées**, pas le nombre d’annonces importées ou de candidatures. La formule est **budget mensuel / validations mensuelles** : c’est un coût moyen alloué, pas un tarif API facturé pour chaque clic. Le temps du recruteur qui décide et la rémunération du soignant ne sont pas inclus.</w:t>
      </w:r>
    </w:p>
    <w:p>
      <w:r>
        <w:t>| Missions validées/mois | Coût moyen complet du périmètre par validation | Exécutions n8n, scénario technique |</w:t>
      </w:r>
    </w:p>
    <w:p>
      <w:r>
        <w:t>| ---: | ---: | ---: |</w:t>
      </w:r>
    </w:p>
    <w:p>
      <w:r>
        <w:t>| 100 | **52,65 EUR** | 1210 |</w:t>
      </w:r>
    </w:p>
    <w:p>
      <w:r>
        <w:t>| 500 | **10,53 EUR** | 4730 |</w:t>
      </w:r>
    </w:p>
    <w:p>
      <w:r>
        <w:t>| 1000 | **5,27 EUR** | 9130 |</w:t>
      </w:r>
    </w:p>
    <w:p>
      <w:r>
        <w:t>Les quotas ne sont pas une preuve de capacité en charge. Les exports publiés montrent 6 reprises/jour, 2 imports France Travail/jour, 1 import JobsPipe/jour et 1 maintenance/jour, soit **300 déclenchements pour 30 jours**. Hypothèse illustrative : **8 exécutions par mission validée** (2 orchestrations et 6 relais Discord), avec 10 % de réserve de reprises : (300 + 8 × N) × 1,10. Ce ratio n’est pas mesuré : diffusion à beaucoup de candidats, sous-workflows facturables, rappels, échecs, annulations et missions non pourvues peuvent le dépasser. À 1 000 validations, le scénario utilise 9 130/10 000 exécutions ; à 80 % de réussite, 1 250 cycles tentés conduiraient à 11 330 exécutions selon la même hypothèse et imposeraient un autre budget n8n. Sur 31 jours, remplacer 300 par 310.</w:t>
      </w:r>
    </w:p>
    <w:p>
      <w:r>
        <w:t>Autre hypothèse à vérifier dans les journaux : 4 emails/cycle plus 100 emails de fond donnent 4 100 emails à 1 000 validations, sous le quota de 10 000. JobsPipe compte les nouvelles annonces livrées pendant le mois (pas les appels ni les validations) : 25 000 annonces incluses, recharge facturable. Les imports externes ne garantissent aucun recrutement. Les octets transférés, durée CPU, taille des documents et appels réels ne sont pas mesurés par ce modèle : tout dépassement impose un recalcul avant de promettre un prix ferme.</w:t>
      </w:r>
    </w:p>
    <w:p>
      <w:r>
        <w:t>Sensibilité : à +35 % de charges employeur, le total baisse de 239,17 EUR/mois ; à +50 %, il augmente de 273,33 EUR/mois. Une variation de 10 % du dollar affecte les 178,40 USD/mois du panier, soit 17,84 EUR avant réserve, 21,41 EUR réserve comprise. Coût marginal technique non déterminé : il peut rester faible dans les quotas, sans être assimilable au coût moyen ci-dessus.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