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 w:line="300" w:lineRule="auto"/>
        <w:jc w:val="center"/>
      </w:pPr>
      <w:r>
        <w:rPr>
          <w:b/>
          <w:bCs/>
          <w:color w:val="164A73"/>
          <w:sz w:val="38"/>
          <w:szCs w:val="38"/>
          <w:rFonts w:ascii="Microsoft YaHei" w:cs="Microsoft YaHei" w:eastAsia="Microsoft YaHei" w:hAnsi="Microsoft YaHei"/>
        </w:rPr>
        <w:t xml:space="preserve">AI可研报告生成系统</w:t>
      </w:r>
    </w:p>
    <w:p>
      <w:pPr>
        <w:spacing w:before="0" w:after="260" w:line="300" w:lineRule="auto"/>
        <w:jc w:val="center"/>
      </w:pPr>
      <w:r>
        <w:rPr>
          <w:b/>
          <w:bCs/>
          <w:color w:val="2F75B5"/>
          <w:sz w:val="30"/>
          <w:szCs w:val="30"/>
          <w:rFonts w:ascii="Microsoft YaHei" w:cs="Microsoft YaHei" w:eastAsia="Microsoft YaHei" w:hAnsi="Microsoft YaHei"/>
        </w:rPr>
        <w:t xml:space="preserve">人口、职住、需求与周边分析新增功能说明</w:t>
      </w:r>
    </w:p>
    <w:p>
      <w:pPr>
        <w:spacing w:before="0" w:after="520" w:line="300" w:lineRule="auto"/>
        <w:jc w:val="center"/>
      </w:pPr>
      <w:r>
        <w:rPr>
          <w:b w:val="false"/>
          <w:bCs w:val="false"/>
          <w:color w:val="657A8F"/>
          <w:sz w:val="20"/>
          <w:szCs w:val="20"/>
          <w:rFonts w:ascii="Microsoft YaHei" w:cs="Microsoft YaHei" w:eastAsia="Microsoft YaHei" w:hAnsi="Microsoft YaHei"/>
        </w:rPr>
        <w:t xml:space="preserve">本地部署版｜对照 Housing 成熟项目逻辑形成的首期能力底座</w:t>
      </w:r>
    </w:p>
    <w:tbl>
      <w:tblPr>
        <w:tblW w:type="dxa" w:w="9360"/>
        <w:jc w:val="center"/>
        <w:tblBorders>
          <w:top w:val="single" w:color="C9D8E6" w:sz="3"/>
          <w:left w:val="single" w:color="C9D8E6" w:sz="3"/>
          <w:bottom w:val="single" w:color="C9D8E6" w:sz="3"/>
          <w:right w:val="single" w:color="C9D8E6" w:sz="3"/>
          <w:insideH w:val="single" w:color="C9D8E6" w:sz="3"/>
          <w:insideV w:val="single" w:color="C9D8E6" w:sz="3"/>
        </w:tblBorders>
      </w:tblPr>
      <w:tblGrid>
        <w:gridCol w:w="100"/>
        <w:gridCol w:w="100"/>
      </w:tblGrid>
      <w:tr>
        <w:tc>
          <w:tcPr>
            <w:tcW w:type="dxa" w:w="1800"/>
            <w:shd w:fill="2F75B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rFonts w:ascii="Microsoft YaHei" w:cs="Microsoft YaHei" w:eastAsia="Microsoft YaHei" w:hAnsi="Microsoft YaHei"/>
              </w:rPr>
              <w:t xml:space="preserve">文档用途</w:t>
            </w:r>
          </w:p>
        </w:tc>
        <w:tc>
          <w:tcPr>
            <w:tcW w:type="dxa" w:w="7560"/>
            <w:shd w:fill="2F75B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  <w:rFonts w:ascii="Microsoft YaHei" w:cs="Microsoft YaHei" w:eastAsia="Microsoft YaHei" w:hAnsi="Microsoft YaHei"/>
              </w:rPr>
              <w:t xml:space="preserve">说明本轮新增了什么、现在能做什么、真实数据接入后怎样使用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编制日期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2026-08-13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验证状态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141项自动化测试全部通过；前台入口已完成本地页面实测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重要边界</w:t>
            </w:r>
          </w:p>
        </w:tc>
        <w:tc>
          <w:tcPr>
            <w:tcW w:type="dxa" w:w="7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当前尚无真实项目人口/OD/POI数据，因此已完成能力和流程，不冒充已经形成真实项目结论</w:t>
            </w:r>
          </w:p>
        </w:tc>
      </w:tr>
    </w:tbl>
    <w:p>
      <w:pPr>
        <w:pStyle w:val="Heading1"/>
        <w:spacing w:before="320" w:after="160" w:line="300" w:lineRule="auto"/>
        <w:jc w:val="left"/>
      </w:pPr>
      <w:r>
        <w:rPr>
          <w:b/>
          <w:bCs/>
          <w:color w:val="164A73"/>
          <w:sz w:val="30"/>
          <w:szCs w:val="30"/>
          <w:rFonts w:ascii="Microsoft YaHei" w:cs="Microsoft YaHei" w:eastAsia="Microsoft YaHei" w:hAnsi="Microsoft YaHei"/>
        </w:rPr>
        <w:t xml:space="preserve">一、这次总体上新增了什么</w:t>
      </w:r>
    </w:p>
    <w:p>
      <w:pPr>
        <w:spacing w:before="0" w:after="160" w:line="32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以前系统的强项是测算、RAG/Wiki、审查和可研生成；这次增加的是一套“项目结构化数据分析底座”。它负责把人口、就业、通勤、需求和周边设施数据经过审核、白箱计算和版本固化，再交给已有可研生成与审查流程使用。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前台新增“项目数据分析”工作台，可在一个项目内管理坐标、圈层、数据导入、分析和来源。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后台新增“项目数据审核”，普通用户上传的数据必须审核通过后才参与正式分析。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新增人口、职住、OD通勤、住房需求和POI配套五类白箱分析。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新增分析快照，并与测算快照、报告版本共同绑定。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新增AgentCore诊断工具，让项目对话可以调用正式分析结果回答问题。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新增Provider适配层，将来接中指或其他数据服务时无需重写分析和报告流程。</w:t>
      </w:r>
    </w:p>
    <w:p>
      <w:pPr>
        <w:pStyle w:val="Heading1"/>
        <w:spacing w:before="260" w:after="160" w:line="300" w:lineRule="auto"/>
        <w:jc w:val="left"/>
      </w:pPr>
      <w:r>
        <w:rPr>
          <w:b/>
          <w:bCs/>
          <w:color w:val="164A73"/>
          <w:sz w:val="30"/>
          <w:szCs w:val="30"/>
          <w:rFonts w:ascii="Microsoft YaHei" w:cs="Microsoft YaHei" w:eastAsia="Microsoft YaHei" w:hAnsi="Microsoft YaHei"/>
        </w:rPr>
        <w:t xml:space="preserve">二、10项新增能力一览</w:t>
      </w:r>
    </w:p>
    <w:tbl>
      <w:tblPr>
        <w:tblW w:type="dxa" w:w="9360"/>
        <w:jc w:val="center"/>
        <w:tblBorders>
          <w:top w:val="single" w:color="C9D8E6" w:sz="3"/>
          <w:left w:val="single" w:color="C9D8E6" w:sz="3"/>
          <w:bottom w:val="single" w:color="C9D8E6" w:sz="3"/>
          <w:right w:val="single" w:color="C9D8E6" w:sz="3"/>
          <w:insideH w:val="single" w:color="C9D8E6" w:sz="3"/>
          <w:insideV w:val="single" w:color="C9D8E6" w:sz="3"/>
        </w:tblBorders>
      </w:tblPr>
      <w:tblGrid>
        <w:gridCol w:w="100"/>
        <w:gridCol w:w="100"/>
        <w:gridCol w:w="100"/>
      </w:tblGrid>
      <w:tr>
        <w:tc>
          <w:tcPr>
            <w:tcW w:type="dxa" w:w="850"/>
            <w:shd w:fill="2F75B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rFonts w:ascii="Microsoft YaHei" w:cs="Microsoft YaHei" w:eastAsia="Microsoft YaHei" w:hAnsi="Microsoft YaHei"/>
              </w:rPr>
              <w:t xml:space="preserve">序号</w:t>
            </w:r>
          </w:p>
        </w:tc>
        <w:tc>
          <w:tcPr>
            <w:tcW w:type="dxa" w:w="5900"/>
            <w:shd w:fill="2F75B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  <w:rFonts w:ascii="Microsoft YaHei" w:cs="Microsoft YaHei" w:eastAsia="Microsoft YaHei" w:hAnsi="Microsoft YaHei"/>
              </w:rPr>
              <w:t xml:space="preserve">新增能力</w:t>
            </w:r>
          </w:p>
        </w:tc>
        <w:tc>
          <w:tcPr>
            <w:tcW w:type="dxa" w:w="2610"/>
            <w:shd w:fill="2F75B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  <w:rFonts w:ascii="Microsoft YaHei" w:cs="Microsoft YaHei" w:eastAsia="Microsoft YaHei" w:hAnsi="Microsoft YaHei"/>
              </w:rPr>
              <w:t xml:space="preserve">当前完成状态</w:t>
            </w:r>
          </w:p>
        </w:tc>
      </w:tr>
      <w:tr>
        <w:tc>
          <w:tcPr>
            <w:tcW w:type="dxa" w:w="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项目1/3/5km圈层数据包</w:t>
            </w:r>
          </w:p>
        </w:tc>
        <w:tc>
          <w:tcPr>
            <w:tcW w:type="dxa" w:w="26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已完成框架与算法</w:t>
            </w:r>
          </w:p>
        </w:tc>
      </w:tr>
      <w:tr>
        <w:tc>
          <w:tcPr>
            <w:tcW w:type="dxa" w:w="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2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人口和目标客群画像</w:t>
            </w:r>
          </w:p>
        </w:tc>
        <w:tc>
          <w:tcPr>
            <w:tcW w:type="dxa" w:w="26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已完成能力，待真实数据</w:t>
            </w:r>
          </w:p>
        </w:tc>
      </w:tr>
      <w:tr>
        <w:tc>
          <w:tcPr>
            <w:tcW w:type="dxa" w:w="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3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可解释的职住平衡结论</w:t>
            </w:r>
          </w:p>
        </w:tc>
        <w:tc>
          <w:tcPr>
            <w:tcW w:type="dxa" w:w="26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已完成能力，待真实数据</w:t>
            </w:r>
          </w:p>
        </w:tc>
      </w:tr>
      <w:tr>
        <w:tc>
          <w:tcPr>
            <w:tcW w:type="dxa" w:w="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4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通勤来源和去向分析</w:t>
            </w:r>
          </w:p>
        </w:tc>
        <w:tc>
          <w:tcPr>
            <w:tcW w:type="dxa" w:w="26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已完成能力，待OD数据</w:t>
            </w:r>
          </w:p>
        </w:tc>
      </w:tr>
      <w:tr>
        <w:tc>
          <w:tcPr>
            <w:tcW w:type="dxa" w:w="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5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住房需求区间与供需缺口</w:t>
            </w:r>
          </w:p>
        </w:tc>
        <w:tc>
          <w:tcPr>
            <w:tcW w:type="dxa" w:w="26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已完成能力，待真实数据</w:t>
            </w:r>
          </w:p>
        </w:tc>
      </w:tr>
      <w:tr>
        <w:tc>
          <w:tcPr>
            <w:tcW w:type="dxa" w:w="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6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周边交通教育医疗商业产业及负面设施</w:t>
            </w:r>
          </w:p>
        </w:tc>
        <w:tc>
          <w:tcPr>
            <w:tcW w:type="dxa" w:w="26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已完成能力，待POI数据</w:t>
            </w:r>
          </w:p>
        </w:tc>
      </w:tr>
      <w:tr>
        <w:tc>
          <w:tcPr>
            <w:tcW w:type="dxa" w:w="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7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数字文件/Sheet/单元格/统计期/版本溯源</w:t>
            </w:r>
          </w:p>
        </w:tc>
        <w:tc>
          <w:tcPr>
            <w:tcW w:type="dxa" w:w="26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已完成</w:t>
            </w:r>
          </w:p>
        </w:tc>
      </w:tr>
      <w:tr>
        <w:tc>
          <w:tcPr>
            <w:tcW w:type="dxa" w:w="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8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自动写入现有可研相关章节</w:t>
            </w:r>
          </w:p>
        </w:tc>
        <w:tc>
          <w:tcPr>
            <w:tcW w:type="dxa" w:w="26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已接入现有功能</w:t>
            </w:r>
          </w:p>
        </w:tc>
      </w:tr>
      <w:tr>
        <w:tc>
          <w:tcPr>
            <w:tcW w:type="dxa" w:w="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9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数据变化影响预演与选择性更新</w:t>
            </w:r>
          </w:p>
        </w:tc>
        <w:tc>
          <w:tcPr>
            <w:tcW w:type="dxa" w:w="26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已完成</w:t>
            </w:r>
          </w:p>
        </w:tc>
      </w:tr>
      <w:tr>
        <w:tc>
          <w:tcPr>
            <w:tcW w:type="dxa" w:w="8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10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未来中指或其他数据Provider接口</w:t>
            </w:r>
          </w:p>
        </w:tc>
        <w:tc>
          <w:tcPr>
            <w:tcW w:type="dxa" w:w="26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已完成接口预留</w:t>
            </w:r>
          </w:p>
        </w:tc>
      </w:tr>
    </w:tbl>
    <w:p>
      <w:pPr>
        <w:pStyle w:val="Heading1"/>
        <w:spacing w:before="280" w:after="120" w:line="300" w:lineRule="auto"/>
        <w:jc w:val="left"/>
      </w:pPr>
      <w:r>
        <w:rPr>
          <w:b/>
          <w:bCs/>
          <w:color w:val="164A73"/>
          <w:sz w:val="30"/>
          <w:szCs w:val="30"/>
          <w:rFonts w:ascii="Microsoft YaHei" w:cs="Microsoft YaHei" w:eastAsia="Microsoft YaHei" w:hAnsi="Microsoft YaHei"/>
        </w:rPr>
        <w:t xml:space="preserve">三、每项功能具体说明</w:t>
      </w:r>
    </w:p>
    <w:p>
      <w:pPr>
        <w:pStyle w:val="Heading2"/>
        <w:spacing w:before="210" w:after="70" w:line="300" w:lineRule="auto"/>
        <w:jc w:val="left"/>
      </w:pPr>
      <w:r>
        <w:rPr>
          <w:b/>
          <w:bCs/>
          <w:color w:val="2F75B5"/>
          <w:sz w:val="25"/>
          <w:szCs w:val="25"/>
          <w:rFonts w:ascii="Microsoft YaHei" w:cs="Microsoft YaHei" w:eastAsia="Microsoft YaHei" w:hAnsi="Microsoft YaHei"/>
        </w:rPr>
        <w:t xml:space="preserve">1. 项目1/3/5km圈层数据包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新增内容：新增项目坐标确认、1/3/5km圈层切换、Haversine直线距离计算和圈层筛选；正式快照记录采用圈层。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核心逻辑：用统一scopeKm和项目经纬度驱动全部本地白箱分析；没有在线地图也能计算。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4F6478"/>
          <w:sz w:val="22"/>
          <w:szCs w:val="22"/>
          <w:rFonts w:ascii="Microsoft YaHei" w:cs="Microsoft YaHei" w:eastAsia="Microsoft YaHei" w:hAnsi="Microsoft YaHei"/>
        </w:rPr>
        <w:t xml:space="preserve">使用条件：需要项目经纬度；圈层框架无数据也可使用</w:t>
      </w:r>
    </w:p>
    <w:p>
      <w:pPr>
        <w:pStyle w:val="Heading2"/>
        <w:spacing w:before="210" w:after="70" w:line="300" w:lineRule="auto"/>
        <w:jc w:val="left"/>
      </w:pPr>
      <w:r>
        <w:rPr>
          <w:b/>
          <w:bCs/>
          <w:color w:val="2F75B5"/>
          <w:sz w:val="25"/>
          <w:szCs w:val="25"/>
          <w:rFonts w:ascii="Microsoft YaHei" w:cs="Microsoft YaHei" w:eastAsia="Microsoft YaHei" w:hAnsi="Microsoft YaHei"/>
        </w:rPr>
        <w:t xml:space="preserve">2. 人口和目标客群画像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新增内容：新增居住人口、工作人口、密度，以及年龄、性别、学历、产业人才、收入、租住人口等画像指标目录。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核心逻辑：只对管理员审核通过的数据计算；缺少画像维度时明确显示待补数据，不让AI补数。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4F6478"/>
          <w:sz w:val="22"/>
          <w:szCs w:val="22"/>
          <w:rFonts w:ascii="Microsoft YaHei" w:cs="Microsoft YaHei" w:eastAsia="Microsoft YaHei" w:hAnsi="Microsoft YaHei"/>
        </w:rPr>
        <w:t xml:space="preserve">使用条件：需要人口指标Excel/CSV；目前尚无真实项目数据</w:t>
      </w:r>
    </w:p>
    <w:p>
      <w:pPr>
        <w:pStyle w:val="Heading2"/>
        <w:spacing w:before="210" w:after="70" w:line="300" w:lineRule="auto"/>
        <w:jc w:val="left"/>
      </w:pPr>
      <w:r>
        <w:rPr>
          <w:b/>
          <w:bCs/>
          <w:color w:val="2F75B5"/>
          <w:sz w:val="25"/>
          <w:szCs w:val="25"/>
          <w:rFonts w:ascii="Microsoft YaHei" w:cs="Microsoft YaHei" w:eastAsia="Microsoft YaHei" w:hAnsi="Microsoft YaHei"/>
        </w:rPr>
        <w:t xml:space="preserve">3. 可解释的职住平衡结论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新增内容：新增职住比、内部通勤率、就业自足率、居住自足率、净通勤流入和透明区间解释。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核心逻辑：公式、输入和解释同时输出；0.6/0.9/1.1/1.6边界可复核，不由AI自由判断。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4F6478"/>
          <w:sz w:val="22"/>
          <w:szCs w:val="22"/>
          <w:rFonts w:ascii="Microsoft YaHei" w:cs="Microsoft YaHei" w:eastAsia="Microsoft YaHei" w:hAnsi="Microsoft YaHei"/>
        </w:rPr>
        <w:t xml:space="preserve">使用条件：至少需要居住人口、工作人口；自足率还需通勤指标</w:t>
      </w:r>
    </w:p>
    <w:p>
      <w:pPr>
        <w:pStyle w:val="Heading2"/>
        <w:spacing w:before="210" w:after="70" w:line="300" w:lineRule="auto"/>
        <w:jc w:val="left"/>
      </w:pPr>
      <w:r>
        <w:rPr>
          <w:b/>
          <w:bCs/>
          <w:color w:val="2F75B5"/>
          <w:sz w:val="25"/>
          <w:szCs w:val="25"/>
          <w:rFonts w:ascii="Microsoft YaHei" w:cs="Microsoft YaHei" w:eastAsia="Microsoft YaHei" w:hAnsi="Microsoft YaHei"/>
        </w:rPr>
        <w:t xml:space="preserve">4. 通勤来源和去向分析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新增内容：新增OD流量数据表、来源地/去向地TOP10、总流量和审核隔离。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核心逻辑：OD作为独立结构化数据，不用POI代替真实通勤；没有OD时明确不可分析。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4F6478"/>
          <w:sz w:val="22"/>
          <w:szCs w:val="22"/>
          <w:rFonts w:ascii="Microsoft YaHei" w:cs="Microsoft YaHei" w:eastAsia="Microsoft YaHei" w:hAnsi="Microsoft YaHei"/>
        </w:rPr>
        <w:t xml:space="preserve">使用条件：需要合法OD表；当前无OD数据</w:t>
      </w:r>
    </w:p>
    <w:p>
      <w:pPr>
        <w:pStyle w:val="Heading2"/>
        <w:spacing w:before="210" w:after="70" w:line="300" w:lineRule="auto"/>
        <w:jc w:val="left"/>
      </w:pPr>
      <w:r>
        <w:rPr>
          <w:b/>
          <w:bCs/>
          <w:color w:val="2F75B5"/>
          <w:sz w:val="25"/>
          <w:szCs w:val="25"/>
          <w:rFonts w:ascii="Microsoft YaHei" w:cs="Microsoft YaHei" w:eastAsia="Microsoft YaHei" w:hAnsi="Microsoft YaHei"/>
        </w:rPr>
        <w:t xml:space="preserve">5. 住房需求区间与供需缺口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新增内容：新增谨慎、基准、乐观三场景；计算潜在需求、总供给、净需求和缺口。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核心逻辑：目标客群×租住倾向×资格覆盖×支付能力，再扣减有效与规划供给；缺一项即禁止正式结论。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4F6478"/>
          <w:sz w:val="22"/>
          <w:szCs w:val="22"/>
          <w:rFonts w:ascii="Microsoft YaHei" w:cs="Microsoft YaHei" w:eastAsia="Microsoft YaHei" w:hAnsi="Microsoft YaHei"/>
        </w:rPr>
        <w:t xml:space="preserve">使用条件：需要目标客群、租住倾向、资格、支付能力、有效供给</w:t>
      </w:r>
    </w:p>
    <w:p>
      <w:pPr>
        <w:pStyle w:val="Heading2"/>
        <w:spacing w:before="210" w:after="70" w:line="300" w:lineRule="auto"/>
        <w:jc w:val="left"/>
      </w:pPr>
      <w:r>
        <w:rPr>
          <w:b/>
          <w:bCs/>
          <w:color w:val="2F75B5"/>
          <w:sz w:val="25"/>
          <w:szCs w:val="25"/>
          <w:rFonts w:ascii="Microsoft YaHei" w:cs="Microsoft YaHei" w:eastAsia="Microsoft YaHei" w:hAnsi="Microsoft YaHei"/>
        </w:rPr>
        <w:t xml:space="preserve">6. 周边交通教育医疗商业产业及负面设施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新增内容：新增八类POI、直线距离、最近设施、覆盖分、短板和负面设施预警。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核心逻辑：每个综合分都保留命中设施和距离，不能只给黑箱评分。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4F6478"/>
          <w:sz w:val="22"/>
          <w:szCs w:val="22"/>
          <w:rFonts w:ascii="Microsoft YaHei" w:cs="Microsoft YaHei" w:eastAsia="Microsoft YaHei" w:hAnsi="Microsoft YaHei"/>
        </w:rPr>
        <w:t xml:space="preserve">使用条件：需要POI名称、类别和经纬度</w:t>
      </w:r>
    </w:p>
    <w:p>
      <w:pPr>
        <w:pStyle w:val="Heading2"/>
        <w:spacing w:before="210" w:after="70" w:line="300" w:lineRule="auto"/>
        <w:jc w:val="left"/>
      </w:pPr>
      <w:r>
        <w:rPr>
          <w:b/>
          <w:bCs/>
          <w:color w:val="2F75B5"/>
          <w:sz w:val="25"/>
          <w:szCs w:val="25"/>
          <w:rFonts w:ascii="Microsoft YaHei" w:cs="Microsoft YaHei" w:eastAsia="Microsoft YaHei" w:hAnsi="Microsoft YaHei"/>
        </w:rPr>
        <w:t xml:space="preserve">7. 数字文件/Sheet/单元格/统计期/版本溯源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新增内容：Excel导入自动保存文件名、Sheet和原始行单元格范围，并保留资料、版本、工作簿和审核状态字段。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核心逻辑：数字主值放结构化表；Wiki/RAG只存定义与依据。来源随快照和章节溯源保存。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4F6478"/>
          <w:sz w:val="22"/>
          <w:szCs w:val="22"/>
          <w:rFonts w:ascii="Microsoft YaHei" w:cs="Microsoft YaHei" w:eastAsia="Microsoft YaHei" w:hAnsi="Microsoft YaHei"/>
        </w:rPr>
        <w:t xml:space="preserve">使用条件：导入文件后自动形成来源链；正式资料ID可选</w:t>
      </w:r>
    </w:p>
    <w:p>
      <w:pPr>
        <w:pStyle w:val="Heading2"/>
        <w:spacing w:before="210" w:after="70" w:line="300" w:lineRule="auto"/>
        <w:jc w:val="left"/>
      </w:pPr>
      <w:r>
        <w:rPr>
          <w:b/>
          <w:bCs/>
          <w:color w:val="2F75B5"/>
          <w:sz w:val="25"/>
          <w:szCs w:val="25"/>
          <w:rFonts w:ascii="Microsoft YaHei" w:cs="Microsoft YaHei" w:eastAsia="Microsoft YaHei" w:hAnsi="Microsoft YaHei"/>
        </w:rPr>
        <w:t xml:space="preserve">8. 自动写入现有可研相关章节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新增内容：不是新增第二套可研生成；把正式分析快照作为上下文注入现有generateSection，并写入章节溯源。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核心逻辑：只有official快照允许进入可研；不完整快照只用于预览，防止缺数结论污染正文。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4F6478"/>
          <w:sz w:val="22"/>
          <w:szCs w:val="22"/>
          <w:rFonts w:ascii="Microsoft YaHei" w:cs="Microsoft YaHei" w:eastAsia="Microsoft YaHei" w:hAnsi="Microsoft YaHei"/>
        </w:rPr>
        <w:t xml:space="preserve">使用条件：需要形成正式分析快照</w:t>
      </w:r>
    </w:p>
    <w:p>
      <w:pPr>
        <w:pStyle w:val="Heading2"/>
        <w:spacing w:before="210" w:after="70" w:line="300" w:lineRule="auto"/>
        <w:jc w:val="left"/>
      </w:pPr>
      <w:r>
        <w:rPr>
          <w:b/>
          <w:bCs/>
          <w:color w:val="2F75B5"/>
          <w:sz w:val="25"/>
          <w:szCs w:val="25"/>
          <w:rFonts w:ascii="Microsoft YaHei" w:cs="Microsoft YaHei" w:eastAsia="Microsoft YaHei" w:hAnsi="Microsoft YaHei"/>
        </w:rPr>
        <w:t xml:space="preserve">9. 数据变化影响预演与选择性更新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新增内容：新增快照差异域、受影响章节标记、人工锁定保护和报告版本恢复时分析快照恢复。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核心逻辑：人口/职住/需求/POI映射到相关可研章节；消防等无关章节不会被误伤。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4F6478"/>
          <w:sz w:val="22"/>
          <w:szCs w:val="22"/>
          <w:rFonts w:ascii="Microsoft YaHei" w:cs="Microsoft YaHei" w:eastAsia="Microsoft YaHei" w:hAnsi="Microsoft YaHei"/>
        </w:rPr>
        <w:t xml:space="preserve">使用条件：至少需要前后两个分析快照</w:t>
      </w:r>
    </w:p>
    <w:p>
      <w:pPr>
        <w:pStyle w:val="Heading2"/>
        <w:spacing w:before="210" w:after="70" w:line="300" w:lineRule="auto"/>
        <w:jc w:val="left"/>
      </w:pPr>
      <w:r>
        <w:rPr>
          <w:b/>
          <w:bCs/>
          <w:color w:val="2F75B5"/>
          <w:sz w:val="25"/>
          <w:szCs w:val="25"/>
          <w:rFonts w:ascii="Microsoft YaHei" w:cs="Microsoft YaHei" w:eastAsia="Microsoft YaHei" w:hAnsi="Microsoft YaHei"/>
        </w:rPr>
        <w:t xml:space="preserve">10. 未来中指或其他数据Provider接口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新增内容：新增manual、excel、local_database和future_external_api四类Provider契约；外部接口默认禁用。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核心逻辑：未来只替换数据获取层，不改白箱分析、审核、快照、Agent和可研章节链路。</w:t>
      </w:r>
    </w:p>
    <w:p>
      <w:pPr>
        <w:spacing w:before="0" w:after="80" w:line="300" w:lineRule="auto"/>
        <w:jc w:val="left"/>
      </w:pPr>
      <w:r>
        <w:rPr>
          <w:b w:val="false"/>
          <w:bCs w:val="false"/>
          <w:color w:val="4F6478"/>
          <w:sz w:val="22"/>
          <w:szCs w:val="22"/>
          <w:rFonts w:ascii="Microsoft YaHei" w:cs="Microsoft YaHei" w:eastAsia="Microsoft YaHei" w:hAnsi="Microsoft YaHei"/>
        </w:rPr>
        <w:t xml:space="preserve">使用条件：本地三类可用；外部API待授权</w:t>
      </w:r>
    </w:p>
    <w:p>
      <w:pPr>
        <w:pStyle w:val="Heading1"/>
        <w:spacing w:before="280" w:after="140" w:line="300" w:lineRule="auto"/>
        <w:jc w:val="left"/>
      </w:pPr>
      <w:r>
        <w:rPr>
          <w:b/>
          <w:bCs/>
          <w:color w:val="164A73"/>
          <w:sz w:val="30"/>
          <w:szCs w:val="30"/>
          <w:rFonts w:ascii="Microsoft YaHei" w:cs="Microsoft YaHei" w:eastAsia="Microsoft YaHei" w:hAnsi="Microsoft YaHei"/>
        </w:rPr>
        <w:t xml:space="preserve">四、实际使用流程</w:t>
      </w:r>
    </w:p>
    <w:p>
      <w:pPr>
        <w:spacing w:before="0" w:after="95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1．打开或创建项目，进入“项目数据分析”。</w:t>
      </w:r>
    </w:p>
    <w:p>
      <w:pPr>
        <w:spacing w:before="0" w:after="95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2．确认项目经纬度，并选择1km、3km或5km分析圈层。</w:t>
      </w:r>
    </w:p>
    <w:p>
      <w:pPr>
        <w:spacing w:before="0" w:after="95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3．下载人口指标、POI或OD模板，填入真实数据后上传。</w:t>
      </w:r>
    </w:p>
    <w:p>
      <w:pPr>
        <w:spacing w:before="0" w:after="95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4．上传记录进入待审核区，不参与正式分析。</w:t>
      </w:r>
    </w:p>
    <w:p>
      <w:pPr>
        <w:spacing w:before="0" w:after="95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5．管理员在后台“项目数据审核”中通过或驳回。</w:t>
      </w:r>
    </w:p>
    <w:p>
      <w:pPr>
        <w:spacing w:before="0" w:after="95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6．审核通过后查看人口、职住、需求、通勤和配套分析。</w:t>
      </w:r>
    </w:p>
    <w:p>
      <w:pPr>
        <w:spacing w:before="0" w:after="95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7．点击“形成正式分析快照”，系统固化来源、规则、圈层和结果。</w:t>
      </w:r>
    </w:p>
    <w:p>
      <w:pPr>
        <w:spacing w:before="0" w:after="95" w:line="30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8．生成或更新可研时，正式快照只注入相关章节；数据变化后仅标记受影响章节。</w:t>
      </w:r>
    </w:p>
    <w:p>
      <w:pPr>
        <w:pStyle w:val="Heading1"/>
        <w:spacing w:before="280" w:after="140" w:line="300" w:lineRule="auto"/>
        <w:jc w:val="left"/>
      </w:pPr>
      <w:r>
        <w:rPr>
          <w:b/>
          <w:bCs/>
          <w:color w:val="164A73"/>
          <w:sz w:val="30"/>
          <w:szCs w:val="30"/>
          <w:rFonts w:ascii="Microsoft YaHei" w:cs="Microsoft YaHei" w:eastAsia="Microsoft YaHei" w:hAnsi="Microsoft YaHei"/>
        </w:rPr>
        <w:t xml:space="preserve">五、当前还需要真实数据验证什么</w:t>
      </w:r>
    </w:p>
    <w:p>
      <w:pPr>
        <w:spacing w:before="0" w:after="160" w:line="320" w:lineRule="auto"/>
        <w:jc w:val="left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代码和流程已经具备，但没有真实项目数据时，系统不会生成看似精确的人口、职住和住房需求结论。下一步最有价值的工作不是继续扩功能，而是选择一个成熟项目，把人口、OD、POI和住房供给数据按模板接入，做一次完整端到端核验。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核对中指数据字段能否直接映射到现有指标键。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核对1/3/5km圈层和统计期是否与业务报告一致。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核对职住区间、需求乘数和POI评价半径是否需要深圳/公司版本。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b w:val="false"/>
          <w:bCs w:val="false"/>
          <w:color w:val="23364D"/>
          <w:sz w:val="22"/>
          <w:szCs w:val="22"/>
          <w:rFonts w:ascii="Microsoft YaHei" w:cs="Microsoft YaHei" w:eastAsia="Microsoft YaHei" w:hAnsi="Microsoft YaHei"/>
        </w:rPr>
        <w:t xml:space="preserve">核对分析正文与原可研报告结论是否一致，并记录差异原因。</w:t>
      </w:r>
    </w:p>
    <w:p>
      <w:pPr>
        <w:pStyle w:val="Heading1"/>
        <w:spacing w:before="280" w:after="140" w:line="300" w:lineRule="auto"/>
        <w:jc w:val="left"/>
      </w:pPr>
      <w:r>
        <w:rPr>
          <w:b/>
          <w:bCs/>
          <w:color w:val="164A73"/>
          <w:sz w:val="30"/>
          <w:szCs w:val="30"/>
          <w:rFonts w:ascii="Microsoft YaHei" w:cs="Microsoft YaHei" w:eastAsia="Microsoft YaHei" w:hAnsi="Microsoft YaHei"/>
        </w:rPr>
        <w:t xml:space="preserve">六、测试与交付状态</w:t>
      </w:r>
    </w:p>
    <w:tbl>
      <w:tblPr>
        <w:tblW w:type="dxa" w:w="9360"/>
        <w:jc w:val="center"/>
        <w:tblBorders>
          <w:top w:val="single" w:color="C9D8E6" w:sz="3"/>
          <w:left w:val="single" w:color="C9D8E6" w:sz="3"/>
          <w:bottom w:val="single" w:color="C9D8E6" w:sz="3"/>
          <w:right w:val="single" w:color="C9D8E6" w:sz="3"/>
          <w:insideH w:val="single" w:color="C9D8E6" w:sz="3"/>
          <w:insideV w:val="single" w:color="C9D8E6" w:sz="3"/>
        </w:tblBorders>
      </w:tblPr>
      <w:tblGrid>
        <w:gridCol w:w="100"/>
        <w:gridCol w:w="100"/>
      </w:tblGrid>
      <w:tr>
        <w:tc>
          <w:tcPr>
            <w:tcW w:type="dxa" w:w="3000"/>
            <w:shd w:fill="2F75B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rFonts w:ascii="Microsoft YaHei" w:cs="Microsoft YaHei" w:eastAsia="Microsoft YaHei" w:hAnsi="Microsoft YaHei"/>
              </w:rPr>
              <w:t xml:space="preserve">检查项</w:t>
            </w:r>
          </w:p>
        </w:tc>
        <w:tc>
          <w:tcPr>
            <w:tcW w:type="dxa" w:w="6360"/>
            <w:shd w:fill="2F75B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/>
                <w:bCs/>
                <w:color w:val="FFFFFF"/>
                <w:sz w:val="19"/>
                <w:szCs w:val="19"/>
                <w:rFonts w:ascii="Microsoft YaHei" w:cs="Microsoft YaHei" w:eastAsia="Microsoft YaHei" w:hAnsi="Microsoft YaHei"/>
              </w:rPr>
              <w:t xml:space="preserve">结果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本次新增专项测试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14项通过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项目完整自动化回归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141项通过，0失败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前台页面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项目数据分析入口已实测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后台页面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项目数据审核入口已加载；管理员二次验证继续生效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Git状态</w:t>
            </w:r>
          </w:p>
        </w:tc>
        <w:tc>
          <w:tcPr>
            <w:tcW w:type="dxa" w:w="6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0" w:lineRule="auto"/>
              <w:jc w:val="left"/>
            </w:pPr>
            <w:r>
              <w:rPr>
                <w:b w:val="false"/>
                <w:bCs w:val="false"/>
                <w:color w:val="23364D"/>
                <w:sz w:val="18"/>
                <w:szCs w:val="18"/>
                <w:rFonts w:ascii="Microsoft YaHei" w:cs="Microsoft YaHei" w:eastAsia="Microsoft YaHei" w:hAnsi="Microsoft YaHei"/>
              </w:rPr>
              <w:t xml:space="preserve">本轮修改仍只在本地，未提交、未推送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b w:val="false"/>
        <w:bCs w:val="false"/>
        <w:color w:val="708399"/>
        <w:sz w:val="18"/>
        <w:szCs w:val="18"/>
        <w:rFonts w:ascii="Microsoft YaHei" w:cs="Microsoft YaHei" w:eastAsia="Microsoft YaHei" w:hAnsi="Microsoft YaHei"/>
      </w:rPr>
      <w:t xml:space="preserve">AI可研报告生成系统｜新增能力说明　</w:t>
    </w:r>
    <w:r>
      <w:rPr>
        <w:color w:val="708399"/>
        <w:sz w:val="18"/>
        <w:szCs w:val="18"/>
        <w:rFonts w:ascii="Microsoft YaHei" w:cs="Microsoft YaHei" w:eastAsia="Microsoft YaHei" w:hAnsi="Microsoft YaHe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3EF" w:sz="4" w:space="4"/>
      </w:pBdr>
    </w:pPr>
    <w:r>
      <w:rPr>
        <w:b w:val="false"/>
        <w:bCs w:val="false"/>
        <w:color w:val="708399"/>
        <w:sz w:val="18"/>
        <w:szCs w:val="18"/>
        <w:rFonts w:ascii="Microsoft YaHei" w:cs="Microsoft YaHei" w:eastAsia="Microsoft YaHei" w:hAnsi="Microsoft YaHei"/>
      </w:rPr>
      <w:t xml:space="preserve">AI可研报告生成系统｜数据分析能力升级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</w:pPr>
    <w:rPr>
      <w:b/>
      <w:bCs/>
      <w:color w:val="164A73"/>
      <w:sz w:val="30"/>
      <w:szCs w:val="30"/>
      <w:rFonts w:ascii="Microsoft YaHei" w:cs="Microsoft YaHei" w:eastAsia="Microsoft YaHei" w:hAnsi="Microsoft YaHei"/>
    </w:rPr>
  </w:style>
  <w:style w:type="paragraph" w:styleId="Heading2">
    <w:name w:val="Heading 2"/>
    <w:basedOn w:val="Normal"/>
    <w:next w:val="Normal"/>
    <w:qFormat/>
    <w:pPr>
      <w:spacing w:before="210" w:after="70"/>
    </w:pPr>
    <w:rPr>
      <w:b/>
      <w:bCs/>
      <w:color w:val="2F75B5"/>
      <w:sz w:val="25"/>
      <w:szCs w:val="25"/>
      <w:rFonts w:ascii="Microsoft YaHei" w:cs="Microsoft YaHei" w:eastAsia="Microsoft YaHei" w:hAnsi="Microsoft YaHe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2026-08-13T12:43:25.652Z</dcterms:created>
  <dcterms:modified xsi:type="dcterms:W3CDTF">2026-08-13T12:43:25.653Z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